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iagrams/drawing2.xml" ContentType="application/vnd.ms-office.drawingml.diagramDrawing+xml"/>
  <Override PartName="/word/charts/chart26.xml" ContentType="application/vnd.openxmlformats-officedocument.drawingml.chart+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diagrams/layout3.xml" ContentType="application/vnd.openxmlformats-officedocument.drawingml.diagramLayou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charts/chart30.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diagrams/drawing3.xml" ContentType="application/vnd.ms-office.drawingml.diagramDrawing+xml"/>
  <Override PartName="/word/charts/chart2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footer2.xml" ContentType="application/vnd.openxmlformats-officedocument.wordprocessingml.footer+xml"/>
  <Override PartName="/word/charts/chart3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EC1" w:rsidRDefault="003D7EC1" w:rsidP="00D368B4">
      <w:pPr>
        <w:jc w:val="center"/>
        <w:rPr>
          <w:color w:val="0070C0"/>
          <w:sz w:val="64"/>
          <w:szCs w:val="64"/>
        </w:rPr>
      </w:pPr>
    </w:p>
    <w:p w:rsidR="003D7EC1" w:rsidRDefault="003D7EC1" w:rsidP="00D368B4">
      <w:pPr>
        <w:jc w:val="center"/>
        <w:rPr>
          <w:color w:val="0070C0"/>
          <w:sz w:val="64"/>
          <w:szCs w:val="64"/>
        </w:rPr>
      </w:pPr>
    </w:p>
    <w:p w:rsidR="003D7EC1" w:rsidRDefault="003D7EC1" w:rsidP="00D368B4">
      <w:pPr>
        <w:jc w:val="center"/>
        <w:rPr>
          <w:color w:val="0070C0"/>
          <w:sz w:val="64"/>
          <w:szCs w:val="64"/>
        </w:rPr>
      </w:pPr>
    </w:p>
    <w:p w:rsidR="003D7EC1" w:rsidRDefault="003D7EC1" w:rsidP="00D368B4">
      <w:pPr>
        <w:jc w:val="center"/>
        <w:rPr>
          <w:color w:val="0070C0"/>
          <w:sz w:val="64"/>
          <w:szCs w:val="64"/>
        </w:rPr>
      </w:pPr>
    </w:p>
    <w:p w:rsidR="003D7EC1" w:rsidRDefault="003D7EC1" w:rsidP="00CA2372">
      <w:pPr>
        <w:pStyle w:val="Liik"/>
      </w:pPr>
      <w:r>
        <w:rPr>
          <w:lang w:eastAsia="et-EE" w:bidi="ar-SA"/>
        </w:rPr>
        <w:drawing>
          <wp:anchor distT="0" distB="0" distL="114300" distR="114300" simplePos="0" relativeHeight="251657728" behindDoc="0" locked="0" layoutInCell="1" allowOverlap="1">
            <wp:simplePos x="0" y="0"/>
            <wp:positionH relativeFrom="page">
              <wp:posOffset>181610</wp:posOffset>
            </wp:positionH>
            <wp:positionV relativeFrom="page">
              <wp:posOffset>749300</wp:posOffset>
            </wp:positionV>
            <wp:extent cx="2392680" cy="960120"/>
            <wp:effectExtent l="0" t="0" r="0" b="0"/>
            <wp:wrapNone/>
            <wp:docPr id="1" name="Picture 4" descr="0_rahandusmin_3lovi_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_rahandusmin_3lovi_est.png"/>
                    <pic:cNvPicPr>
                      <a:picLocks noChangeAspect="1" noChangeArrowheads="1"/>
                    </pic:cNvPicPr>
                  </pic:nvPicPr>
                  <pic:blipFill>
                    <a:blip r:embed="rId8" cstate="print"/>
                    <a:srcRect/>
                    <a:stretch>
                      <a:fillRect/>
                    </a:stretch>
                  </pic:blipFill>
                  <pic:spPr bwMode="auto">
                    <a:xfrm>
                      <a:off x="0" y="0"/>
                      <a:ext cx="2392680" cy="960120"/>
                    </a:xfrm>
                    <a:prstGeom prst="rect">
                      <a:avLst/>
                    </a:prstGeom>
                    <a:noFill/>
                    <a:ln w="9525">
                      <a:noFill/>
                      <a:miter lim="800000"/>
                      <a:headEnd/>
                      <a:tailEnd/>
                    </a:ln>
                  </pic:spPr>
                </pic:pic>
              </a:graphicData>
            </a:graphic>
          </wp:anchor>
        </w:drawing>
      </w:r>
      <w:r w:rsidRPr="00CA2372">
        <w:t>RIIGI KINNISVARA VALITSEMISE KOONDARUA</w:t>
      </w:r>
      <w:r w:rsidR="0022136B">
        <w:t>N</w:t>
      </w:r>
      <w:r w:rsidRPr="00CA2372">
        <w:t>NE</w:t>
      </w:r>
    </w:p>
    <w:p w:rsidR="003D7EC1" w:rsidRPr="00CA2372" w:rsidRDefault="003D7EC1" w:rsidP="00CA2372">
      <w:pPr>
        <w:pStyle w:val="Liik"/>
      </w:pPr>
      <w:r>
        <w:t>2013-2014</w:t>
      </w:r>
    </w:p>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Default="003D7EC1" w:rsidP="002A218B"/>
    <w:p w:rsidR="003D7EC1" w:rsidRPr="002A218B" w:rsidRDefault="009B72E2" w:rsidP="00D368B4">
      <w:pPr>
        <w:rPr>
          <w:rFonts w:ascii="Roboto Condensed" w:eastAsia="SimSun" w:hAnsi="Roboto Condensed"/>
          <w:noProof/>
          <w:color w:val="0070C0"/>
          <w:kern w:val="24"/>
          <w:sz w:val="24"/>
          <w:szCs w:val="24"/>
          <w:lang w:eastAsia="zh-CN" w:bidi="hi-IN"/>
        </w:rPr>
      </w:pPr>
      <w:r>
        <w:rPr>
          <w:rFonts w:ascii="Roboto Condensed" w:eastAsia="SimSun" w:hAnsi="Roboto Condensed"/>
          <w:noProof/>
          <w:color w:val="0070C0"/>
          <w:kern w:val="24"/>
          <w:sz w:val="24"/>
          <w:szCs w:val="24"/>
          <w:lang w:eastAsia="zh-CN" w:bidi="hi-IN"/>
        </w:rPr>
        <w:t>Oktoober</w:t>
      </w:r>
      <w:r w:rsidR="00B5130B">
        <w:rPr>
          <w:rFonts w:ascii="Roboto Condensed" w:eastAsia="SimSun" w:hAnsi="Roboto Condensed"/>
          <w:noProof/>
          <w:color w:val="0070C0"/>
          <w:kern w:val="24"/>
          <w:sz w:val="24"/>
          <w:szCs w:val="24"/>
          <w:lang w:eastAsia="zh-CN" w:bidi="hi-IN"/>
        </w:rPr>
        <w:t xml:space="preserve"> </w:t>
      </w:r>
      <w:r w:rsidR="003D7EC1" w:rsidRPr="002A218B">
        <w:rPr>
          <w:rFonts w:ascii="Roboto Condensed" w:eastAsia="SimSun" w:hAnsi="Roboto Condensed"/>
          <w:noProof/>
          <w:color w:val="0070C0"/>
          <w:kern w:val="24"/>
          <w:sz w:val="24"/>
          <w:szCs w:val="24"/>
          <w:lang w:eastAsia="zh-CN" w:bidi="hi-IN"/>
        </w:rPr>
        <w:t>2015</w:t>
      </w:r>
    </w:p>
    <w:p w:rsidR="00716D1C" w:rsidRDefault="00716D1C">
      <w:pPr>
        <w:spacing w:before="0"/>
        <w:jc w:val="left"/>
        <w:rPr>
          <w:rFonts w:eastAsia="Times New Roman"/>
          <w:noProof/>
          <w:szCs w:val="21"/>
        </w:rPr>
      </w:pPr>
      <w:bookmarkStart w:id="0" w:name="_Toc418016336"/>
      <w:r>
        <w:br w:type="page"/>
      </w:r>
    </w:p>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Default="00222270" w:rsidP="00222270"/>
    <w:p w:rsidR="00222270" w:rsidRPr="00B263F8" w:rsidRDefault="00222270" w:rsidP="00B263F8">
      <w:r>
        <w:t>Käesoleva a</w:t>
      </w:r>
      <w:r w:rsidRPr="00DC536B">
        <w:t>ruande koostasid rahandusministeeriumi riigivara osakonna töötajad Veronika Ilsjan, Eve Murumaa, Katrin Solvak, Kaie Karniol ja Tormi Tabor. Aruande koostamisel on panuse andnud Riigi Kinnisvara Aktsiaseltsist Kristin Tuule, Kati Tamtik ja Kristo Palu ning Maa-ametist Anne Too</w:t>
      </w:r>
      <w:r w:rsidR="00D550D9">
        <w:t>m ja Tiina Vooro. Rahastamise osa</w:t>
      </w:r>
      <w:r w:rsidRPr="00DC536B">
        <w:t xml:space="preserve"> </w:t>
      </w:r>
      <w:r w:rsidR="001D487B">
        <w:t xml:space="preserve">on koostatud koostöös </w:t>
      </w:r>
      <w:r>
        <w:t xml:space="preserve">konsultant </w:t>
      </w:r>
      <w:r w:rsidRPr="00DC536B">
        <w:t>Janno Veskimets</w:t>
      </w:r>
      <w:r w:rsidR="001D487B">
        <w:t>aga</w:t>
      </w:r>
      <w:r w:rsidRPr="00DC536B">
        <w:t>.</w:t>
      </w:r>
    </w:p>
    <w:p w:rsidR="00222270" w:rsidRDefault="00222270" w:rsidP="00B263F8">
      <w:pPr>
        <w:rPr>
          <w:noProof/>
        </w:rPr>
      </w:pPr>
      <w:r>
        <w:br w:type="page"/>
      </w:r>
    </w:p>
    <w:p w:rsidR="00716D1C" w:rsidRDefault="00716D1C" w:rsidP="00716D1C">
      <w:pPr>
        <w:pStyle w:val="Suurpealkiri"/>
      </w:pPr>
      <w:bookmarkStart w:id="1" w:name="_Toc433980654"/>
      <w:r>
        <w:lastRenderedPageBreak/>
        <w:t>SISUKORD</w:t>
      </w:r>
      <w:bookmarkEnd w:id="1"/>
    </w:p>
    <w:p w:rsidR="002F4A30" w:rsidRDefault="00A85FDC">
      <w:pPr>
        <w:pStyle w:val="TOC2"/>
        <w:rPr>
          <w:rFonts w:asciiTheme="minorHAnsi" w:eastAsiaTheme="minorEastAsia" w:hAnsiTheme="minorHAnsi" w:cstheme="minorBidi"/>
          <w:szCs w:val="22"/>
          <w:lang w:eastAsia="et-EE"/>
        </w:rPr>
      </w:pPr>
      <w:r w:rsidRPr="00A85FDC">
        <w:fldChar w:fldCharType="begin"/>
      </w:r>
      <w:r w:rsidR="00716D1C">
        <w:instrText xml:space="preserve"> TOC \o "1-3" \h \z \u </w:instrText>
      </w:r>
      <w:r w:rsidRPr="00A85FDC">
        <w:fldChar w:fldCharType="separate"/>
      </w:r>
      <w:hyperlink w:anchor="_Toc433980655" w:history="1">
        <w:r w:rsidR="002F4A30" w:rsidRPr="00005508">
          <w:rPr>
            <w:rStyle w:val="Hyperlink"/>
          </w:rPr>
          <w:t>KOKKUVÕTE</w:t>
        </w:r>
        <w:r w:rsidR="002F4A30">
          <w:rPr>
            <w:webHidden/>
          </w:rPr>
          <w:tab/>
        </w:r>
        <w:r>
          <w:rPr>
            <w:webHidden/>
          </w:rPr>
          <w:fldChar w:fldCharType="begin"/>
        </w:r>
        <w:r w:rsidR="002F4A30">
          <w:rPr>
            <w:webHidden/>
          </w:rPr>
          <w:instrText xml:space="preserve"> PAGEREF _Toc433980655 \h </w:instrText>
        </w:r>
        <w:r>
          <w:rPr>
            <w:webHidden/>
          </w:rPr>
        </w:r>
        <w:r>
          <w:rPr>
            <w:webHidden/>
          </w:rPr>
          <w:fldChar w:fldCharType="separate"/>
        </w:r>
        <w:r w:rsidR="002516C8">
          <w:rPr>
            <w:webHidden/>
          </w:rPr>
          <w:t>6</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82" w:history="1">
        <w:r w:rsidR="002F4A30" w:rsidRPr="00005508">
          <w:rPr>
            <w:rStyle w:val="Hyperlink"/>
          </w:rPr>
          <w:t>SISSEJUHATUS</w:t>
        </w:r>
        <w:r w:rsidR="002F4A30">
          <w:rPr>
            <w:webHidden/>
          </w:rPr>
          <w:tab/>
        </w:r>
        <w:r>
          <w:rPr>
            <w:webHidden/>
          </w:rPr>
          <w:fldChar w:fldCharType="begin"/>
        </w:r>
        <w:r w:rsidR="002F4A30">
          <w:rPr>
            <w:webHidden/>
          </w:rPr>
          <w:instrText xml:space="preserve"> PAGEREF _Toc433980682 \h </w:instrText>
        </w:r>
        <w:r>
          <w:rPr>
            <w:webHidden/>
          </w:rPr>
        </w:r>
        <w:r>
          <w:rPr>
            <w:webHidden/>
          </w:rPr>
          <w:fldChar w:fldCharType="separate"/>
        </w:r>
        <w:r w:rsidR="002516C8">
          <w:rPr>
            <w:webHidden/>
          </w:rPr>
          <w:t>28</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83" w:history="1">
        <w:r w:rsidR="002F4A30" w:rsidRPr="00005508">
          <w:rPr>
            <w:rStyle w:val="Hyperlink"/>
          </w:rPr>
          <w:t>KASUTATAVAD LÜHENDID JA MÕISTED</w:t>
        </w:r>
        <w:r w:rsidR="002F4A30">
          <w:rPr>
            <w:webHidden/>
          </w:rPr>
          <w:tab/>
        </w:r>
        <w:r>
          <w:rPr>
            <w:webHidden/>
          </w:rPr>
          <w:fldChar w:fldCharType="begin"/>
        </w:r>
        <w:r w:rsidR="002F4A30">
          <w:rPr>
            <w:webHidden/>
          </w:rPr>
          <w:instrText xml:space="preserve"> PAGEREF _Toc433980683 \h </w:instrText>
        </w:r>
        <w:r>
          <w:rPr>
            <w:webHidden/>
          </w:rPr>
        </w:r>
        <w:r>
          <w:rPr>
            <w:webHidden/>
          </w:rPr>
          <w:fldChar w:fldCharType="separate"/>
        </w:r>
        <w:r w:rsidR="002516C8">
          <w:rPr>
            <w:webHidden/>
          </w:rPr>
          <w:t>31</w:t>
        </w:r>
        <w:r>
          <w:rPr>
            <w:webHidden/>
          </w:rPr>
          <w:fldChar w:fldCharType="end"/>
        </w:r>
      </w:hyperlink>
    </w:p>
    <w:p w:rsidR="002F4A30" w:rsidRDefault="00A85FDC">
      <w:pPr>
        <w:pStyle w:val="TOC1"/>
        <w:rPr>
          <w:rFonts w:asciiTheme="minorHAnsi" w:eastAsiaTheme="minorEastAsia" w:hAnsiTheme="minorHAnsi" w:cstheme="minorBidi"/>
          <w:sz w:val="22"/>
          <w:szCs w:val="22"/>
          <w:lang w:eastAsia="et-EE"/>
        </w:rPr>
      </w:pPr>
      <w:hyperlink w:anchor="_Toc433980684" w:history="1">
        <w:r w:rsidR="002F4A30" w:rsidRPr="00005508">
          <w:rPr>
            <w:rStyle w:val="Hyperlink"/>
          </w:rPr>
          <w:t>1.</w:t>
        </w:r>
        <w:r w:rsidR="002F4A30">
          <w:rPr>
            <w:rFonts w:asciiTheme="minorHAnsi" w:eastAsiaTheme="minorEastAsia" w:hAnsiTheme="minorHAnsi" w:cstheme="minorBidi"/>
            <w:sz w:val="22"/>
            <w:szCs w:val="22"/>
            <w:lang w:eastAsia="et-EE"/>
          </w:rPr>
          <w:tab/>
        </w:r>
        <w:r w:rsidR="002F4A30" w:rsidRPr="00005508">
          <w:rPr>
            <w:rStyle w:val="Hyperlink"/>
          </w:rPr>
          <w:t>Riigi kinnisvaraportfell</w:t>
        </w:r>
        <w:r w:rsidR="002F4A30">
          <w:rPr>
            <w:webHidden/>
          </w:rPr>
          <w:tab/>
        </w:r>
        <w:r>
          <w:rPr>
            <w:webHidden/>
          </w:rPr>
          <w:fldChar w:fldCharType="begin"/>
        </w:r>
        <w:r w:rsidR="002F4A30">
          <w:rPr>
            <w:webHidden/>
          </w:rPr>
          <w:instrText xml:space="preserve"> PAGEREF _Toc433980684 \h </w:instrText>
        </w:r>
        <w:r>
          <w:rPr>
            <w:webHidden/>
          </w:rPr>
        </w:r>
        <w:r>
          <w:rPr>
            <w:webHidden/>
          </w:rPr>
          <w:fldChar w:fldCharType="separate"/>
        </w:r>
        <w:r w:rsidR="002516C8">
          <w:rPr>
            <w:webHidden/>
          </w:rPr>
          <w:t>33</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85" w:history="1">
        <w:r w:rsidR="002F4A30" w:rsidRPr="00005508">
          <w:rPr>
            <w:rStyle w:val="Hyperlink"/>
          </w:rPr>
          <w:t>1.1</w:t>
        </w:r>
        <w:r w:rsidR="002F4A30">
          <w:rPr>
            <w:rFonts w:asciiTheme="minorHAnsi" w:eastAsiaTheme="minorEastAsia" w:hAnsiTheme="minorHAnsi" w:cstheme="minorBidi"/>
            <w:szCs w:val="22"/>
            <w:lang w:eastAsia="et-EE"/>
          </w:rPr>
          <w:tab/>
        </w:r>
        <w:r w:rsidR="002F4A30" w:rsidRPr="00005508">
          <w:rPr>
            <w:rStyle w:val="Hyperlink"/>
          </w:rPr>
          <w:t>Riigi kinnisvaraportfell</w:t>
        </w:r>
        <w:r w:rsidR="002F4A30">
          <w:rPr>
            <w:webHidden/>
          </w:rPr>
          <w:tab/>
        </w:r>
        <w:r>
          <w:rPr>
            <w:webHidden/>
          </w:rPr>
          <w:fldChar w:fldCharType="begin"/>
        </w:r>
        <w:r w:rsidR="002F4A30">
          <w:rPr>
            <w:webHidden/>
          </w:rPr>
          <w:instrText xml:space="preserve"> PAGEREF _Toc433980685 \h </w:instrText>
        </w:r>
        <w:r>
          <w:rPr>
            <w:webHidden/>
          </w:rPr>
        </w:r>
        <w:r>
          <w:rPr>
            <w:webHidden/>
          </w:rPr>
          <w:fldChar w:fldCharType="separate"/>
        </w:r>
        <w:r w:rsidR="002516C8">
          <w:rPr>
            <w:webHidden/>
          </w:rPr>
          <w:t>33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86" w:history="1">
        <w:r w:rsidR="002F4A30" w:rsidRPr="00005508">
          <w:rPr>
            <w:rStyle w:val="Hyperlink"/>
          </w:rPr>
          <w:t>1.1.1</w:t>
        </w:r>
        <w:r w:rsidR="002F4A30">
          <w:rPr>
            <w:rFonts w:asciiTheme="minorHAnsi" w:eastAsiaTheme="minorEastAsia" w:hAnsiTheme="minorHAnsi" w:cstheme="minorBidi"/>
            <w:szCs w:val="22"/>
            <w:lang w:eastAsia="et-EE"/>
          </w:rPr>
          <w:tab/>
        </w:r>
        <w:r w:rsidR="002F4A30" w:rsidRPr="00005508">
          <w:rPr>
            <w:rStyle w:val="Hyperlink"/>
          </w:rPr>
          <w:t>Riigi kinnisvaraportfellis olevad hooned</w:t>
        </w:r>
        <w:r w:rsidR="002F4A30">
          <w:rPr>
            <w:webHidden/>
          </w:rPr>
          <w:tab/>
        </w:r>
        <w:r>
          <w:rPr>
            <w:webHidden/>
          </w:rPr>
          <w:fldChar w:fldCharType="begin"/>
        </w:r>
        <w:r w:rsidR="002F4A30">
          <w:rPr>
            <w:webHidden/>
          </w:rPr>
          <w:instrText xml:space="preserve"> PAGEREF _Toc433980686 \h </w:instrText>
        </w:r>
        <w:r>
          <w:rPr>
            <w:webHidden/>
          </w:rPr>
        </w:r>
        <w:r>
          <w:rPr>
            <w:webHidden/>
          </w:rPr>
          <w:fldChar w:fldCharType="separate"/>
        </w:r>
        <w:r w:rsidR="002516C8">
          <w:rPr>
            <w:webHidden/>
          </w:rPr>
          <w:t>34</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87" w:history="1">
        <w:r w:rsidR="002F4A30" w:rsidRPr="00005508">
          <w:rPr>
            <w:rStyle w:val="Hyperlink"/>
          </w:rPr>
          <w:t>1.1.2</w:t>
        </w:r>
        <w:r w:rsidR="002F4A30">
          <w:rPr>
            <w:rFonts w:asciiTheme="minorHAnsi" w:eastAsiaTheme="minorEastAsia" w:hAnsiTheme="minorHAnsi" w:cstheme="minorBidi"/>
            <w:szCs w:val="22"/>
            <w:lang w:eastAsia="et-EE"/>
          </w:rPr>
          <w:tab/>
        </w:r>
        <w:r w:rsidR="002F4A30" w:rsidRPr="00005508">
          <w:rPr>
            <w:rStyle w:val="Hyperlink"/>
          </w:rPr>
          <w:t>Riigi kinnisvaraportfellis olev maa</w:t>
        </w:r>
        <w:r w:rsidR="002F4A30">
          <w:rPr>
            <w:webHidden/>
          </w:rPr>
          <w:tab/>
        </w:r>
        <w:r>
          <w:rPr>
            <w:webHidden/>
          </w:rPr>
          <w:fldChar w:fldCharType="begin"/>
        </w:r>
        <w:r w:rsidR="002F4A30">
          <w:rPr>
            <w:webHidden/>
          </w:rPr>
          <w:instrText xml:space="preserve"> PAGEREF _Toc433980687 \h </w:instrText>
        </w:r>
        <w:r>
          <w:rPr>
            <w:webHidden/>
          </w:rPr>
        </w:r>
        <w:r>
          <w:rPr>
            <w:webHidden/>
          </w:rPr>
          <w:fldChar w:fldCharType="separate"/>
        </w:r>
        <w:r w:rsidR="002516C8">
          <w:rPr>
            <w:webHidden/>
          </w:rPr>
          <w:t>36</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88" w:history="1">
        <w:r w:rsidR="002F4A30" w:rsidRPr="00005508">
          <w:rPr>
            <w:rStyle w:val="Hyperlink"/>
          </w:rPr>
          <w:t>1.2</w:t>
        </w:r>
        <w:r w:rsidR="002F4A30">
          <w:rPr>
            <w:rFonts w:asciiTheme="minorHAnsi" w:eastAsiaTheme="minorEastAsia" w:hAnsiTheme="minorHAnsi" w:cstheme="minorBidi"/>
            <w:szCs w:val="22"/>
            <w:lang w:eastAsia="et-EE"/>
          </w:rPr>
          <w:tab/>
        </w:r>
        <w:r w:rsidR="002F4A30" w:rsidRPr="00005508">
          <w:rPr>
            <w:rStyle w:val="Hyperlink"/>
          </w:rPr>
          <w:t>Riigivara omandamine</w:t>
        </w:r>
        <w:r w:rsidR="002F4A30">
          <w:rPr>
            <w:webHidden/>
          </w:rPr>
          <w:tab/>
        </w:r>
        <w:r>
          <w:rPr>
            <w:webHidden/>
          </w:rPr>
          <w:fldChar w:fldCharType="begin"/>
        </w:r>
        <w:r w:rsidR="002F4A30">
          <w:rPr>
            <w:webHidden/>
          </w:rPr>
          <w:instrText xml:space="preserve"> PAGEREF _Toc433980688 \h </w:instrText>
        </w:r>
        <w:r>
          <w:rPr>
            <w:webHidden/>
          </w:rPr>
        </w:r>
        <w:r>
          <w:rPr>
            <w:webHidden/>
          </w:rPr>
          <w:fldChar w:fldCharType="separate"/>
        </w:r>
        <w:r w:rsidR="002516C8">
          <w:rPr>
            <w:webHidden/>
          </w:rPr>
          <w:t>38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89" w:history="1">
        <w:r w:rsidR="002F4A30" w:rsidRPr="00005508">
          <w:rPr>
            <w:rStyle w:val="Hyperlink"/>
          </w:rPr>
          <w:t>1.2.1</w:t>
        </w:r>
        <w:r w:rsidR="002F4A30">
          <w:rPr>
            <w:rFonts w:asciiTheme="minorHAnsi" w:eastAsiaTheme="minorEastAsia" w:hAnsiTheme="minorHAnsi" w:cstheme="minorBidi"/>
            <w:szCs w:val="22"/>
            <w:lang w:eastAsia="et-EE"/>
          </w:rPr>
          <w:tab/>
        </w:r>
        <w:r w:rsidR="002F4A30" w:rsidRPr="00005508">
          <w:rPr>
            <w:rStyle w:val="Hyperlink"/>
          </w:rPr>
          <w:t>Riigi omandisse jätmine</w:t>
        </w:r>
        <w:r w:rsidR="002F4A30">
          <w:rPr>
            <w:webHidden/>
          </w:rPr>
          <w:tab/>
        </w:r>
        <w:r>
          <w:rPr>
            <w:webHidden/>
          </w:rPr>
          <w:fldChar w:fldCharType="begin"/>
        </w:r>
        <w:r w:rsidR="002F4A30">
          <w:rPr>
            <w:webHidden/>
          </w:rPr>
          <w:instrText xml:space="preserve"> PAGEREF _Toc433980689 \h </w:instrText>
        </w:r>
        <w:r>
          <w:rPr>
            <w:webHidden/>
          </w:rPr>
        </w:r>
        <w:r>
          <w:rPr>
            <w:webHidden/>
          </w:rPr>
          <w:fldChar w:fldCharType="separate"/>
        </w:r>
        <w:r w:rsidR="002516C8">
          <w:rPr>
            <w:webHidden/>
          </w:rPr>
          <w:t>39</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0" w:history="1">
        <w:r w:rsidR="002F4A30" w:rsidRPr="00005508">
          <w:rPr>
            <w:rStyle w:val="Hyperlink"/>
            <w:rFonts w:eastAsiaTheme="majorEastAsia"/>
          </w:rPr>
          <w:t>1.2.2</w:t>
        </w:r>
        <w:r w:rsidR="002F4A30">
          <w:rPr>
            <w:rFonts w:asciiTheme="minorHAnsi" w:eastAsiaTheme="minorEastAsia" w:hAnsiTheme="minorHAnsi" w:cstheme="minorBidi"/>
            <w:szCs w:val="22"/>
            <w:lang w:eastAsia="et-EE"/>
          </w:rPr>
          <w:tab/>
        </w:r>
        <w:r w:rsidR="002F4A30" w:rsidRPr="00005508">
          <w:rPr>
            <w:rStyle w:val="Hyperlink"/>
            <w:rFonts w:eastAsiaTheme="majorEastAsia"/>
          </w:rPr>
          <w:t>Ostmine ja sundvõõrandamine</w:t>
        </w:r>
        <w:r w:rsidR="002F4A30">
          <w:rPr>
            <w:webHidden/>
          </w:rPr>
          <w:tab/>
        </w:r>
        <w:r>
          <w:rPr>
            <w:webHidden/>
          </w:rPr>
          <w:fldChar w:fldCharType="begin"/>
        </w:r>
        <w:r w:rsidR="002F4A30">
          <w:rPr>
            <w:webHidden/>
          </w:rPr>
          <w:instrText xml:space="preserve"> PAGEREF _Toc433980690 \h </w:instrText>
        </w:r>
        <w:r>
          <w:rPr>
            <w:webHidden/>
          </w:rPr>
        </w:r>
        <w:r>
          <w:rPr>
            <w:webHidden/>
          </w:rPr>
          <w:fldChar w:fldCharType="separate"/>
        </w:r>
        <w:r w:rsidR="002516C8">
          <w:rPr>
            <w:webHidden/>
          </w:rPr>
          <w:t>40</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1" w:history="1">
        <w:r w:rsidR="002F4A30" w:rsidRPr="00005508">
          <w:rPr>
            <w:rStyle w:val="Hyperlink"/>
            <w:rFonts w:eastAsiaTheme="majorEastAsia"/>
          </w:rPr>
          <w:t>1.2.3</w:t>
        </w:r>
        <w:r w:rsidR="002F4A30">
          <w:rPr>
            <w:rFonts w:asciiTheme="minorHAnsi" w:eastAsiaTheme="minorEastAsia" w:hAnsiTheme="minorHAnsi" w:cstheme="minorBidi"/>
            <w:szCs w:val="22"/>
            <w:lang w:eastAsia="et-EE"/>
          </w:rPr>
          <w:tab/>
        </w:r>
        <w:r w:rsidR="002F4A30" w:rsidRPr="00005508">
          <w:rPr>
            <w:rStyle w:val="Hyperlink"/>
            <w:rFonts w:eastAsiaTheme="majorEastAsia"/>
          </w:rPr>
          <w:t>Omandist loobumine, konfiskeerimine, hõivamine</w:t>
        </w:r>
        <w:r w:rsidR="002F4A30">
          <w:rPr>
            <w:webHidden/>
          </w:rPr>
          <w:tab/>
        </w:r>
        <w:r>
          <w:rPr>
            <w:webHidden/>
          </w:rPr>
          <w:fldChar w:fldCharType="begin"/>
        </w:r>
        <w:r w:rsidR="002F4A30">
          <w:rPr>
            <w:webHidden/>
          </w:rPr>
          <w:instrText xml:space="preserve"> PAGEREF _Toc433980691 \h </w:instrText>
        </w:r>
        <w:r>
          <w:rPr>
            <w:webHidden/>
          </w:rPr>
        </w:r>
        <w:r>
          <w:rPr>
            <w:webHidden/>
          </w:rPr>
          <w:fldChar w:fldCharType="separate"/>
        </w:r>
        <w:r w:rsidR="002516C8">
          <w:rPr>
            <w:webHidden/>
          </w:rPr>
          <w:t>40</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2" w:history="1">
        <w:r w:rsidR="002F4A30" w:rsidRPr="00005508">
          <w:rPr>
            <w:rStyle w:val="Hyperlink"/>
          </w:rPr>
          <w:t>1.2.4</w:t>
        </w:r>
        <w:r w:rsidR="002F4A30">
          <w:rPr>
            <w:rFonts w:asciiTheme="minorHAnsi" w:eastAsiaTheme="minorEastAsia" w:hAnsiTheme="minorHAnsi" w:cstheme="minorBidi"/>
            <w:szCs w:val="22"/>
            <w:lang w:eastAsia="et-EE"/>
          </w:rPr>
          <w:tab/>
        </w:r>
        <w:r w:rsidR="002F4A30" w:rsidRPr="00005508">
          <w:rPr>
            <w:rStyle w:val="Hyperlink"/>
          </w:rPr>
          <w:t>Omandamine ja tasaarveldamine looduskaitseseaduse alusel</w:t>
        </w:r>
        <w:r w:rsidR="002F4A30">
          <w:rPr>
            <w:webHidden/>
          </w:rPr>
          <w:tab/>
        </w:r>
        <w:r>
          <w:rPr>
            <w:webHidden/>
          </w:rPr>
          <w:fldChar w:fldCharType="begin"/>
        </w:r>
        <w:r w:rsidR="002F4A30">
          <w:rPr>
            <w:webHidden/>
          </w:rPr>
          <w:instrText xml:space="preserve"> PAGEREF _Toc433980692 \h </w:instrText>
        </w:r>
        <w:r>
          <w:rPr>
            <w:webHidden/>
          </w:rPr>
        </w:r>
        <w:r>
          <w:rPr>
            <w:webHidden/>
          </w:rPr>
          <w:fldChar w:fldCharType="separate"/>
        </w:r>
        <w:r w:rsidR="002516C8">
          <w:rPr>
            <w:webHidden/>
          </w:rPr>
          <w:t>41</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3" w:history="1">
        <w:r w:rsidR="002F4A30" w:rsidRPr="00005508">
          <w:rPr>
            <w:rStyle w:val="Hyperlink"/>
          </w:rPr>
          <w:t>1.2.5</w:t>
        </w:r>
        <w:r w:rsidR="002F4A30">
          <w:rPr>
            <w:rFonts w:asciiTheme="minorHAnsi" w:eastAsiaTheme="minorEastAsia" w:hAnsiTheme="minorHAnsi" w:cstheme="minorBidi"/>
            <w:szCs w:val="22"/>
            <w:lang w:eastAsia="et-EE"/>
          </w:rPr>
          <w:tab/>
        </w:r>
        <w:r w:rsidR="002F4A30" w:rsidRPr="00005508">
          <w:rPr>
            <w:rStyle w:val="Hyperlink"/>
          </w:rPr>
          <w:t>Pärimine ja kinkimine</w:t>
        </w:r>
        <w:r w:rsidR="002F4A30">
          <w:rPr>
            <w:webHidden/>
          </w:rPr>
          <w:tab/>
        </w:r>
        <w:r>
          <w:rPr>
            <w:webHidden/>
          </w:rPr>
          <w:fldChar w:fldCharType="begin"/>
        </w:r>
        <w:r w:rsidR="002F4A30">
          <w:rPr>
            <w:webHidden/>
          </w:rPr>
          <w:instrText xml:space="preserve"> PAGEREF _Toc433980693 \h </w:instrText>
        </w:r>
        <w:r>
          <w:rPr>
            <w:webHidden/>
          </w:rPr>
        </w:r>
        <w:r>
          <w:rPr>
            <w:webHidden/>
          </w:rPr>
          <w:fldChar w:fldCharType="separate"/>
        </w:r>
        <w:r w:rsidR="002516C8">
          <w:rPr>
            <w:webHidden/>
          </w:rPr>
          <w:t>42</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94" w:history="1">
        <w:r w:rsidR="002F4A30" w:rsidRPr="00005508">
          <w:rPr>
            <w:rStyle w:val="Hyperlink"/>
          </w:rPr>
          <w:t>1.3</w:t>
        </w:r>
        <w:r w:rsidR="002F4A30">
          <w:rPr>
            <w:rFonts w:asciiTheme="minorHAnsi" w:eastAsiaTheme="minorEastAsia" w:hAnsiTheme="minorHAnsi" w:cstheme="minorBidi"/>
            <w:szCs w:val="22"/>
            <w:lang w:eastAsia="et-EE"/>
          </w:rPr>
          <w:tab/>
        </w:r>
        <w:r w:rsidR="002F4A30" w:rsidRPr="00005508">
          <w:rPr>
            <w:rStyle w:val="Hyperlink"/>
          </w:rPr>
          <w:t>Riigivara võõrandamine</w:t>
        </w:r>
        <w:r w:rsidR="002F4A30">
          <w:rPr>
            <w:webHidden/>
          </w:rPr>
          <w:tab/>
        </w:r>
        <w:r>
          <w:rPr>
            <w:webHidden/>
          </w:rPr>
          <w:fldChar w:fldCharType="begin"/>
        </w:r>
        <w:r w:rsidR="002F4A30">
          <w:rPr>
            <w:webHidden/>
          </w:rPr>
          <w:instrText xml:space="preserve"> PAGEREF _Toc433980694 \h </w:instrText>
        </w:r>
        <w:r>
          <w:rPr>
            <w:webHidden/>
          </w:rPr>
        </w:r>
        <w:r>
          <w:rPr>
            <w:webHidden/>
          </w:rPr>
          <w:fldChar w:fldCharType="separate"/>
        </w:r>
        <w:r w:rsidR="002516C8">
          <w:rPr>
            <w:webHidden/>
          </w:rPr>
          <w:t>42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5" w:history="1">
        <w:r w:rsidR="002F4A30" w:rsidRPr="00005508">
          <w:rPr>
            <w:rStyle w:val="Hyperlink"/>
            <w:rFonts w:eastAsiaTheme="majorEastAsia"/>
          </w:rPr>
          <w:t>1.3.1</w:t>
        </w:r>
        <w:r w:rsidR="002F4A30">
          <w:rPr>
            <w:rFonts w:asciiTheme="minorHAnsi" w:eastAsiaTheme="minorEastAsia" w:hAnsiTheme="minorHAnsi" w:cstheme="minorBidi"/>
            <w:szCs w:val="22"/>
            <w:lang w:eastAsia="et-EE"/>
          </w:rPr>
          <w:tab/>
        </w:r>
        <w:r w:rsidR="002F4A30" w:rsidRPr="00005508">
          <w:rPr>
            <w:rStyle w:val="Hyperlink"/>
            <w:rFonts w:eastAsiaTheme="majorEastAsia"/>
          </w:rPr>
          <w:t>Võõrandamine avalikul enampakkumisel</w:t>
        </w:r>
        <w:r w:rsidR="002F4A30">
          <w:rPr>
            <w:webHidden/>
          </w:rPr>
          <w:tab/>
        </w:r>
        <w:r>
          <w:rPr>
            <w:webHidden/>
          </w:rPr>
          <w:fldChar w:fldCharType="begin"/>
        </w:r>
        <w:r w:rsidR="002F4A30">
          <w:rPr>
            <w:webHidden/>
          </w:rPr>
          <w:instrText xml:space="preserve"> PAGEREF _Toc433980695 \h </w:instrText>
        </w:r>
        <w:r>
          <w:rPr>
            <w:webHidden/>
          </w:rPr>
        </w:r>
        <w:r>
          <w:rPr>
            <w:webHidden/>
          </w:rPr>
          <w:fldChar w:fldCharType="separate"/>
        </w:r>
        <w:r w:rsidR="002516C8">
          <w:rPr>
            <w:webHidden/>
          </w:rPr>
          <w:t>43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6" w:history="1">
        <w:r w:rsidR="002F4A30" w:rsidRPr="00005508">
          <w:rPr>
            <w:rStyle w:val="Hyperlink"/>
            <w:rFonts w:eastAsiaTheme="majorEastAsia"/>
          </w:rPr>
          <w:t>1.3.2</w:t>
        </w:r>
        <w:r w:rsidR="002F4A30">
          <w:rPr>
            <w:rFonts w:asciiTheme="minorHAnsi" w:eastAsiaTheme="minorEastAsia" w:hAnsiTheme="minorHAnsi" w:cstheme="minorBidi"/>
            <w:szCs w:val="22"/>
            <w:lang w:eastAsia="et-EE"/>
          </w:rPr>
          <w:tab/>
        </w:r>
        <w:r w:rsidR="002F4A30" w:rsidRPr="00005508">
          <w:rPr>
            <w:rStyle w:val="Hyperlink"/>
            <w:rFonts w:eastAsiaTheme="majorEastAsia"/>
          </w:rPr>
          <w:t>Võõrandamine otsustuskorras</w:t>
        </w:r>
        <w:r w:rsidR="002F4A30">
          <w:rPr>
            <w:webHidden/>
          </w:rPr>
          <w:tab/>
        </w:r>
        <w:r>
          <w:rPr>
            <w:webHidden/>
          </w:rPr>
          <w:fldChar w:fldCharType="begin"/>
        </w:r>
        <w:r w:rsidR="002F4A30">
          <w:rPr>
            <w:webHidden/>
          </w:rPr>
          <w:instrText xml:space="preserve"> PAGEREF _Toc433980696 \h </w:instrText>
        </w:r>
        <w:r>
          <w:rPr>
            <w:webHidden/>
          </w:rPr>
        </w:r>
        <w:r>
          <w:rPr>
            <w:webHidden/>
          </w:rPr>
          <w:fldChar w:fldCharType="separate"/>
        </w:r>
        <w:r w:rsidR="002516C8">
          <w:rPr>
            <w:webHidden/>
          </w:rPr>
          <w:t>46</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7" w:history="1">
        <w:r w:rsidR="002F4A30" w:rsidRPr="00005508">
          <w:rPr>
            <w:rStyle w:val="Hyperlink"/>
          </w:rPr>
          <w:t>1.3.3</w:t>
        </w:r>
        <w:r w:rsidR="002F4A30">
          <w:rPr>
            <w:rFonts w:asciiTheme="minorHAnsi" w:eastAsiaTheme="minorEastAsia" w:hAnsiTheme="minorHAnsi" w:cstheme="minorBidi"/>
            <w:szCs w:val="22"/>
            <w:lang w:eastAsia="et-EE"/>
          </w:rPr>
          <w:tab/>
        </w:r>
        <w:r w:rsidR="002F4A30" w:rsidRPr="00005508">
          <w:rPr>
            <w:rStyle w:val="Hyperlink"/>
          </w:rPr>
          <w:t>Riigivara üleandmine mitterahalise sissemaksena eraõiguslikele juriidilistele isikutele</w:t>
        </w:r>
        <w:r w:rsidR="002F4A30">
          <w:rPr>
            <w:webHidden/>
          </w:rPr>
          <w:tab/>
        </w:r>
        <w:r w:rsidR="002F4A30">
          <w:rPr>
            <w:webHidden/>
          </w:rPr>
          <w:tab/>
        </w:r>
        <w:r>
          <w:rPr>
            <w:webHidden/>
          </w:rPr>
          <w:fldChar w:fldCharType="begin"/>
        </w:r>
        <w:r w:rsidR="002F4A30">
          <w:rPr>
            <w:webHidden/>
          </w:rPr>
          <w:instrText xml:space="preserve"> PAGEREF _Toc433980697 \h </w:instrText>
        </w:r>
        <w:r>
          <w:rPr>
            <w:webHidden/>
          </w:rPr>
        </w:r>
        <w:r>
          <w:rPr>
            <w:webHidden/>
          </w:rPr>
          <w:fldChar w:fldCharType="separate"/>
        </w:r>
        <w:r w:rsidR="002516C8">
          <w:rPr>
            <w:webHidden/>
          </w:rPr>
          <w:t>50</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698" w:history="1">
        <w:r w:rsidR="002F4A30" w:rsidRPr="00005508">
          <w:rPr>
            <w:rStyle w:val="Hyperlink"/>
          </w:rPr>
          <w:t>1.4</w:t>
        </w:r>
        <w:r w:rsidR="002F4A30">
          <w:rPr>
            <w:rFonts w:asciiTheme="minorHAnsi" w:eastAsiaTheme="minorEastAsia" w:hAnsiTheme="minorHAnsi" w:cstheme="minorBidi"/>
            <w:szCs w:val="22"/>
            <w:lang w:eastAsia="et-EE"/>
          </w:rPr>
          <w:tab/>
        </w:r>
        <w:r w:rsidR="002F4A30" w:rsidRPr="00005508">
          <w:rPr>
            <w:rStyle w:val="Hyperlink"/>
          </w:rPr>
          <w:t>Riigivara kasutamiseks andmine</w:t>
        </w:r>
        <w:r w:rsidR="002F4A30">
          <w:rPr>
            <w:webHidden/>
          </w:rPr>
          <w:tab/>
        </w:r>
        <w:r>
          <w:rPr>
            <w:webHidden/>
          </w:rPr>
          <w:fldChar w:fldCharType="begin"/>
        </w:r>
        <w:r w:rsidR="002F4A30">
          <w:rPr>
            <w:webHidden/>
          </w:rPr>
          <w:instrText xml:space="preserve"> PAGEREF _Toc433980698 \h </w:instrText>
        </w:r>
        <w:r>
          <w:rPr>
            <w:webHidden/>
          </w:rPr>
        </w:r>
        <w:r>
          <w:rPr>
            <w:webHidden/>
          </w:rPr>
          <w:fldChar w:fldCharType="separate"/>
        </w:r>
        <w:r w:rsidR="002516C8">
          <w:rPr>
            <w:webHidden/>
          </w:rPr>
          <w:t>51</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699" w:history="1">
        <w:r w:rsidR="002F4A30" w:rsidRPr="00005508">
          <w:rPr>
            <w:rStyle w:val="Hyperlink"/>
          </w:rPr>
          <w:t>1.4.1</w:t>
        </w:r>
        <w:r w:rsidR="002F4A30">
          <w:rPr>
            <w:rFonts w:asciiTheme="minorHAnsi" w:eastAsiaTheme="minorEastAsia" w:hAnsiTheme="minorHAnsi" w:cstheme="minorBidi"/>
            <w:szCs w:val="22"/>
            <w:lang w:eastAsia="et-EE"/>
          </w:rPr>
          <w:tab/>
        </w:r>
        <w:r w:rsidR="002F4A30" w:rsidRPr="00005508">
          <w:rPr>
            <w:rStyle w:val="Hyperlink"/>
          </w:rPr>
          <w:t>Hoonestatud vara üürimine</w:t>
        </w:r>
        <w:r w:rsidR="002F4A30">
          <w:rPr>
            <w:webHidden/>
          </w:rPr>
          <w:tab/>
        </w:r>
        <w:r>
          <w:rPr>
            <w:webHidden/>
          </w:rPr>
          <w:fldChar w:fldCharType="begin"/>
        </w:r>
        <w:r w:rsidR="002F4A30">
          <w:rPr>
            <w:webHidden/>
          </w:rPr>
          <w:instrText xml:space="preserve"> PAGEREF _Toc433980699 \h </w:instrText>
        </w:r>
        <w:r>
          <w:rPr>
            <w:webHidden/>
          </w:rPr>
        </w:r>
        <w:r>
          <w:rPr>
            <w:webHidden/>
          </w:rPr>
          <w:fldChar w:fldCharType="separate"/>
        </w:r>
        <w:r w:rsidR="002516C8">
          <w:rPr>
            <w:webHidden/>
          </w:rPr>
          <w:t>53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00" w:history="1">
        <w:r w:rsidR="002F4A30" w:rsidRPr="00005508">
          <w:rPr>
            <w:rStyle w:val="Hyperlink"/>
          </w:rPr>
          <w:t>1.4.2</w:t>
        </w:r>
        <w:r w:rsidR="002F4A30">
          <w:rPr>
            <w:rFonts w:asciiTheme="minorHAnsi" w:eastAsiaTheme="minorEastAsia" w:hAnsiTheme="minorHAnsi" w:cstheme="minorBidi"/>
            <w:szCs w:val="22"/>
            <w:lang w:eastAsia="et-EE"/>
          </w:rPr>
          <w:tab/>
        </w:r>
        <w:r w:rsidR="002F4A30" w:rsidRPr="00005508">
          <w:rPr>
            <w:rStyle w:val="Hyperlink"/>
          </w:rPr>
          <w:t>Hoonestamata maa kasutamiseks andmine</w:t>
        </w:r>
        <w:r w:rsidR="002F4A30">
          <w:rPr>
            <w:webHidden/>
          </w:rPr>
          <w:tab/>
        </w:r>
        <w:r>
          <w:rPr>
            <w:webHidden/>
          </w:rPr>
          <w:fldChar w:fldCharType="begin"/>
        </w:r>
        <w:r w:rsidR="002F4A30">
          <w:rPr>
            <w:webHidden/>
          </w:rPr>
          <w:instrText xml:space="preserve"> PAGEREF _Toc433980700 \h </w:instrText>
        </w:r>
        <w:r>
          <w:rPr>
            <w:webHidden/>
          </w:rPr>
        </w:r>
        <w:r>
          <w:rPr>
            <w:webHidden/>
          </w:rPr>
          <w:fldChar w:fldCharType="separate"/>
        </w:r>
        <w:r w:rsidR="002516C8">
          <w:rPr>
            <w:webHidden/>
          </w:rPr>
          <w:t>55</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01" w:history="1">
        <w:r w:rsidR="002F4A30" w:rsidRPr="00005508">
          <w:rPr>
            <w:rStyle w:val="Hyperlink"/>
          </w:rPr>
          <w:t>1.4.3</w:t>
        </w:r>
        <w:r w:rsidR="002F4A30">
          <w:rPr>
            <w:rFonts w:asciiTheme="minorHAnsi" w:eastAsiaTheme="minorEastAsia" w:hAnsiTheme="minorHAnsi" w:cstheme="minorBidi"/>
            <w:szCs w:val="22"/>
            <w:lang w:eastAsia="et-EE"/>
          </w:rPr>
          <w:tab/>
        </w:r>
        <w:r w:rsidR="002F4A30" w:rsidRPr="00005508">
          <w:rPr>
            <w:rStyle w:val="Hyperlink"/>
          </w:rPr>
          <w:t>Maareformi seaduse alusel sõlmitud kasutuslepingud</w:t>
        </w:r>
        <w:r w:rsidR="002F4A30">
          <w:rPr>
            <w:webHidden/>
          </w:rPr>
          <w:tab/>
        </w:r>
        <w:r>
          <w:rPr>
            <w:webHidden/>
          </w:rPr>
          <w:fldChar w:fldCharType="begin"/>
        </w:r>
        <w:r w:rsidR="002F4A30">
          <w:rPr>
            <w:webHidden/>
          </w:rPr>
          <w:instrText xml:space="preserve"> PAGEREF _Toc433980701 \h </w:instrText>
        </w:r>
        <w:r>
          <w:rPr>
            <w:webHidden/>
          </w:rPr>
        </w:r>
        <w:r>
          <w:rPr>
            <w:webHidden/>
          </w:rPr>
          <w:fldChar w:fldCharType="separate"/>
        </w:r>
        <w:r w:rsidR="002516C8">
          <w:rPr>
            <w:webHidden/>
          </w:rPr>
          <w:t>58</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02" w:history="1">
        <w:r w:rsidR="002F4A30" w:rsidRPr="00005508">
          <w:rPr>
            <w:rStyle w:val="Hyperlink"/>
          </w:rPr>
          <w:t>1.5</w:t>
        </w:r>
        <w:r w:rsidR="002F4A30">
          <w:rPr>
            <w:rFonts w:asciiTheme="minorHAnsi" w:eastAsiaTheme="minorEastAsia" w:hAnsiTheme="minorHAnsi" w:cstheme="minorBidi"/>
            <w:szCs w:val="22"/>
            <w:lang w:eastAsia="et-EE"/>
          </w:rPr>
          <w:tab/>
        </w:r>
        <w:r w:rsidR="002F4A30" w:rsidRPr="00005508">
          <w:rPr>
            <w:rStyle w:val="Hyperlink"/>
          </w:rPr>
          <w:t>Riigivara väärtus</w:t>
        </w:r>
        <w:r w:rsidR="002F4A30">
          <w:rPr>
            <w:webHidden/>
          </w:rPr>
          <w:tab/>
        </w:r>
        <w:r>
          <w:rPr>
            <w:webHidden/>
          </w:rPr>
          <w:fldChar w:fldCharType="begin"/>
        </w:r>
        <w:r w:rsidR="002F4A30">
          <w:rPr>
            <w:webHidden/>
          </w:rPr>
          <w:instrText xml:space="preserve"> PAGEREF _Toc433980702 \h </w:instrText>
        </w:r>
        <w:r>
          <w:rPr>
            <w:webHidden/>
          </w:rPr>
        </w:r>
        <w:r>
          <w:rPr>
            <w:webHidden/>
          </w:rPr>
          <w:fldChar w:fldCharType="separate"/>
        </w:r>
        <w:r w:rsidR="002516C8">
          <w:rPr>
            <w:webHidden/>
          </w:rPr>
          <w:t>59</w:t>
        </w:r>
        <w:r>
          <w:rPr>
            <w:webHidden/>
          </w:rPr>
          <w:fldChar w:fldCharType="end"/>
        </w:r>
      </w:hyperlink>
    </w:p>
    <w:p w:rsidR="002F4A30" w:rsidRDefault="00A85FDC">
      <w:pPr>
        <w:pStyle w:val="TOC1"/>
        <w:rPr>
          <w:rFonts w:asciiTheme="minorHAnsi" w:eastAsiaTheme="minorEastAsia" w:hAnsiTheme="minorHAnsi" w:cstheme="minorBidi"/>
          <w:sz w:val="22"/>
          <w:szCs w:val="22"/>
          <w:lang w:eastAsia="et-EE"/>
        </w:rPr>
      </w:pPr>
      <w:hyperlink w:anchor="_Toc433980722" w:history="1">
        <w:r w:rsidR="002F4A30" w:rsidRPr="00005508">
          <w:rPr>
            <w:rStyle w:val="Hyperlink"/>
          </w:rPr>
          <w:t>2.</w:t>
        </w:r>
        <w:r w:rsidR="002F4A30">
          <w:rPr>
            <w:rFonts w:asciiTheme="minorHAnsi" w:eastAsiaTheme="minorEastAsia" w:hAnsiTheme="minorHAnsi" w:cstheme="minorBidi"/>
            <w:sz w:val="22"/>
            <w:szCs w:val="22"/>
            <w:lang w:eastAsia="et-EE"/>
          </w:rPr>
          <w:tab/>
        </w:r>
        <w:r w:rsidR="002F4A30" w:rsidRPr="00005508">
          <w:rPr>
            <w:rStyle w:val="Hyperlink"/>
          </w:rPr>
          <w:t>Riigi kinnisvara juhtimise eesmärkide täitmine</w:t>
        </w:r>
        <w:r w:rsidR="002F4A30">
          <w:rPr>
            <w:webHidden/>
          </w:rPr>
          <w:tab/>
        </w:r>
        <w:r>
          <w:rPr>
            <w:webHidden/>
          </w:rPr>
          <w:fldChar w:fldCharType="begin"/>
        </w:r>
        <w:r w:rsidR="002F4A30">
          <w:rPr>
            <w:webHidden/>
          </w:rPr>
          <w:instrText xml:space="preserve"> PAGEREF _Toc433980722 \h </w:instrText>
        </w:r>
        <w:r>
          <w:rPr>
            <w:webHidden/>
          </w:rPr>
        </w:r>
        <w:r>
          <w:rPr>
            <w:webHidden/>
          </w:rPr>
          <w:fldChar w:fldCharType="separate"/>
        </w:r>
        <w:r w:rsidR="002516C8">
          <w:rPr>
            <w:webHidden/>
          </w:rPr>
          <w:t>61</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23" w:history="1">
        <w:r w:rsidR="002F4A30" w:rsidRPr="00005508">
          <w:rPr>
            <w:rStyle w:val="Hyperlink"/>
          </w:rPr>
          <w:t>2.1</w:t>
        </w:r>
        <w:r w:rsidR="002F4A30">
          <w:rPr>
            <w:rFonts w:asciiTheme="minorHAnsi" w:eastAsiaTheme="minorEastAsia" w:hAnsiTheme="minorHAnsi" w:cstheme="minorBidi"/>
            <w:szCs w:val="22"/>
            <w:lang w:eastAsia="et-EE"/>
          </w:rPr>
          <w:tab/>
        </w:r>
        <w:r w:rsidR="002F4A30" w:rsidRPr="00005508">
          <w:rPr>
            <w:rStyle w:val="Hyperlink"/>
          </w:rPr>
          <w:t>Andmete korrastamine andmekogudes</w:t>
        </w:r>
        <w:r w:rsidR="002F4A30">
          <w:rPr>
            <w:webHidden/>
          </w:rPr>
          <w:tab/>
        </w:r>
        <w:r>
          <w:rPr>
            <w:webHidden/>
          </w:rPr>
          <w:fldChar w:fldCharType="begin"/>
        </w:r>
        <w:r w:rsidR="002F4A30">
          <w:rPr>
            <w:webHidden/>
          </w:rPr>
          <w:instrText xml:space="preserve"> PAGEREF _Toc433980723 \h </w:instrText>
        </w:r>
        <w:r>
          <w:rPr>
            <w:webHidden/>
          </w:rPr>
        </w:r>
        <w:r>
          <w:rPr>
            <w:webHidden/>
          </w:rPr>
          <w:fldChar w:fldCharType="separate"/>
        </w:r>
        <w:r w:rsidR="002516C8">
          <w:rPr>
            <w:webHidden/>
          </w:rPr>
          <w:t>62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4" w:history="1">
        <w:r w:rsidR="002F4A30" w:rsidRPr="00005508">
          <w:rPr>
            <w:rStyle w:val="Hyperlink"/>
          </w:rPr>
          <w:t>2.1.1</w:t>
        </w:r>
        <w:r w:rsidR="002F4A30">
          <w:rPr>
            <w:rFonts w:asciiTheme="minorHAnsi" w:eastAsiaTheme="minorEastAsia" w:hAnsiTheme="minorHAnsi" w:cstheme="minorBidi"/>
            <w:szCs w:val="22"/>
            <w:lang w:eastAsia="et-EE"/>
          </w:rPr>
          <w:tab/>
        </w:r>
        <w:r w:rsidR="002F4A30" w:rsidRPr="00005508">
          <w:rPr>
            <w:rStyle w:val="Hyperlink"/>
          </w:rPr>
          <w:t>Riigimaa maakatastrisse kandmine</w:t>
        </w:r>
        <w:r w:rsidR="002F4A30">
          <w:rPr>
            <w:webHidden/>
          </w:rPr>
          <w:tab/>
        </w:r>
        <w:r>
          <w:rPr>
            <w:webHidden/>
          </w:rPr>
          <w:fldChar w:fldCharType="begin"/>
        </w:r>
        <w:r w:rsidR="002F4A30">
          <w:rPr>
            <w:webHidden/>
          </w:rPr>
          <w:instrText xml:space="preserve"> PAGEREF _Toc433980724 \h </w:instrText>
        </w:r>
        <w:r>
          <w:rPr>
            <w:webHidden/>
          </w:rPr>
        </w:r>
        <w:r>
          <w:rPr>
            <w:webHidden/>
          </w:rPr>
          <w:fldChar w:fldCharType="separate"/>
        </w:r>
        <w:r w:rsidR="002516C8">
          <w:rPr>
            <w:webHidden/>
          </w:rPr>
          <w:t>62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5" w:history="1">
        <w:r w:rsidR="002F4A30" w:rsidRPr="00005508">
          <w:rPr>
            <w:rStyle w:val="Hyperlink"/>
          </w:rPr>
          <w:t>2.1.2</w:t>
        </w:r>
        <w:r w:rsidR="002F4A30">
          <w:rPr>
            <w:rFonts w:asciiTheme="minorHAnsi" w:eastAsiaTheme="minorEastAsia" w:hAnsiTheme="minorHAnsi" w:cstheme="minorBidi"/>
            <w:szCs w:val="22"/>
            <w:lang w:eastAsia="et-EE"/>
          </w:rPr>
          <w:tab/>
        </w:r>
        <w:r w:rsidR="002F4A30" w:rsidRPr="00005508">
          <w:rPr>
            <w:rStyle w:val="Hyperlink"/>
          </w:rPr>
          <w:t>Hoonestatud maaüksuste kinnistamine</w:t>
        </w:r>
        <w:r w:rsidR="002F4A30">
          <w:rPr>
            <w:webHidden/>
          </w:rPr>
          <w:tab/>
        </w:r>
        <w:r>
          <w:rPr>
            <w:webHidden/>
          </w:rPr>
          <w:fldChar w:fldCharType="begin"/>
        </w:r>
        <w:r w:rsidR="002F4A30">
          <w:rPr>
            <w:webHidden/>
          </w:rPr>
          <w:instrText xml:space="preserve"> PAGEREF _Toc433980725 \h </w:instrText>
        </w:r>
        <w:r>
          <w:rPr>
            <w:webHidden/>
          </w:rPr>
        </w:r>
        <w:r>
          <w:rPr>
            <w:webHidden/>
          </w:rPr>
          <w:fldChar w:fldCharType="separate"/>
        </w:r>
        <w:r w:rsidR="002516C8">
          <w:rPr>
            <w:webHidden/>
          </w:rPr>
          <w:t>63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6" w:history="1">
        <w:r w:rsidR="002F4A30" w:rsidRPr="00005508">
          <w:rPr>
            <w:rStyle w:val="Hyperlink"/>
          </w:rPr>
          <w:t>2.1.3</w:t>
        </w:r>
        <w:r w:rsidR="002F4A30">
          <w:rPr>
            <w:rFonts w:asciiTheme="minorHAnsi" w:eastAsiaTheme="minorEastAsia" w:hAnsiTheme="minorHAnsi" w:cstheme="minorBidi"/>
            <w:szCs w:val="22"/>
            <w:lang w:eastAsia="et-EE"/>
          </w:rPr>
          <w:tab/>
        </w:r>
        <w:r w:rsidR="002F4A30" w:rsidRPr="00005508">
          <w:rPr>
            <w:rStyle w:val="Hyperlink"/>
          </w:rPr>
          <w:t>Hoonestamata maaüksuste kinnistamine</w:t>
        </w:r>
        <w:r w:rsidR="002F4A30">
          <w:rPr>
            <w:webHidden/>
          </w:rPr>
          <w:tab/>
        </w:r>
        <w:r>
          <w:rPr>
            <w:webHidden/>
          </w:rPr>
          <w:fldChar w:fldCharType="begin"/>
        </w:r>
        <w:r w:rsidR="002F4A30">
          <w:rPr>
            <w:webHidden/>
          </w:rPr>
          <w:instrText xml:space="preserve"> PAGEREF _Toc433980726 \h </w:instrText>
        </w:r>
        <w:r>
          <w:rPr>
            <w:webHidden/>
          </w:rPr>
        </w:r>
        <w:r>
          <w:rPr>
            <w:webHidden/>
          </w:rPr>
          <w:fldChar w:fldCharType="separate"/>
        </w:r>
        <w:r w:rsidR="002516C8">
          <w:rPr>
            <w:webHidden/>
          </w:rPr>
          <w:t>63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7" w:history="1">
        <w:r w:rsidR="002F4A30" w:rsidRPr="00005508">
          <w:rPr>
            <w:rStyle w:val="Hyperlink"/>
          </w:rPr>
          <w:t>2.1.4</w:t>
        </w:r>
        <w:r w:rsidR="002F4A30">
          <w:rPr>
            <w:rFonts w:asciiTheme="minorHAnsi" w:eastAsiaTheme="minorEastAsia" w:hAnsiTheme="minorHAnsi" w:cstheme="minorBidi"/>
            <w:szCs w:val="22"/>
            <w:lang w:eastAsia="et-EE"/>
          </w:rPr>
          <w:tab/>
        </w:r>
        <w:r w:rsidR="002F4A30" w:rsidRPr="00005508">
          <w:rPr>
            <w:rStyle w:val="Hyperlink"/>
          </w:rPr>
          <w:t>Valitsemise eesmärgi määratlemine</w:t>
        </w:r>
        <w:r w:rsidR="002F4A30">
          <w:rPr>
            <w:webHidden/>
          </w:rPr>
          <w:tab/>
        </w:r>
        <w:r>
          <w:rPr>
            <w:webHidden/>
          </w:rPr>
          <w:fldChar w:fldCharType="begin"/>
        </w:r>
        <w:r w:rsidR="002F4A30">
          <w:rPr>
            <w:webHidden/>
          </w:rPr>
          <w:instrText xml:space="preserve"> PAGEREF _Toc433980727 \h </w:instrText>
        </w:r>
        <w:r>
          <w:rPr>
            <w:webHidden/>
          </w:rPr>
        </w:r>
        <w:r>
          <w:rPr>
            <w:webHidden/>
          </w:rPr>
          <w:fldChar w:fldCharType="separate"/>
        </w:r>
        <w:r w:rsidR="002516C8">
          <w:rPr>
            <w:webHidden/>
          </w:rPr>
          <w:t>64</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8" w:history="1">
        <w:r w:rsidR="002F4A30" w:rsidRPr="00005508">
          <w:rPr>
            <w:rStyle w:val="Hyperlink"/>
          </w:rPr>
          <w:t>2.1.5</w:t>
        </w:r>
        <w:r w:rsidR="002F4A30">
          <w:rPr>
            <w:rFonts w:asciiTheme="minorHAnsi" w:eastAsiaTheme="minorEastAsia" w:hAnsiTheme="minorHAnsi" w:cstheme="minorBidi"/>
            <w:szCs w:val="22"/>
            <w:lang w:eastAsia="et-EE"/>
          </w:rPr>
          <w:tab/>
        </w:r>
        <w:r w:rsidR="002F4A30" w:rsidRPr="00005508">
          <w:rPr>
            <w:rStyle w:val="Hyperlink"/>
          </w:rPr>
          <w:t>Kasutamiseks võtmise lepingute sisestamine</w:t>
        </w:r>
        <w:r w:rsidR="002F4A30">
          <w:rPr>
            <w:webHidden/>
          </w:rPr>
          <w:tab/>
        </w:r>
        <w:r>
          <w:rPr>
            <w:webHidden/>
          </w:rPr>
          <w:fldChar w:fldCharType="begin"/>
        </w:r>
        <w:r w:rsidR="002F4A30">
          <w:rPr>
            <w:webHidden/>
          </w:rPr>
          <w:instrText xml:space="preserve"> PAGEREF _Toc433980728 \h </w:instrText>
        </w:r>
        <w:r>
          <w:rPr>
            <w:webHidden/>
          </w:rPr>
        </w:r>
        <w:r>
          <w:rPr>
            <w:webHidden/>
          </w:rPr>
          <w:fldChar w:fldCharType="separate"/>
        </w:r>
        <w:r w:rsidR="002516C8">
          <w:rPr>
            <w:webHidden/>
          </w:rPr>
          <w:t>65</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29" w:history="1">
        <w:r w:rsidR="002F4A30" w:rsidRPr="00005508">
          <w:rPr>
            <w:rStyle w:val="Hyperlink"/>
          </w:rPr>
          <w:t>2.1.6</w:t>
        </w:r>
        <w:r w:rsidR="002F4A30">
          <w:rPr>
            <w:rFonts w:asciiTheme="minorHAnsi" w:eastAsiaTheme="minorEastAsia" w:hAnsiTheme="minorHAnsi" w:cstheme="minorBidi"/>
            <w:szCs w:val="22"/>
            <w:lang w:eastAsia="et-EE"/>
          </w:rPr>
          <w:tab/>
        </w:r>
        <w:r w:rsidR="002F4A30" w:rsidRPr="00005508">
          <w:rPr>
            <w:rStyle w:val="Hyperlink"/>
          </w:rPr>
          <w:t>Kasutamiseks andmise lepingute andmete korrastamine</w:t>
        </w:r>
        <w:r w:rsidR="002F4A30">
          <w:rPr>
            <w:webHidden/>
          </w:rPr>
          <w:tab/>
        </w:r>
        <w:r>
          <w:rPr>
            <w:webHidden/>
          </w:rPr>
          <w:fldChar w:fldCharType="begin"/>
        </w:r>
        <w:r w:rsidR="002F4A30">
          <w:rPr>
            <w:webHidden/>
          </w:rPr>
          <w:instrText xml:space="preserve"> PAGEREF _Toc433980729 \h </w:instrText>
        </w:r>
        <w:r>
          <w:rPr>
            <w:webHidden/>
          </w:rPr>
        </w:r>
        <w:r>
          <w:rPr>
            <w:webHidden/>
          </w:rPr>
          <w:fldChar w:fldCharType="separate"/>
        </w:r>
        <w:r w:rsidR="002516C8">
          <w:rPr>
            <w:webHidden/>
          </w:rPr>
          <w:t>66</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30" w:history="1">
        <w:r w:rsidR="002F4A30" w:rsidRPr="00005508">
          <w:rPr>
            <w:rStyle w:val="Hyperlink"/>
          </w:rPr>
          <w:t>2.1.7</w:t>
        </w:r>
        <w:r w:rsidR="002F4A30">
          <w:rPr>
            <w:rFonts w:asciiTheme="minorHAnsi" w:eastAsiaTheme="minorEastAsia" w:hAnsiTheme="minorHAnsi" w:cstheme="minorBidi"/>
            <w:szCs w:val="22"/>
            <w:lang w:eastAsia="et-EE"/>
          </w:rPr>
          <w:tab/>
        </w:r>
        <w:r w:rsidR="002F4A30" w:rsidRPr="00005508">
          <w:rPr>
            <w:rStyle w:val="Hyperlink"/>
          </w:rPr>
          <w:t>Riigi ehitiste registreerimine ehitisregistris (EHR)</w:t>
        </w:r>
        <w:r w:rsidR="002F4A30">
          <w:rPr>
            <w:webHidden/>
          </w:rPr>
          <w:tab/>
        </w:r>
        <w:r>
          <w:rPr>
            <w:webHidden/>
          </w:rPr>
          <w:fldChar w:fldCharType="begin"/>
        </w:r>
        <w:r w:rsidR="002F4A30">
          <w:rPr>
            <w:webHidden/>
          </w:rPr>
          <w:instrText xml:space="preserve"> PAGEREF _Toc433980730 \h </w:instrText>
        </w:r>
        <w:r>
          <w:rPr>
            <w:webHidden/>
          </w:rPr>
        </w:r>
        <w:r>
          <w:rPr>
            <w:webHidden/>
          </w:rPr>
          <w:fldChar w:fldCharType="separate"/>
        </w:r>
        <w:r w:rsidR="002516C8">
          <w:rPr>
            <w:webHidden/>
          </w:rPr>
          <w:t>67</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31" w:history="1">
        <w:r w:rsidR="002F4A30" w:rsidRPr="00005508">
          <w:rPr>
            <w:rStyle w:val="Hyperlink"/>
          </w:rPr>
          <w:t>2.2</w:t>
        </w:r>
        <w:r w:rsidR="002F4A30">
          <w:rPr>
            <w:rFonts w:asciiTheme="minorHAnsi" w:eastAsiaTheme="minorEastAsia" w:hAnsiTheme="minorHAnsi" w:cstheme="minorBidi"/>
            <w:szCs w:val="22"/>
            <w:lang w:eastAsia="et-EE"/>
          </w:rPr>
          <w:tab/>
        </w:r>
        <w:r w:rsidR="002F4A30" w:rsidRPr="00005508">
          <w:rPr>
            <w:rStyle w:val="Hyperlink"/>
          </w:rPr>
          <w:t>Hoonete energiatõhusus</w:t>
        </w:r>
        <w:r w:rsidR="002F4A30">
          <w:rPr>
            <w:webHidden/>
          </w:rPr>
          <w:tab/>
        </w:r>
        <w:r>
          <w:rPr>
            <w:webHidden/>
          </w:rPr>
          <w:fldChar w:fldCharType="begin"/>
        </w:r>
        <w:r w:rsidR="002F4A30">
          <w:rPr>
            <w:webHidden/>
          </w:rPr>
          <w:instrText xml:space="preserve"> PAGEREF _Toc433980731 \h </w:instrText>
        </w:r>
        <w:r>
          <w:rPr>
            <w:webHidden/>
          </w:rPr>
        </w:r>
        <w:r>
          <w:rPr>
            <w:webHidden/>
          </w:rPr>
          <w:fldChar w:fldCharType="separate"/>
        </w:r>
        <w:r w:rsidR="002516C8">
          <w:rPr>
            <w:webHidden/>
          </w:rPr>
          <w:t>68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32" w:history="1">
        <w:r w:rsidR="002F4A30" w:rsidRPr="00005508">
          <w:rPr>
            <w:rStyle w:val="Hyperlink"/>
          </w:rPr>
          <w:t>2.2.1</w:t>
        </w:r>
        <w:r w:rsidR="002F4A30">
          <w:rPr>
            <w:rFonts w:asciiTheme="minorHAnsi" w:eastAsiaTheme="minorEastAsia" w:hAnsiTheme="minorHAnsi" w:cstheme="minorBidi"/>
            <w:szCs w:val="22"/>
            <w:lang w:eastAsia="et-EE"/>
          </w:rPr>
          <w:tab/>
        </w:r>
        <w:r w:rsidR="002F4A30" w:rsidRPr="00005508">
          <w:rPr>
            <w:rStyle w:val="Hyperlink"/>
          </w:rPr>
          <w:t>Energiamärgise paigaldamine</w:t>
        </w:r>
        <w:r w:rsidR="002F4A30">
          <w:rPr>
            <w:webHidden/>
          </w:rPr>
          <w:tab/>
        </w:r>
        <w:r>
          <w:rPr>
            <w:webHidden/>
          </w:rPr>
          <w:fldChar w:fldCharType="begin"/>
        </w:r>
        <w:r w:rsidR="002F4A30">
          <w:rPr>
            <w:webHidden/>
          </w:rPr>
          <w:instrText xml:space="preserve"> PAGEREF _Toc433980732 \h </w:instrText>
        </w:r>
        <w:r>
          <w:rPr>
            <w:webHidden/>
          </w:rPr>
        </w:r>
        <w:r>
          <w:rPr>
            <w:webHidden/>
          </w:rPr>
          <w:fldChar w:fldCharType="separate"/>
        </w:r>
        <w:r w:rsidR="002516C8">
          <w:rPr>
            <w:webHidden/>
          </w:rPr>
          <w:t>68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33" w:history="1">
        <w:r w:rsidR="002F4A30" w:rsidRPr="00005508">
          <w:rPr>
            <w:rStyle w:val="Hyperlink"/>
          </w:rPr>
          <w:t>2.2.2</w:t>
        </w:r>
        <w:r w:rsidR="002F4A30">
          <w:rPr>
            <w:rFonts w:asciiTheme="minorHAnsi" w:eastAsiaTheme="minorEastAsia" w:hAnsiTheme="minorHAnsi" w:cstheme="minorBidi"/>
            <w:szCs w:val="22"/>
            <w:lang w:eastAsia="et-EE"/>
          </w:rPr>
          <w:tab/>
        </w:r>
        <w:r w:rsidR="002F4A30" w:rsidRPr="00005508">
          <w:rPr>
            <w:rStyle w:val="Hyperlink"/>
          </w:rPr>
          <w:t>Energiatõhususe miinimumnõuete täitmine</w:t>
        </w:r>
        <w:r w:rsidR="002F4A30">
          <w:rPr>
            <w:webHidden/>
          </w:rPr>
          <w:tab/>
        </w:r>
        <w:r>
          <w:rPr>
            <w:webHidden/>
          </w:rPr>
          <w:fldChar w:fldCharType="begin"/>
        </w:r>
        <w:r w:rsidR="002F4A30">
          <w:rPr>
            <w:webHidden/>
          </w:rPr>
          <w:instrText xml:space="preserve"> PAGEREF _Toc433980733 \h </w:instrText>
        </w:r>
        <w:r>
          <w:rPr>
            <w:webHidden/>
          </w:rPr>
        </w:r>
        <w:r>
          <w:rPr>
            <w:webHidden/>
          </w:rPr>
          <w:fldChar w:fldCharType="separate"/>
        </w:r>
        <w:r w:rsidR="002516C8">
          <w:rPr>
            <w:webHidden/>
          </w:rPr>
          <w:t>70</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34" w:history="1">
        <w:r w:rsidR="002F4A30" w:rsidRPr="00005508">
          <w:rPr>
            <w:rStyle w:val="Hyperlink"/>
          </w:rPr>
          <w:t>2.3</w:t>
        </w:r>
        <w:r w:rsidR="002F4A30">
          <w:rPr>
            <w:rFonts w:asciiTheme="minorHAnsi" w:eastAsiaTheme="minorEastAsia" w:hAnsiTheme="minorHAnsi" w:cstheme="minorBidi"/>
            <w:szCs w:val="22"/>
            <w:lang w:eastAsia="et-EE"/>
          </w:rPr>
          <w:tab/>
        </w:r>
        <w:r w:rsidR="002F4A30" w:rsidRPr="00005508">
          <w:rPr>
            <w:rStyle w:val="Hyperlink"/>
          </w:rPr>
          <w:t>Hoonete üle andmine Riigi Kinnisvara AS-ile.</w:t>
        </w:r>
        <w:r w:rsidR="002F4A30">
          <w:rPr>
            <w:webHidden/>
          </w:rPr>
          <w:tab/>
        </w:r>
        <w:r>
          <w:rPr>
            <w:webHidden/>
          </w:rPr>
          <w:fldChar w:fldCharType="begin"/>
        </w:r>
        <w:r w:rsidR="002F4A30">
          <w:rPr>
            <w:webHidden/>
          </w:rPr>
          <w:instrText xml:space="preserve"> PAGEREF _Toc433980734 \h </w:instrText>
        </w:r>
        <w:r>
          <w:rPr>
            <w:webHidden/>
          </w:rPr>
        </w:r>
        <w:r>
          <w:rPr>
            <w:webHidden/>
          </w:rPr>
          <w:fldChar w:fldCharType="separate"/>
        </w:r>
        <w:r w:rsidR="002516C8">
          <w:rPr>
            <w:webHidden/>
          </w:rPr>
          <w:t>72</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35" w:history="1">
        <w:r w:rsidR="002F4A30" w:rsidRPr="00005508">
          <w:rPr>
            <w:rStyle w:val="Hyperlink"/>
          </w:rPr>
          <w:t>2.4</w:t>
        </w:r>
        <w:r w:rsidR="002F4A30">
          <w:rPr>
            <w:rFonts w:asciiTheme="minorHAnsi" w:eastAsiaTheme="minorEastAsia" w:hAnsiTheme="minorHAnsi" w:cstheme="minorBidi"/>
            <w:szCs w:val="22"/>
            <w:lang w:eastAsia="et-EE"/>
          </w:rPr>
          <w:tab/>
        </w:r>
        <w:r w:rsidR="002F4A30" w:rsidRPr="00005508">
          <w:rPr>
            <w:rStyle w:val="Hyperlink"/>
          </w:rPr>
          <w:t>Riigile vajalike hoonete tõhus korrashoid ja arendamine</w:t>
        </w:r>
        <w:r w:rsidR="002F4A30">
          <w:rPr>
            <w:webHidden/>
          </w:rPr>
          <w:tab/>
        </w:r>
        <w:r>
          <w:rPr>
            <w:webHidden/>
          </w:rPr>
          <w:fldChar w:fldCharType="begin"/>
        </w:r>
        <w:r w:rsidR="002F4A30">
          <w:rPr>
            <w:webHidden/>
          </w:rPr>
          <w:instrText xml:space="preserve"> PAGEREF _Toc433980735 \h </w:instrText>
        </w:r>
        <w:r>
          <w:rPr>
            <w:webHidden/>
          </w:rPr>
        </w:r>
        <w:r>
          <w:rPr>
            <w:webHidden/>
          </w:rPr>
          <w:fldChar w:fldCharType="separate"/>
        </w:r>
        <w:r w:rsidR="002516C8">
          <w:rPr>
            <w:webHidden/>
          </w:rPr>
          <w:t>80</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36" w:history="1">
        <w:r w:rsidR="002F4A30" w:rsidRPr="00005508">
          <w:rPr>
            <w:rStyle w:val="Hyperlink"/>
          </w:rPr>
          <w:t>2.5</w:t>
        </w:r>
        <w:r w:rsidR="002F4A30">
          <w:rPr>
            <w:rFonts w:asciiTheme="minorHAnsi" w:eastAsiaTheme="minorEastAsia" w:hAnsiTheme="minorHAnsi" w:cstheme="minorBidi"/>
            <w:szCs w:val="22"/>
            <w:lang w:eastAsia="et-EE"/>
          </w:rPr>
          <w:tab/>
        </w:r>
        <w:r w:rsidR="002F4A30" w:rsidRPr="00005508">
          <w:rPr>
            <w:rStyle w:val="Hyperlink"/>
          </w:rPr>
          <w:t>Riigi kinnisvaraportfelli optimeerimine ja mittevajalike hoonete müük</w:t>
        </w:r>
        <w:r w:rsidR="002F4A30">
          <w:rPr>
            <w:webHidden/>
          </w:rPr>
          <w:tab/>
        </w:r>
        <w:r>
          <w:rPr>
            <w:webHidden/>
          </w:rPr>
          <w:fldChar w:fldCharType="begin"/>
        </w:r>
        <w:r w:rsidR="002F4A30">
          <w:rPr>
            <w:webHidden/>
          </w:rPr>
          <w:instrText xml:space="preserve"> PAGEREF _Toc433980736 \h </w:instrText>
        </w:r>
        <w:r>
          <w:rPr>
            <w:webHidden/>
          </w:rPr>
        </w:r>
        <w:r>
          <w:rPr>
            <w:webHidden/>
          </w:rPr>
          <w:fldChar w:fldCharType="separate"/>
        </w:r>
        <w:r w:rsidR="002516C8">
          <w:rPr>
            <w:webHidden/>
          </w:rPr>
          <w:t>81</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37" w:history="1">
        <w:r w:rsidR="002F4A30" w:rsidRPr="00005508">
          <w:rPr>
            <w:rStyle w:val="Hyperlink"/>
          </w:rPr>
          <w:t>2.6</w:t>
        </w:r>
        <w:r w:rsidR="002F4A30">
          <w:rPr>
            <w:rFonts w:asciiTheme="minorHAnsi" w:eastAsiaTheme="minorEastAsia" w:hAnsiTheme="minorHAnsi" w:cstheme="minorBidi"/>
            <w:szCs w:val="22"/>
            <w:lang w:eastAsia="et-EE"/>
          </w:rPr>
          <w:tab/>
        </w:r>
        <w:r w:rsidR="002F4A30" w:rsidRPr="00005508">
          <w:rPr>
            <w:rStyle w:val="Hyperlink"/>
          </w:rPr>
          <w:t>Riigi kinnisvaraportfelli juhtimissüsteemi loomine.</w:t>
        </w:r>
        <w:r w:rsidR="002F4A30">
          <w:rPr>
            <w:webHidden/>
          </w:rPr>
          <w:tab/>
        </w:r>
        <w:r>
          <w:rPr>
            <w:webHidden/>
          </w:rPr>
          <w:fldChar w:fldCharType="begin"/>
        </w:r>
        <w:r w:rsidR="002F4A30">
          <w:rPr>
            <w:webHidden/>
          </w:rPr>
          <w:instrText xml:space="preserve"> PAGEREF _Toc433980737 \h </w:instrText>
        </w:r>
        <w:r>
          <w:rPr>
            <w:webHidden/>
          </w:rPr>
        </w:r>
        <w:r>
          <w:rPr>
            <w:webHidden/>
          </w:rPr>
          <w:fldChar w:fldCharType="separate"/>
        </w:r>
        <w:r w:rsidR="002516C8">
          <w:rPr>
            <w:webHidden/>
          </w:rPr>
          <w:t>83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38" w:history="1">
        <w:r w:rsidR="002F4A30" w:rsidRPr="00005508">
          <w:rPr>
            <w:rStyle w:val="Hyperlink"/>
          </w:rPr>
          <w:t>2.6.1</w:t>
        </w:r>
        <w:r w:rsidR="002F4A30">
          <w:rPr>
            <w:rFonts w:asciiTheme="minorHAnsi" w:eastAsiaTheme="minorEastAsia" w:hAnsiTheme="minorHAnsi" w:cstheme="minorBidi"/>
            <w:szCs w:val="22"/>
            <w:lang w:eastAsia="et-EE"/>
          </w:rPr>
          <w:tab/>
        </w:r>
        <w:r w:rsidR="002F4A30" w:rsidRPr="00005508">
          <w:rPr>
            <w:rStyle w:val="Hyperlink"/>
          </w:rPr>
          <w:t>Standardsete kinnisvara juhtimisprotsesside rakendamine</w:t>
        </w:r>
        <w:r w:rsidR="002F4A30">
          <w:rPr>
            <w:webHidden/>
          </w:rPr>
          <w:tab/>
        </w:r>
        <w:r>
          <w:rPr>
            <w:webHidden/>
          </w:rPr>
          <w:fldChar w:fldCharType="begin"/>
        </w:r>
        <w:r w:rsidR="002F4A30">
          <w:rPr>
            <w:webHidden/>
          </w:rPr>
          <w:instrText xml:space="preserve"> PAGEREF _Toc433980738 \h </w:instrText>
        </w:r>
        <w:r>
          <w:rPr>
            <w:webHidden/>
          </w:rPr>
        </w:r>
        <w:r>
          <w:rPr>
            <w:webHidden/>
          </w:rPr>
          <w:fldChar w:fldCharType="separate"/>
        </w:r>
        <w:r w:rsidR="002516C8">
          <w:rPr>
            <w:webHidden/>
          </w:rPr>
          <w:t>85</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39" w:history="1">
        <w:r w:rsidR="002F4A30" w:rsidRPr="00005508">
          <w:rPr>
            <w:rStyle w:val="Hyperlink"/>
          </w:rPr>
          <w:t>2.6.2</w:t>
        </w:r>
        <w:r w:rsidR="002F4A30">
          <w:rPr>
            <w:rFonts w:asciiTheme="minorHAnsi" w:eastAsiaTheme="minorEastAsia" w:hAnsiTheme="minorHAnsi" w:cstheme="minorBidi"/>
            <w:szCs w:val="22"/>
            <w:lang w:eastAsia="et-EE"/>
          </w:rPr>
          <w:tab/>
        </w:r>
        <w:r w:rsidR="002F4A30" w:rsidRPr="00005508">
          <w:rPr>
            <w:rStyle w:val="Hyperlink"/>
          </w:rPr>
          <w:t>Kinnisvarakulude rahastamise põhimõtete loomine ja rakendamine</w:t>
        </w:r>
        <w:r w:rsidR="002F4A30">
          <w:rPr>
            <w:webHidden/>
          </w:rPr>
          <w:tab/>
        </w:r>
        <w:r>
          <w:rPr>
            <w:webHidden/>
          </w:rPr>
          <w:fldChar w:fldCharType="begin"/>
        </w:r>
        <w:r w:rsidR="002F4A30">
          <w:rPr>
            <w:webHidden/>
          </w:rPr>
          <w:instrText xml:space="preserve"> PAGEREF _Toc433980739 \h </w:instrText>
        </w:r>
        <w:r>
          <w:rPr>
            <w:webHidden/>
          </w:rPr>
        </w:r>
        <w:r>
          <w:rPr>
            <w:webHidden/>
          </w:rPr>
          <w:fldChar w:fldCharType="separate"/>
        </w:r>
        <w:r w:rsidR="002516C8">
          <w:rPr>
            <w:webHidden/>
          </w:rPr>
          <w:t>86</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0" w:history="1">
        <w:r w:rsidR="002F4A30" w:rsidRPr="00005508">
          <w:rPr>
            <w:rStyle w:val="Hyperlink"/>
          </w:rPr>
          <w:t>2.6.3</w:t>
        </w:r>
        <w:r w:rsidR="002F4A30">
          <w:rPr>
            <w:rFonts w:asciiTheme="minorHAnsi" w:eastAsiaTheme="minorEastAsia" w:hAnsiTheme="minorHAnsi" w:cstheme="minorBidi"/>
            <w:szCs w:val="22"/>
            <w:lang w:eastAsia="et-EE"/>
          </w:rPr>
          <w:tab/>
        </w:r>
        <w:r w:rsidR="002F4A30" w:rsidRPr="00005508">
          <w:rPr>
            <w:rStyle w:val="Hyperlink"/>
          </w:rPr>
          <w:t>Kinnisvara juhtimisinfo ja infohalduse parendamine</w:t>
        </w:r>
        <w:r w:rsidR="002F4A30">
          <w:rPr>
            <w:webHidden/>
          </w:rPr>
          <w:tab/>
        </w:r>
        <w:r>
          <w:rPr>
            <w:webHidden/>
          </w:rPr>
          <w:fldChar w:fldCharType="begin"/>
        </w:r>
        <w:r w:rsidR="002F4A30">
          <w:rPr>
            <w:webHidden/>
          </w:rPr>
          <w:instrText xml:space="preserve"> PAGEREF _Toc433980740 \h </w:instrText>
        </w:r>
        <w:r>
          <w:rPr>
            <w:webHidden/>
          </w:rPr>
        </w:r>
        <w:r>
          <w:rPr>
            <w:webHidden/>
          </w:rPr>
          <w:fldChar w:fldCharType="separate"/>
        </w:r>
        <w:r w:rsidR="002516C8">
          <w:rPr>
            <w:webHidden/>
          </w:rPr>
          <w:t>90</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41" w:history="1">
        <w:r w:rsidR="002F4A30" w:rsidRPr="00005508">
          <w:rPr>
            <w:rStyle w:val="Hyperlink"/>
          </w:rPr>
          <w:t>2.7</w:t>
        </w:r>
        <w:r w:rsidR="002F4A30">
          <w:rPr>
            <w:rFonts w:asciiTheme="minorHAnsi" w:eastAsiaTheme="minorEastAsia" w:hAnsiTheme="minorHAnsi" w:cstheme="minorBidi"/>
            <w:szCs w:val="22"/>
            <w:lang w:eastAsia="et-EE"/>
          </w:rPr>
          <w:tab/>
        </w:r>
        <w:r w:rsidR="002F4A30" w:rsidRPr="00005508">
          <w:rPr>
            <w:rStyle w:val="Hyperlink"/>
          </w:rPr>
          <w:t>Riigi kinnisvarapoliitika ulatus ja seosed teiste poliitikatega</w:t>
        </w:r>
        <w:r w:rsidR="002F4A30">
          <w:rPr>
            <w:webHidden/>
          </w:rPr>
          <w:tab/>
        </w:r>
        <w:r>
          <w:rPr>
            <w:webHidden/>
          </w:rPr>
          <w:fldChar w:fldCharType="begin"/>
        </w:r>
        <w:r w:rsidR="002F4A30">
          <w:rPr>
            <w:webHidden/>
          </w:rPr>
          <w:instrText xml:space="preserve"> PAGEREF _Toc433980741 \h </w:instrText>
        </w:r>
        <w:r>
          <w:rPr>
            <w:webHidden/>
          </w:rPr>
        </w:r>
        <w:r>
          <w:rPr>
            <w:webHidden/>
          </w:rPr>
          <w:fldChar w:fldCharType="separate"/>
        </w:r>
        <w:r w:rsidR="002516C8">
          <w:rPr>
            <w:webHidden/>
          </w:rPr>
          <w:t>92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2" w:history="1">
        <w:r w:rsidR="002F4A30" w:rsidRPr="00005508">
          <w:rPr>
            <w:rStyle w:val="Hyperlink"/>
          </w:rPr>
          <w:t>2.7.1</w:t>
        </w:r>
        <w:r w:rsidR="002F4A30">
          <w:rPr>
            <w:rFonts w:asciiTheme="minorHAnsi" w:eastAsiaTheme="minorEastAsia" w:hAnsiTheme="minorHAnsi" w:cstheme="minorBidi"/>
            <w:szCs w:val="22"/>
            <w:lang w:eastAsia="et-EE"/>
          </w:rPr>
          <w:tab/>
        </w:r>
        <w:r w:rsidR="002F4A30" w:rsidRPr="00005508">
          <w:rPr>
            <w:rStyle w:val="Hyperlink"/>
          </w:rPr>
          <w:t>Riik kui eeskuju näitaja riigiüleste poliitikate elluviimisel</w:t>
        </w:r>
        <w:r w:rsidR="002F4A30">
          <w:rPr>
            <w:webHidden/>
          </w:rPr>
          <w:tab/>
        </w:r>
        <w:r>
          <w:rPr>
            <w:webHidden/>
          </w:rPr>
          <w:fldChar w:fldCharType="begin"/>
        </w:r>
        <w:r w:rsidR="002F4A30">
          <w:rPr>
            <w:webHidden/>
          </w:rPr>
          <w:instrText xml:space="preserve"> PAGEREF _Toc433980742 \h </w:instrText>
        </w:r>
        <w:r>
          <w:rPr>
            <w:webHidden/>
          </w:rPr>
        </w:r>
        <w:r>
          <w:rPr>
            <w:webHidden/>
          </w:rPr>
          <w:fldChar w:fldCharType="separate"/>
        </w:r>
        <w:r w:rsidR="002516C8">
          <w:rPr>
            <w:webHidden/>
          </w:rPr>
          <w:t>92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3" w:history="1">
        <w:r w:rsidR="002F4A30" w:rsidRPr="00005508">
          <w:rPr>
            <w:rStyle w:val="Hyperlink"/>
          </w:rPr>
          <w:t>2.7.2</w:t>
        </w:r>
        <w:r w:rsidR="002F4A30">
          <w:rPr>
            <w:rFonts w:asciiTheme="minorHAnsi" w:eastAsiaTheme="minorEastAsia" w:hAnsiTheme="minorHAnsi" w:cstheme="minorBidi"/>
            <w:szCs w:val="22"/>
            <w:lang w:eastAsia="et-EE"/>
          </w:rPr>
          <w:tab/>
        </w:r>
        <w:r w:rsidR="002F4A30" w:rsidRPr="00005508">
          <w:rPr>
            <w:rStyle w:val="Hyperlink"/>
          </w:rPr>
          <w:t>Seosed teiste riigi siseste poliitikaga</w:t>
        </w:r>
        <w:r w:rsidR="002F4A30">
          <w:rPr>
            <w:webHidden/>
          </w:rPr>
          <w:tab/>
        </w:r>
        <w:r>
          <w:rPr>
            <w:webHidden/>
          </w:rPr>
          <w:fldChar w:fldCharType="begin"/>
        </w:r>
        <w:r w:rsidR="002F4A30">
          <w:rPr>
            <w:webHidden/>
          </w:rPr>
          <w:instrText xml:space="preserve"> PAGEREF _Toc433980743 \h </w:instrText>
        </w:r>
        <w:r>
          <w:rPr>
            <w:webHidden/>
          </w:rPr>
        </w:r>
        <w:r>
          <w:rPr>
            <w:webHidden/>
          </w:rPr>
          <w:fldChar w:fldCharType="separate"/>
        </w:r>
        <w:r w:rsidR="002516C8">
          <w:rPr>
            <w:webHidden/>
          </w:rPr>
          <w:t>94</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4" w:history="1">
        <w:r w:rsidR="002F4A30" w:rsidRPr="00005508">
          <w:rPr>
            <w:rStyle w:val="Hyperlink"/>
          </w:rPr>
          <w:t>2.7.3</w:t>
        </w:r>
        <w:r w:rsidR="002F4A30">
          <w:rPr>
            <w:rFonts w:asciiTheme="minorHAnsi" w:eastAsiaTheme="minorEastAsia" w:hAnsiTheme="minorHAnsi" w:cstheme="minorBidi"/>
            <w:szCs w:val="22"/>
            <w:lang w:eastAsia="et-EE"/>
          </w:rPr>
          <w:tab/>
        </w:r>
        <w:r w:rsidR="002F4A30" w:rsidRPr="00005508">
          <w:rPr>
            <w:rStyle w:val="Hyperlink"/>
          </w:rPr>
          <w:t>Seosed riigihaldus- ja regionaalpoliitikaga (riigireformiga)</w:t>
        </w:r>
        <w:r w:rsidR="002F4A30">
          <w:rPr>
            <w:webHidden/>
          </w:rPr>
          <w:tab/>
        </w:r>
        <w:r>
          <w:rPr>
            <w:webHidden/>
          </w:rPr>
          <w:fldChar w:fldCharType="begin"/>
        </w:r>
        <w:r w:rsidR="002F4A30">
          <w:rPr>
            <w:webHidden/>
          </w:rPr>
          <w:instrText xml:space="preserve"> PAGEREF _Toc433980744 \h </w:instrText>
        </w:r>
        <w:r>
          <w:rPr>
            <w:webHidden/>
          </w:rPr>
        </w:r>
        <w:r>
          <w:rPr>
            <w:webHidden/>
          </w:rPr>
          <w:fldChar w:fldCharType="separate"/>
        </w:r>
        <w:r w:rsidR="002516C8">
          <w:rPr>
            <w:webHidden/>
          </w:rPr>
          <w:t>96</w:t>
        </w:r>
        <w:r>
          <w:rPr>
            <w:webHidden/>
          </w:rPr>
          <w:fldChar w:fldCharType="end"/>
        </w:r>
      </w:hyperlink>
    </w:p>
    <w:p w:rsidR="002F4A30" w:rsidRDefault="00A85FDC">
      <w:pPr>
        <w:pStyle w:val="TOC1"/>
        <w:rPr>
          <w:rFonts w:asciiTheme="minorHAnsi" w:eastAsiaTheme="minorEastAsia" w:hAnsiTheme="minorHAnsi" w:cstheme="minorBidi"/>
          <w:sz w:val="22"/>
          <w:szCs w:val="22"/>
          <w:lang w:eastAsia="et-EE"/>
        </w:rPr>
      </w:pPr>
      <w:hyperlink w:anchor="_Toc433980745" w:history="1">
        <w:r w:rsidR="002F4A30" w:rsidRPr="00005508">
          <w:rPr>
            <w:rStyle w:val="Hyperlink"/>
          </w:rPr>
          <w:t>3.</w:t>
        </w:r>
        <w:r w:rsidR="002F4A30">
          <w:rPr>
            <w:rFonts w:asciiTheme="minorHAnsi" w:eastAsiaTheme="minorEastAsia" w:hAnsiTheme="minorHAnsi" w:cstheme="minorBidi"/>
            <w:sz w:val="22"/>
            <w:szCs w:val="22"/>
            <w:lang w:eastAsia="et-EE"/>
          </w:rPr>
          <w:tab/>
        </w:r>
        <w:r w:rsidR="002F4A30" w:rsidRPr="00005508">
          <w:rPr>
            <w:rStyle w:val="Hyperlink"/>
          </w:rPr>
          <w:t>RAHASTAMINE</w:t>
        </w:r>
        <w:r w:rsidR="002F4A30">
          <w:rPr>
            <w:webHidden/>
          </w:rPr>
          <w:tab/>
        </w:r>
        <w:r>
          <w:rPr>
            <w:webHidden/>
          </w:rPr>
          <w:fldChar w:fldCharType="begin"/>
        </w:r>
        <w:r w:rsidR="002F4A30">
          <w:rPr>
            <w:webHidden/>
          </w:rPr>
          <w:instrText xml:space="preserve"> PAGEREF _Toc433980745 \h </w:instrText>
        </w:r>
        <w:r>
          <w:rPr>
            <w:webHidden/>
          </w:rPr>
        </w:r>
        <w:r>
          <w:rPr>
            <w:webHidden/>
          </w:rPr>
          <w:fldChar w:fldCharType="separate"/>
        </w:r>
        <w:r w:rsidR="002516C8">
          <w:rPr>
            <w:webHidden/>
          </w:rPr>
          <w:t>97</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46" w:history="1">
        <w:r w:rsidR="002F4A30" w:rsidRPr="00005508">
          <w:rPr>
            <w:rStyle w:val="Hyperlink"/>
          </w:rPr>
          <w:t>3.1</w:t>
        </w:r>
        <w:r w:rsidR="002F4A30">
          <w:rPr>
            <w:rFonts w:asciiTheme="minorHAnsi" w:eastAsiaTheme="minorEastAsia" w:hAnsiTheme="minorHAnsi" w:cstheme="minorBidi"/>
            <w:szCs w:val="22"/>
            <w:lang w:eastAsia="et-EE"/>
          </w:rPr>
          <w:tab/>
        </w:r>
        <w:r w:rsidR="002F4A30" w:rsidRPr="00005508">
          <w:rPr>
            <w:rStyle w:val="Hyperlink"/>
          </w:rPr>
          <w:t>Ülevaade riigi kinnisvarakuludest</w:t>
        </w:r>
        <w:r w:rsidR="002F4A30">
          <w:rPr>
            <w:webHidden/>
          </w:rPr>
          <w:tab/>
        </w:r>
        <w:r>
          <w:rPr>
            <w:webHidden/>
          </w:rPr>
          <w:fldChar w:fldCharType="begin"/>
        </w:r>
        <w:r w:rsidR="002F4A30">
          <w:rPr>
            <w:webHidden/>
          </w:rPr>
          <w:instrText xml:space="preserve"> PAGEREF _Toc433980746 \h </w:instrText>
        </w:r>
        <w:r>
          <w:rPr>
            <w:webHidden/>
          </w:rPr>
        </w:r>
        <w:r>
          <w:rPr>
            <w:webHidden/>
          </w:rPr>
          <w:fldChar w:fldCharType="separate"/>
        </w:r>
        <w:r w:rsidR="002516C8">
          <w:rPr>
            <w:webHidden/>
          </w:rPr>
          <w:t>97</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7" w:history="1">
        <w:r w:rsidR="002F4A30" w:rsidRPr="00005508">
          <w:rPr>
            <w:rStyle w:val="Hyperlink"/>
          </w:rPr>
          <w:t>3.1.1</w:t>
        </w:r>
        <w:r w:rsidR="002F4A30">
          <w:rPr>
            <w:rFonts w:asciiTheme="minorHAnsi" w:eastAsiaTheme="minorEastAsia" w:hAnsiTheme="minorHAnsi" w:cstheme="minorBidi"/>
            <w:szCs w:val="22"/>
            <w:lang w:eastAsia="et-EE"/>
          </w:rPr>
          <w:tab/>
        </w:r>
        <w:r w:rsidR="002F4A30" w:rsidRPr="00005508">
          <w:rPr>
            <w:rStyle w:val="Hyperlink"/>
          </w:rPr>
          <w:t>Kulude kajastamine eelarves ja raamatupidamises</w:t>
        </w:r>
        <w:r w:rsidR="002F4A30">
          <w:rPr>
            <w:webHidden/>
          </w:rPr>
          <w:tab/>
        </w:r>
        <w:r>
          <w:rPr>
            <w:webHidden/>
          </w:rPr>
          <w:fldChar w:fldCharType="begin"/>
        </w:r>
        <w:r w:rsidR="002F4A30">
          <w:rPr>
            <w:webHidden/>
          </w:rPr>
          <w:instrText xml:space="preserve"> PAGEREF _Toc433980747 \h </w:instrText>
        </w:r>
        <w:r>
          <w:rPr>
            <w:webHidden/>
          </w:rPr>
        </w:r>
        <w:r>
          <w:rPr>
            <w:webHidden/>
          </w:rPr>
          <w:fldChar w:fldCharType="separate"/>
        </w:r>
        <w:r w:rsidR="002516C8">
          <w:rPr>
            <w:webHidden/>
          </w:rPr>
          <w:t>97</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8" w:history="1">
        <w:r w:rsidR="002F4A30" w:rsidRPr="00005508">
          <w:rPr>
            <w:rStyle w:val="Hyperlink"/>
          </w:rPr>
          <w:t>3.1.2</w:t>
        </w:r>
        <w:r w:rsidR="002F4A30">
          <w:rPr>
            <w:rFonts w:asciiTheme="minorHAnsi" w:eastAsiaTheme="minorEastAsia" w:hAnsiTheme="minorHAnsi" w:cstheme="minorBidi"/>
            <w:szCs w:val="22"/>
            <w:lang w:eastAsia="et-EE"/>
          </w:rPr>
          <w:tab/>
        </w:r>
        <w:r w:rsidR="002F4A30" w:rsidRPr="00005508">
          <w:rPr>
            <w:rStyle w:val="Hyperlink"/>
          </w:rPr>
          <w:t>Majandamiskulud, sh üürimaksed</w:t>
        </w:r>
        <w:r w:rsidR="002F4A30">
          <w:rPr>
            <w:webHidden/>
          </w:rPr>
          <w:tab/>
        </w:r>
        <w:r>
          <w:rPr>
            <w:webHidden/>
          </w:rPr>
          <w:fldChar w:fldCharType="begin"/>
        </w:r>
        <w:r w:rsidR="002F4A30">
          <w:rPr>
            <w:webHidden/>
          </w:rPr>
          <w:instrText xml:space="preserve"> PAGEREF _Toc433980748 \h </w:instrText>
        </w:r>
        <w:r>
          <w:rPr>
            <w:webHidden/>
          </w:rPr>
        </w:r>
        <w:r>
          <w:rPr>
            <w:webHidden/>
          </w:rPr>
          <w:fldChar w:fldCharType="separate"/>
        </w:r>
        <w:r w:rsidR="002516C8">
          <w:rPr>
            <w:webHidden/>
          </w:rPr>
          <w:t>97</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49" w:history="1">
        <w:r w:rsidR="002F4A30" w:rsidRPr="00005508">
          <w:rPr>
            <w:rStyle w:val="Hyperlink"/>
          </w:rPr>
          <w:t>3.1.3</w:t>
        </w:r>
        <w:r w:rsidR="002F4A30">
          <w:rPr>
            <w:rFonts w:asciiTheme="minorHAnsi" w:eastAsiaTheme="minorEastAsia" w:hAnsiTheme="minorHAnsi" w:cstheme="minorBidi"/>
            <w:szCs w:val="22"/>
            <w:lang w:eastAsia="et-EE"/>
          </w:rPr>
          <w:tab/>
        </w:r>
        <w:r w:rsidR="002F4A30" w:rsidRPr="00005508">
          <w:rPr>
            <w:rStyle w:val="Hyperlink"/>
          </w:rPr>
          <w:t>Investeeringud</w:t>
        </w:r>
        <w:r w:rsidR="002F4A30">
          <w:rPr>
            <w:webHidden/>
          </w:rPr>
          <w:tab/>
        </w:r>
        <w:r>
          <w:rPr>
            <w:webHidden/>
          </w:rPr>
          <w:fldChar w:fldCharType="begin"/>
        </w:r>
        <w:r w:rsidR="002F4A30">
          <w:rPr>
            <w:webHidden/>
          </w:rPr>
          <w:instrText xml:space="preserve"> PAGEREF _Toc433980749 \h </w:instrText>
        </w:r>
        <w:r>
          <w:rPr>
            <w:webHidden/>
          </w:rPr>
        </w:r>
        <w:r>
          <w:rPr>
            <w:webHidden/>
          </w:rPr>
          <w:fldChar w:fldCharType="separate"/>
        </w:r>
        <w:r w:rsidR="002516C8">
          <w:rPr>
            <w:webHidden/>
          </w:rPr>
          <w:t>102</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50" w:history="1">
        <w:r w:rsidR="002F4A30" w:rsidRPr="00005508">
          <w:rPr>
            <w:rStyle w:val="Hyperlink"/>
          </w:rPr>
          <w:t>3.2</w:t>
        </w:r>
        <w:r w:rsidR="002F4A30">
          <w:rPr>
            <w:rFonts w:asciiTheme="minorHAnsi" w:eastAsiaTheme="minorEastAsia" w:hAnsiTheme="minorHAnsi" w:cstheme="minorBidi"/>
            <w:szCs w:val="22"/>
            <w:lang w:eastAsia="et-EE"/>
          </w:rPr>
          <w:tab/>
        </w:r>
        <w:r w:rsidR="002F4A30" w:rsidRPr="00005508">
          <w:rPr>
            <w:rStyle w:val="Hyperlink"/>
          </w:rPr>
          <w:t>Rahastamise probleemid ja analüüs</w:t>
        </w:r>
        <w:r w:rsidR="002F4A30">
          <w:rPr>
            <w:webHidden/>
          </w:rPr>
          <w:tab/>
        </w:r>
        <w:r>
          <w:rPr>
            <w:webHidden/>
          </w:rPr>
          <w:fldChar w:fldCharType="begin"/>
        </w:r>
        <w:r w:rsidR="002F4A30">
          <w:rPr>
            <w:webHidden/>
          </w:rPr>
          <w:instrText xml:space="preserve"> PAGEREF _Toc433980750 \h </w:instrText>
        </w:r>
        <w:r>
          <w:rPr>
            <w:webHidden/>
          </w:rPr>
        </w:r>
        <w:r>
          <w:rPr>
            <w:webHidden/>
          </w:rPr>
          <w:fldChar w:fldCharType="separate"/>
        </w:r>
        <w:r w:rsidR="002516C8">
          <w:rPr>
            <w:webHidden/>
          </w:rPr>
          <w:t>103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1" w:history="1">
        <w:r w:rsidR="002F4A30" w:rsidRPr="00005508">
          <w:rPr>
            <w:rStyle w:val="Hyperlink"/>
          </w:rPr>
          <w:t>3.2.1</w:t>
        </w:r>
        <w:r w:rsidR="002F4A30">
          <w:rPr>
            <w:rFonts w:asciiTheme="minorHAnsi" w:eastAsiaTheme="minorEastAsia" w:hAnsiTheme="minorHAnsi" w:cstheme="minorBidi"/>
            <w:szCs w:val="22"/>
            <w:lang w:eastAsia="et-EE"/>
          </w:rPr>
          <w:tab/>
        </w:r>
        <w:r w:rsidR="002F4A30" w:rsidRPr="00005508">
          <w:rPr>
            <w:rStyle w:val="Hyperlink"/>
          </w:rPr>
          <w:t>Probleemid riigi kinnisvara rahastamisel</w:t>
        </w:r>
        <w:r w:rsidR="002F4A30">
          <w:rPr>
            <w:webHidden/>
          </w:rPr>
          <w:tab/>
        </w:r>
        <w:r>
          <w:rPr>
            <w:webHidden/>
          </w:rPr>
          <w:fldChar w:fldCharType="begin"/>
        </w:r>
        <w:r w:rsidR="002F4A30">
          <w:rPr>
            <w:webHidden/>
          </w:rPr>
          <w:instrText xml:space="preserve"> PAGEREF _Toc433980751 \h </w:instrText>
        </w:r>
        <w:r>
          <w:rPr>
            <w:webHidden/>
          </w:rPr>
        </w:r>
        <w:r>
          <w:rPr>
            <w:webHidden/>
          </w:rPr>
          <w:fldChar w:fldCharType="separate"/>
        </w:r>
        <w:r w:rsidR="002516C8">
          <w:rPr>
            <w:webHidden/>
          </w:rPr>
          <w:t>103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2" w:history="1">
        <w:r w:rsidR="002F4A30" w:rsidRPr="00005508">
          <w:rPr>
            <w:rStyle w:val="Hyperlink"/>
          </w:rPr>
          <w:t>3.2.2</w:t>
        </w:r>
        <w:r w:rsidR="002F4A30">
          <w:rPr>
            <w:rFonts w:asciiTheme="minorHAnsi" w:eastAsiaTheme="minorEastAsia" w:hAnsiTheme="minorHAnsi" w:cstheme="minorBidi"/>
            <w:szCs w:val="22"/>
            <w:lang w:eastAsia="et-EE"/>
          </w:rPr>
          <w:tab/>
        </w:r>
        <w:r w:rsidR="002F4A30" w:rsidRPr="00005508">
          <w:rPr>
            <w:rStyle w:val="Hyperlink"/>
          </w:rPr>
          <w:t>Analüüsi küsimused</w:t>
        </w:r>
        <w:r w:rsidR="002F4A30">
          <w:rPr>
            <w:webHidden/>
          </w:rPr>
          <w:tab/>
        </w:r>
        <w:r>
          <w:rPr>
            <w:webHidden/>
          </w:rPr>
          <w:fldChar w:fldCharType="begin"/>
        </w:r>
        <w:r w:rsidR="002F4A30">
          <w:rPr>
            <w:webHidden/>
          </w:rPr>
          <w:instrText xml:space="preserve"> PAGEREF _Toc433980752 \h </w:instrText>
        </w:r>
        <w:r>
          <w:rPr>
            <w:webHidden/>
          </w:rPr>
        </w:r>
        <w:r>
          <w:rPr>
            <w:webHidden/>
          </w:rPr>
          <w:fldChar w:fldCharType="separate"/>
        </w:r>
        <w:r w:rsidR="002516C8">
          <w:rPr>
            <w:webHidden/>
          </w:rPr>
          <w:t>104</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3" w:history="1">
        <w:r w:rsidR="002F4A30" w:rsidRPr="00005508">
          <w:rPr>
            <w:rStyle w:val="Hyperlink"/>
          </w:rPr>
          <w:t>3.2.3</w:t>
        </w:r>
        <w:r w:rsidR="002F4A30">
          <w:rPr>
            <w:rFonts w:asciiTheme="minorHAnsi" w:eastAsiaTheme="minorEastAsia" w:hAnsiTheme="minorHAnsi" w:cstheme="minorBidi"/>
            <w:szCs w:val="22"/>
            <w:lang w:eastAsia="et-EE"/>
          </w:rPr>
          <w:tab/>
        </w:r>
        <w:r w:rsidR="002F4A30" w:rsidRPr="00005508">
          <w:rPr>
            <w:rStyle w:val="Hyperlink"/>
          </w:rPr>
          <w:t>Analüüsitava portfelli kirjeldus</w:t>
        </w:r>
        <w:r w:rsidR="002F4A30">
          <w:rPr>
            <w:webHidden/>
          </w:rPr>
          <w:tab/>
        </w:r>
        <w:r>
          <w:rPr>
            <w:webHidden/>
          </w:rPr>
          <w:fldChar w:fldCharType="begin"/>
        </w:r>
        <w:r w:rsidR="002F4A30">
          <w:rPr>
            <w:webHidden/>
          </w:rPr>
          <w:instrText xml:space="preserve"> PAGEREF _Toc433980753 \h </w:instrText>
        </w:r>
        <w:r>
          <w:rPr>
            <w:webHidden/>
          </w:rPr>
        </w:r>
        <w:r>
          <w:rPr>
            <w:webHidden/>
          </w:rPr>
          <w:fldChar w:fldCharType="separate"/>
        </w:r>
        <w:r w:rsidR="002516C8">
          <w:rPr>
            <w:webHidden/>
          </w:rPr>
          <w:t>105</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4" w:history="1">
        <w:r w:rsidR="002F4A30" w:rsidRPr="00005508">
          <w:rPr>
            <w:rStyle w:val="Hyperlink"/>
          </w:rPr>
          <w:t>3.2.4</w:t>
        </w:r>
        <w:r w:rsidR="002F4A30">
          <w:rPr>
            <w:rFonts w:asciiTheme="minorHAnsi" w:eastAsiaTheme="minorEastAsia" w:hAnsiTheme="minorHAnsi" w:cstheme="minorBidi"/>
            <w:szCs w:val="22"/>
            <w:lang w:eastAsia="et-EE"/>
          </w:rPr>
          <w:tab/>
        </w:r>
        <w:r w:rsidR="002F4A30" w:rsidRPr="00005508">
          <w:rPr>
            <w:rStyle w:val="Hyperlink"/>
          </w:rPr>
          <w:t>Analüüsi etapid</w:t>
        </w:r>
        <w:r w:rsidR="002F4A30">
          <w:rPr>
            <w:webHidden/>
          </w:rPr>
          <w:tab/>
        </w:r>
        <w:r>
          <w:rPr>
            <w:webHidden/>
          </w:rPr>
          <w:fldChar w:fldCharType="begin"/>
        </w:r>
        <w:r w:rsidR="002F4A30">
          <w:rPr>
            <w:webHidden/>
          </w:rPr>
          <w:instrText xml:space="preserve"> PAGEREF _Toc433980754 \h </w:instrText>
        </w:r>
        <w:r>
          <w:rPr>
            <w:webHidden/>
          </w:rPr>
        </w:r>
        <w:r>
          <w:rPr>
            <w:webHidden/>
          </w:rPr>
          <w:fldChar w:fldCharType="separate"/>
        </w:r>
        <w:r w:rsidR="002516C8">
          <w:rPr>
            <w:webHidden/>
          </w:rPr>
          <w:t>106</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5" w:history="1">
        <w:r w:rsidR="002F4A30" w:rsidRPr="00005508">
          <w:rPr>
            <w:rStyle w:val="Hyperlink"/>
          </w:rPr>
          <w:t>3.2.5</w:t>
        </w:r>
        <w:r w:rsidR="002F4A30">
          <w:rPr>
            <w:rFonts w:asciiTheme="minorHAnsi" w:eastAsiaTheme="minorEastAsia" w:hAnsiTheme="minorHAnsi" w:cstheme="minorBidi"/>
            <w:szCs w:val="22"/>
            <w:lang w:eastAsia="et-EE"/>
          </w:rPr>
          <w:tab/>
        </w:r>
        <w:r w:rsidR="002F4A30" w:rsidRPr="00005508">
          <w:rPr>
            <w:rStyle w:val="Hyperlink"/>
          </w:rPr>
          <w:t>Analüüsi ja selle tulemuste kasutamise piirangud</w:t>
        </w:r>
        <w:r w:rsidR="002F4A30">
          <w:rPr>
            <w:webHidden/>
          </w:rPr>
          <w:tab/>
        </w:r>
        <w:r>
          <w:rPr>
            <w:webHidden/>
          </w:rPr>
          <w:fldChar w:fldCharType="begin"/>
        </w:r>
        <w:r w:rsidR="002F4A30">
          <w:rPr>
            <w:webHidden/>
          </w:rPr>
          <w:instrText xml:space="preserve"> PAGEREF _Toc433980755 \h </w:instrText>
        </w:r>
        <w:r>
          <w:rPr>
            <w:webHidden/>
          </w:rPr>
        </w:r>
        <w:r>
          <w:rPr>
            <w:webHidden/>
          </w:rPr>
          <w:fldChar w:fldCharType="separate"/>
        </w:r>
        <w:r w:rsidR="002516C8">
          <w:rPr>
            <w:webHidden/>
          </w:rPr>
          <w:t>107</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56" w:history="1">
        <w:r w:rsidR="002F4A30" w:rsidRPr="00005508">
          <w:rPr>
            <w:rStyle w:val="Hyperlink"/>
          </w:rPr>
          <w:t>3.3</w:t>
        </w:r>
        <w:r w:rsidR="002F4A30">
          <w:rPr>
            <w:rFonts w:asciiTheme="minorHAnsi" w:eastAsiaTheme="minorEastAsia" w:hAnsiTheme="minorHAnsi" w:cstheme="minorBidi"/>
            <w:szCs w:val="22"/>
            <w:lang w:eastAsia="et-EE"/>
          </w:rPr>
          <w:tab/>
        </w:r>
        <w:r w:rsidR="002F4A30" w:rsidRPr="00005508">
          <w:rPr>
            <w:rStyle w:val="Hyperlink"/>
          </w:rPr>
          <w:t>Rahastamisvõimaluste analüüsi järeldused</w:t>
        </w:r>
        <w:r w:rsidR="002F4A30">
          <w:rPr>
            <w:webHidden/>
          </w:rPr>
          <w:tab/>
        </w:r>
        <w:r>
          <w:rPr>
            <w:webHidden/>
          </w:rPr>
          <w:fldChar w:fldCharType="begin"/>
        </w:r>
        <w:r w:rsidR="002F4A30">
          <w:rPr>
            <w:webHidden/>
          </w:rPr>
          <w:instrText xml:space="preserve"> PAGEREF _Toc433980756 \h </w:instrText>
        </w:r>
        <w:r>
          <w:rPr>
            <w:webHidden/>
          </w:rPr>
        </w:r>
        <w:r>
          <w:rPr>
            <w:webHidden/>
          </w:rPr>
          <w:fldChar w:fldCharType="separate"/>
        </w:r>
        <w:r w:rsidR="002516C8">
          <w:rPr>
            <w:webHidden/>
          </w:rPr>
          <w:t>108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7" w:history="1">
        <w:r w:rsidR="002F4A30" w:rsidRPr="00005508">
          <w:rPr>
            <w:rStyle w:val="Hyperlink"/>
          </w:rPr>
          <w:t>3.3.1</w:t>
        </w:r>
        <w:r w:rsidR="002F4A30">
          <w:rPr>
            <w:rFonts w:asciiTheme="minorHAnsi" w:eastAsiaTheme="minorEastAsia" w:hAnsiTheme="minorHAnsi" w:cstheme="minorBidi"/>
            <w:szCs w:val="22"/>
            <w:lang w:eastAsia="et-EE"/>
          </w:rPr>
          <w:tab/>
        </w:r>
        <w:r w:rsidR="002F4A30" w:rsidRPr="00005508">
          <w:rPr>
            <w:rStyle w:val="Hyperlink"/>
          </w:rPr>
          <w:t>Kinnisvara rahastamise võimalused riigieelarves</w:t>
        </w:r>
        <w:r w:rsidR="002F4A30">
          <w:rPr>
            <w:webHidden/>
          </w:rPr>
          <w:tab/>
        </w:r>
        <w:r>
          <w:rPr>
            <w:webHidden/>
          </w:rPr>
          <w:fldChar w:fldCharType="begin"/>
        </w:r>
        <w:r w:rsidR="002F4A30">
          <w:rPr>
            <w:webHidden/>
          </w:rPr>
          <w:instrText xml:space="preserve"> PAGEREF _Toc433980757 \h </w:instrText>
        </w:r>
        <w:r>
          <w:rPr>
            <w:webHidden/>
          </w:rPr>
        </w:r>
        <w:r>
          <w:rPr>
            <w:webHidden/>
          </w:rPr>
          <w:fldChar w:fldCharType="separate"/>
        </w:r>
        <w:r w:rsidR="002516C8">
          <w:rPr>
            <w:webHidden/>
          </w:rPr>
          <w:t>108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8" w:history="1">
        <w:r w:rsidR="002F4A30" w:rsidRPr="00005508">
          <w:rPr>
            <w:rStyle w:val="Hyperlink"/>
          </w:rPr>
          <w:t>3.3.2</w:t>
        </w:r>
        <w:r w:rsidR="002F4A30">
          <w:rPr>
            <w:rFonts w:asciiTheme="minorHAnsi" w:eastAsiaTheme="minorEastAsia" w:hAnsiTheme="minorHAnsi" w:cstheme="minorBidi"/>
            <w:szCs w:val="22"/>
            <w:lang w:eastAsia="et-EE"/>
          </w:rPr>
          <w:tab/>
        </w:r>
        <w:r w:rsidR="002F4A30" w:rsidRPr="00005508">
          <w:rPr>
            <w:rStyle w:val="Hyperlink"/>
          </w:rPr>
          <w:t>Strateegiliste valikute alternatiivid</w:t>
        </w:r>
        <w:r w:rsidR="002F4A30">
          <w:rPr>
            <w:webHidden/>
          </w:rPr>
          <w:tab/>
        </w:r>
        <w:r>
          <w:rPr>
            <w:webHidden/>
          </w:rPr>
          <w:fldChar w:fldCharType="begin"/>
        </w:r>
        <w:r w:rsidR="002F4A30">
          <w:rPr>
            <w:webHidden/>
          </w:rPr>
          <w:instrText xml:space="preserve"> PAGEREF _Toc433980758 \h </w:instrText>
        </w:r>
        <w:r>
          <w:rPr>
            <w:webHidden/>
          </w:rPr>
        </w:r>
        <w:r>
          <w:rPr>
            <w:webHidden/>
          </w:rPr>
          <w:fldChar w:fldCharType="separate"/>
        </w:r>
        <w:r w:rsidR="002516C8">
          <w:rPr>
            <w:webHidden/>
          </w:rPr>
          <w:t>109</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59" w:history="1">
        <w:r w:rsidR="002F4A30" w:rsidRPr="00005508">
          <w:rPr>
            <w:rStyle w:val="Hyperlink"/>
          </w:rPr>
          <w:t>3.3.3</w:t>
        </w:r>
        <w:r w:rsidR="002F4A30">
          <w:rPr>
            <w:rFonts w:asciiTheme="minorHAnsi" w:eastAsiaTheme="minorEastAsia" w:hAnsiTheme="minorHAnsi" w:cstheme="minorBidi"/>
            <w:szCs w:val="22"/>
            <w:lang w:eastAsia="et-EE"/>
          </w:rPr>
          <w:tab/>
        </w:r>
        <w:r w:rsidR="002F4A30" w:rsidRPr="00005508">
          <w:rPr>
            <w:rStyle w:val="Hyperlink"/>
          </w:rPr>
          <w:t>Analüüsi stsenaariumid</w:t>
        </w:r>
        <w:r w:rsidR="002F4A30">
          <w:rPr>
            <w:webHidden/>
          </w:rPr>
          <w:tab/>
        </w:r>
        <w:r>
          <w:rPr>
            <w:webHidden/>
          </w:rPr>
          <w:fldChar w:fldCharType="begin"/>
        </w:r>
        <w:r w:rsidR="002F4A30">
          <w:rPr>
            <w:webHidden/>
          </w:rPr>
          <w:instrText xml:space="preserve"> PAGEREF _Toc433980759 \h </w:instrText>
        </w:r>
        <w:r>
          <w:rPr>
            <w:webHidden/>
          </w:rPr>
        </w:r>
        <w:r>
          <w:rPr>
            <w:webHidden/>
          </w:rPr>
          <w:fldChar w:fldCharType="separate"/>
        </w:r>
        <w:r w:rsidR="002516C8">
          <w:rPr>
            <w:webHidden/>
          </w:rPr>
          <w:t>111</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0" w:history="1">
        <w:r w:rsidR="002F4A30" w:rsidRPr="00005508">
          <w:rPr>
            <w:rStyle w:val="Hyperlink"/>
          </w:rPr>
          <w:t>3.3.4</w:t>
        </w:r>
        <w:r w:rsidR="002F4A30">
          <w:rPr>
            <w:rFonts w:asciiTheme="minorHAnsi" w:eastAsiaTheme="minorEastAsia" w:hAnsiTheme="minorHAnsi" w:cstheme="minorBidi"/>
            <w:szCs w:val="22"/>
            <w:lang w:eastAsia="et-EE"/>
          </w:rPr>
          <w:tab/>
        </w:r>
        <w:r w:rsidR="002F4A30" w:rsidRPr="00005508">
          <w:rPr>
            <w:rStyle w:val="Hyperlink"/>
          </w:rPr>
          <w:t>Stsenaariumite analüüsis kasutatud põhieeldused ja sisendid</w:t>
        </w:r>
        <w:r w:rsidR="002F4A30">
          <w:rPr>
            <w:webHidden/>
          </w:rPr>
          <w:tab/>
        </w:r>
        <w:r>
          <w:rPr>
            <w:webHidden/>
          </w:rPr>
          <w:fldChar w:fldCharType="begin"/>
        </w:r>
        <w:r w:rsidR="002F4A30">
          <w:rPr>
            <w:webHidden/>
          </w:rPr>
          <w:instrText xml:space="preserve"> PAGEREF _Toc433980760 \h </w:instrText>
        </w:r>
        <w:r>
          <w:rPr>
            <w:webHidden/>
          </w:rPr>
        </w:r>
        <w:r>
          <w:rPr>
            <w:webHidden/>
          </w:rPr>
          <w:fldChar w:fldCharType="separate"/>
        </w:r>
        <w:r w:rsidR="002516C8">
          <w:rPr>
            <w:webHidden/>
          </w:rPr>
          <w:t>113</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1" w:history="1">
        <w:r w:rsidR="002F4A30" w:rsidRPr="00005508">
          <w:rPr>
            <w:rStyle w:val="Hyperlink"/>
          </w:rPr>
          <w:t>3.3.5</w:t>
        </w:r>
        <w:r w:rsidR="002F4A30">
          <w:rPr>
            <w:rFonts w:asciiTheme="minorHAnsi" w:eastAsiaTheme="minorEastAsia" w:hAnsiTheme="minorHAnsi" w:cstheme="minorBidi"/>
            <w:szCs w:val="22"/>
            <w:lang w:eastAsia="et-EE"/>
          </w:rPr>
          <w:tab/>
        </w:r>
        <w:r w:rsidR="002F4A30" w:rsidRPr="00005508">
          <w:rPr>
            <w:rStyle w:val="Hyperlink"/>
          </w:rPr>
          <w:t>Stsenaariumite analüüsi tulemused</w:t>
        </w:r>
        <w:r w:rsidR="002F4A30">
          <w:rPr>
            <w:webHidden/>
          </w:rPr>
          <w:tab/>
        </w:r>
        <w:r>
          <w:rPr>
            <w:webHidden/>
          </w:rPr>
          <w:fldChar w:fldCharType="begin"/>
        </w:r>
        <w:r w:rsidR="002F4A30">
          <w:rPr>
            <w:webHidden/>
          </w:rPr>
          <w:instrText xml:space="preserve"> PAGEREF _Toc433980761 \h </w:instrText>
        </w:r>
        <w:r>
          <w:rPr>
            <w:webHidden/>
          </w:rPr>
        </w:r>
        <w:r>
          <w:rPr>
            <w:webHidden/>
          </w:rPr>
          <w:fldChar w:fldCharType="separate"/>
        </w:r>
        <w:r w:rsidR="002516C8">
          <w:rPr>
            <w:webHidden/>
          </w:rPr>
          <w:t>115</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62" w:history="1">
        <w:r w:rsidR="002F4A30" w:rsidRPr="00005508">
          <w:rPr>
            <w:rStyle w:val="Hyperlink"/>
          </w:rPr>
          <w:t>3.4</w:t>
        </w:r>
        <w:r w:rsidR="002F4A30">
          <w:rPr>
            <w:rFonts w:asciiTheme="minorHAnsi" w:eastAsiaTheme="minorEastAsia" w:hAnsiTheme="minorHAnsi" w:cstheme="minorBidi"/>
            <w:szCs w:val="22"/>
            <w:lang w:eastAsia="et-EE"/>
          </w:rPr>
          <w:tab/>
        </w:r>
        <w:r w:rsidR="002F4A30" w:rsidRPr="00005508">
          <w:rPr>
            <w:rStyle w:val="Hyperlink"/>
          </w:rPr>
          <w:t>Võimalikud lahendused</w:t>
        </w:r>
        <w:r w:rsidR="002F4A30">
          <w:rPr>
            <w:webHidden/>
          </w:rPr>
          <w:tab/>
        </w:r>
        <w:r>
          <w:rPr>
            <w:webHidden/>
          </w:rPr>
          <w:fldChar w:fldCharType="begin"/>
        </w:r>
        <w:r w:rsidR="002F4A30">
          <w:rPr>
            <w:webHidden/>
          </w:rPr>
          <w:instrText xml:space="preserve"> PAGEREF _Toc433980762 \h </w:instrText>
        </w:r>
        <w:r>
          <w:rPr>
            <w:webHidden/>
          </w:rPr>
        </w:r>
        <w:r>
          <w:rPr>
            <w:webHidden/>
          </w:rPr>
          <w:fldChar w:fldCharType="separate"/>
        </w:r>
        <w:r w:rsidR="002516C8">
          <w:rPr>
            <w:webHidden/>
          </w:rPr>
          <w:t>118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3" w:history="1">
        <w:r w:rsidR="002F4A30" w:rsidRPr="00005508">
          <w:rPr>
            <w:rStyle w:val="Hyperlink"/>
          </w:rPr>
          <w:t>3.4.1</w:t>
        </w:r>
        <w:r w:rsidR="002F4A30">
          <w:rPr>
            <w:rFonts w:asciiTheme="minorHAnsi" w:eastAsiaTheme="minorEastAsia" w:hAnsiTheme="minorHAnsi" w:cstheme="minorBidi"/>
            <w:szCs w:val="22"/>
            <w:lang w:eastAsia="et-EE"/>
          </w:rPr>
          <w:tab/>
        </w:r>
        <w:r w:rsidR="002F4A30" w:rsidRPr="00005508">
          <w:rPr>
            <w:rStyle w:val="Hyperlink"/>
          </w:rPr>
          <w:t>Alternatiivsed valikud</w:t>
        </w:r>
        <w:r w:rsidR="002F4A30">
          <w:rPr>
            <w:webHidden/>
          </w:rPr>
          <w:tab/>
        </w:r>
        <w:r>
          <w:rPr>
            <w:webHidden/>
          </w:rPr>
          <w:fldChar w:fldCharType="begin"/>
        </w:r>
        <w:r w:rsidR="002F4A30">
          <w:rPr>
            <w:webHidden/>
          </w:rPr>
          <w:instrText xml:space="preserve"> PAGEREF _Toc433980763 \h </w:instrText>
        </w:r>
        <w:r>
          <w:rPr>
            <w:webHidden/>
          </w:rPr>
        </w:r>
        <w:r>
          <w:rPr>
            <w:webHidden/>
          </w:rPr>
          <w:fldChar w:fldCharType="separate"/>
        </w:r>
        <w:r w:rsidR="002516C8">
          <w:rPr>
            <w:webHidden/>
          </w:rPr>
          <w:t>118</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4" w:history="1">
        <w:r w:rsidR="002F4A30" w:rsidRPr="00005508">
          <w:rPr>
            <w:rStyle w:val="Hyperlink"/>
          </w:rPr>
          <w:t xml:space="preserve">3.4.2. </w:t>
        </w:r>
        <w:r w:rsidR="002F4A30">
          <w:rPr>
            <w:rStyle w:val="Hyperlink"/>
          </w:rPr>
          <w:tab/>
        </w:r>
        <w:r w:rsidR="002F4A30" w:rsidRPr="00005508">
          <w:rPr>
            <w:rStyle w:val="Hyperlink"/>
          </w:rPr>
          <w:t>Täiendav kasu</w:t>
        </w:r>
        <w:r w:rsidR="002F4A30">
          <w:rPr>
            <w:webHidden/>
          </w:rPr>
          <w:tab/>
        </w:r>
        <w:r>
          <w:rPr>
            <w:webHidden/>
          </w:rPr>
          <w:fldChar w:fldCharType="begin"/>
        </w:r>
        <w:r w:rsidR="002F4A30">
          <w:rPr>
            <w:webHidden/>
          </w:rPr>
          <w:instrText xml:space="preserve"> PAGEREF _Toc433980764 \h </w:instrText>
        </w:r>
        <w:r>
          <w:rPr>
            <w:webHidden/>
          </w:rPr>
        </w:r>
        <w:r>
          <w:rPr>
            <w:webHidden/>
          </w:rPr>
          <w:fldChar w:fldCharType="separate"/>
        </w:r>
        <w:r w:rsidR="002516C8">
          <w:rPr>
            <w:webHidden/>
          </w:rPr>
          <w:t>120</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5" w:history="1">
        <w:r w:rsidR="002F4A30" w:rsidRPr="00005508">
          <w:rPr>
            <w:rStyle w:val="Hyperlink"/>
          </w:rPr>
          <w:t>3.4.3.</w:t>
        </w:r>
        <w:r w:rsidR="002F4A30">
          <w:rPr>
            <w:rFonts w:asciiTheme="minorHAnsi" w:eastAsiaTheme="minorEastAsia" w:hAnsiTheme="minorHAnsi" w:cstheme="minorBidi"/>
            <w:szCs w:val="22"/>
            <w:lang w:eastAsia="et-EE"/>
          </w:rPr>
          <w:tab/>
        </w:r>
        <w:r w:rsidR="002F4A30" w:rsidRPr="00005508">
          <w:rPr>
            <w:rStyle w:val="Hyperlink"/>
          </w:rPr>
          <w:t>Võimalik kahju ja riskid</w:t>
        </w:r>
        <w:r w:rsidR="002F4A30">
          <w:rPr>
            <w:webHidden/>
          </w:rPr>
          <w:tab/>
        </w:r>
        <w:r>
          <w:rPr>
            <w:webHidden/>
          </w:rPr>
          <w:fldChar w:fldCharType="begin"/>
        </w:r>
        <w:r w:rsidR="002F4A30">
          <w:rPr>
            <w:webHidden/>
          </w:rPr>
          <w:instrText xml:space="preserve"> PAGEREF _Toc433980765 \h </w:instrText>
        </w:r>
        <w:r>
          <w:rPr>
            <w:webHidden/>
          </w:rPr>
        </w:r>
        <w:r>
          <w:rPr>
            <w:webHidden/>
          </w:rPr>
          <w:fldChar w:fldCharType="separate"/>
        </w:r>
        <w:r w:rsidR="002516C8">
          <w:rPr>
            <w:webHidden/>
          </w:rPr>
          <w:t>120</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6" w:history="1">
        <w:r w:rsidR="002F4A30" w:rsidRPr="00005508">
          <w:rPr>
            <w:rStyle w:val="Hyperlink"/>
          </w:rPr>
          <w:t>3.4.4.</w:t>
        </w:r>
        <w:r w:rsidR="002F4A30">
          <w:rPr>
            <w:rFonts w:asciiTheme="minorHAnsi" w:eastAsiaTheme="minorEastAsia" w:hAnsiTheme="minorHAnsi" w:cstheme="minorBidi"/>
            <w:szCs w:val="22"/>
            <w:lang w:eastAsia="et-EE"/>
          </w:rPr>
          <w:tab/>
        </w:r>
        <w:r w:rsidR="002F4A30" w:rsidRPr="00005508">
          <w:rPr>
            <w:rStyle w:val="Hyperlink"/>
          </w:rPr>
          <w:t>Levinumad probleemküsimused ja vastused</w:t>
        </w:r>
        <w:r w:rsidR="002F4A30">
          <w:rPr>
            <w:webHidden/>
          </w:rPr>
          <w:tab/>
        </w:r>
        <w:r>
          <w:rPr>
            <w:webHidden/>
          </w:rPr>
          <w:fldChar w:fldCharType="begin"/>
        </w:r>
        <w:r w:rsidR="002F4A30">
          <w:rPr>
            <w:webHidden/>
          </w:rPr>
          <w:instrText xml:space="preserve"> PAGEREF _Toc433980766 \h </w:instrText>
        </w:r>
        <w:r>
          <w:rPr>
            <w:webHidden/>
          </w:rPr>
        </w:r>
        <w:r>
          <w:rPr>
            <w:webHidden/>
          </w:rPr>
          <w:fldChar w:fldCharType="separate"/>
        </w:r>
        <w:r w:rsidR="002516C8">
          <w:rPr>
            <w:webHidden/>
          </w:rPr>
          <w:t>121</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7" w:history="1">
        <w:r w:rsidR="002F4A30" w:rsidRPr="00005508">
          <w:rPr>
            <w:rStyle w:val="Hyperlink"/>
          </w:rPr>
          <w:t>3.4.5.</w:t>
        </w:r>
        <w:r w:rsidR="002F4A30">
          <w:rPr>
            <w:rFonts w:asciiTheme="minorHAnsi" w:eastAsiaTheme="minorEastAsia" w:hAnsiTheme="minorHAnsi" w:cstheme="minorBidi"/>
            <w:szCs w:val="22"/>
            <w:lang w:eastAsia="et-EE"/>
          </w:rPr>
          <w:tab/>
        </w:r>
        <w:r w:rsidR="002F4A30" w:rsidRPr="00005508">
          <w:rPr>
            <w:rStyle w:val="Hyperlink"/>
          </w:rPr>
          <w:t>RKAS-i struktureerimise võimalused</w:t>
        </w:r>
        <w:r w:rsidR="002F4A30">
          <w:rPr>
            <w:webHidden/>
          </w:rPr>
          <w:tab/>
        </w:r>
        <w:r>
          <w:rPr>
            <w:webHidden/>
          </w:rPr>
          <w:fldChar w:fldCharType="begin"/>
        </w:r>
        <w:r w:rsidR="002F4A30">
          <w:rPr>
            <w:webHidden/>
          </w:rPr>
          <w:instrText xml:space="preserve"> PAGEREF _Toc433980767 \h </w:instrText>
        </w:r>
        <w:r>
          <w:rPr>
            <w:webHidden/>
          </w:rPr>
        </w:r>
        <w:r>
          <w:rPr>
            <w:webHidden/>
          </w:rPr>
          <w:fldChar w:fldCharType="separate"/>
        </w:r>
        <w:r w:rsidR="002516C8">
          <w:rPr>
            <w:webHidden/>
          </w:rPr>
          <w:t>122</w:t>
        </w:r>
        <w:r>
          <w:rPr>
            <w:webHidden/>
          </w:rPr>
          <w:fldChar w:fldCharType="end"/>
        </w:r>
      </w:hyperlink>
    </w:p>
    <w:p w:rsidR="002F4A30" w:rsidRDefault="00A85FDC">
      <w:pPr>
        <w:pStyle w:val="TOC3"/>
        <w:rPr>
          <w:rFonts w:asciiTheme="minorHAnsi" w:eastAsiaTheme="minorEastAsia" w:hAnsiTheme="minorHAnsi" w:cstheme="minorBidi"/>
          <w:szCs w:val="22"/>
          <w:lang w:eastAsia="et-EE"/>
        </w:rPr>
      </w:pPr>
      <w:hyperlink w:anchor="_Toc433980768" w:history="1">
        <w:r w:rsidR="002F4A30" w:rsidRPr="00005508">
          <w:rPr>
            <w:rStyle w:val="Hyperlink"/>
          </w:rPr>
          <w:t>3.4.6.</w:t>
        </w:r>
        <w:r w:rsidR="002F4A30">
          <w:rPr>
            <w:rFonts w:asciiTheme="minorHAnsi" w:eastAsiaTheme="minorEastAsia" w:hAnsiTheme="minorHAnsi" w:cstheme="minorBidi"/>
            <w:szCs w:val="22"/>
            <w:lang w:eastAsia="et-EE"/>
          </w:rPr>
          <w:tab/>
        </w:r>
        <w:r w:rsidR="002F4A30" w:rsidRPr="00005508">
          <w:rPr>
            <w:rStyle w:val="Hyperlink"/>
          </w:rPr>
          <w:t>Rahastamisanalüüsi rakendused</w:t>
        </w:r>
        <w:r w:rsidR="002F4A30">
          <w:rPr>
            <w:webHidden/>
          </w:rPr>
          <w:tab/>
        </w:r>
        <w:r>
          <w:rPr>
            <w:webHidden/>
          </w:rPr>
          <w:fldChar w:fldCharType="begin"/>
        </w:r>
        <w:r w:rsidR="002F4A30">
          <w:rPr>
            <w:webHidden/>
          </w:rPr>
          <w:instrText xml:space="preserve"> PAGEREF _Toc433980768 \h </w:instrText>
        </w:r>
        <w:r>
          <w:rPr>
            <w:webHidden/>
          </w:rPr>
        </w:r>
        <w:r>
          <w:rPr>
            <w:webHidden/>
          </w:rPr>
          <w:fldChar w:fldCharType="separate"/>
        </w:r>
        <w:r w:rsidR="002516C8">
          <w:rPr>
            <w:webHidden/>
          </w:rPr>
          <w:t>123</w:t>
        </w:r>
        <w:r>
          <w:rPr>
            <w:webHidden/>
          </w:rPr>
          <w:fldChar w:fldCharType="end"/>
        </w:r>
      </w:hyperlink>
    </w:p>
    <w:p w:rsidR="002F4A30" w:rsidRDefault="00A85FDC">
      <w:pPr>
        <w:pStyle w:val="TOC1"/>
        <w:rPr>
          <w:rFonts w:asciiTheme="minorHAnsi" w:eastAsiaTheme="minorEastAsia" w:hAnsiTheme="minorHAnsi" w:cstheme="minorBidi"/>
          <w:sz w:val="22"/>
          <w:szCs w:val="22"/>
          <w:lang w:eastAsia="et-EE"/>
        </w:rPr>
      </w:pPr>
      <w:hyperlink w:anchor="_Toc433980769" w:history="1">
        <w:r w:rsidR="002F4A30" w:rsidRPr="00005508">
          <w:rPr>
            <w:rStyle w:val="Hyperlink"/>
          </w:rPr>
          <w:t>LISAD</w:t>
        </w:r>
        <w:r w:rsidR="002F4A30">
          <w:rPr>
            <w:webHidden/>
          </w:rPr>
          <w:tab/>
        </w:r>
        <w:r>
          <w:rPr>
            <w:webHidden/>
          </w:rPr>
          <w:fldChar w:fldCharType="begin"/>
        </w:r>
        <w:r w:rsidR="002F4A30">
          <w:rPr>
            <w:webHidden/>
          </w:rPr>
          <w:instrText xml:space="preserve"> PAGEREF _Toc433980769 \h </w:instrText>
        </w:r>
        <w:r>
          <w:rPr>
            <w:webHidden/>
          </w:rPr>
        </w:r>
        <w:r>
          <w:rPr>
            <w:webHidden/>
          </w:rPr>
          <w:fldChar w:fldCharType="separate"/>
        </w:r>
        <w:r w:rsidR="002516C8">
          <w:rPr>
            <w:webHidden/>
          </w:rPr>
          <w:t>125</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70" w:history="1">
        <w:r w:rsidR="002F4A30" w:rsidRPr="00005508">
          <w:rPr>
            <w:rStyle w:val="Hyperlink"/>
          </w:rPr>
          <w:t>Lisa 1. Riigi hoonestatud kinnisvarareformi tegevuskava</w:t>
        </w:r>
        <w:r w:rsidR="002F4A30">
          <w:rPr>
            <w:webHidden/>
          </w:rPr>
          <w:tab/>
        </w:r>
        <w:r>
          <w:rPr>
            <w:webHidden/>
          </w:rPr>
          <w:fldChar w:fldCharType="begin"/>
        </w:r>
        <w:r w:rsidR="002F4A30">
          <w:rPr>
            <w:webHidden/>
          </w:rPr>
          <w:instrText xml:space="preserve"> PAGEREF _Toc433980770 \h </w:instrText>
        </w:r>
        <w:r>
          <w:rPr>
            <w:webHidden/>
          </w:rPr>
        </w:r>
        <w:r>
          <w:rPr>
            <w:webHidden/>
          </w:rPr>
          <w:fldChar w:fldCharType="separate"/>
        </w:r>
        <w:r w:rsidR="002516C8">
          <w:rPr>
            <w:webHidden/>
          </w:rPr>
          <w:t>125</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71" w:history="1">
        <w:r w:rsidR="002F4A30" w:rsidRPr="00005508">
          <w:rPr>
            <w:rStyle w:val="Hyperlink"/>
          </w:rPr>
          <w:t>Lisa 2. Riigi kinnisvara portfell</w:t>
        </w:r>
        <w:r w:rsidR="002F4A30">
          <w:rPr>
            <w:webHidden/>
          </w:rPr>
          <w:tab/>
        </w:r>
        <w:r>
          <w:rPr>
            <w:webHidden/>
          </w:rPr>
          <w:fldChar w:fldCharType="begin"/>
        </w:r>
        <w:r w:rsidR="002F4A30">
          <w:rPr>
            <w:webHidden/>
          </w:rPr>
          <w:instrText xml:space="preserve"> PAGEREF _Toc433980771 \h </w:instrText>
        </w:r>
        <w:r>
          <w:rPr>
            <w:webHidden/>
          </w:rPr>
        </w:r>
        <w:r>
          <w:rPr>
            <w:webHidden/>
          </w:rPr>
          <w:fldChar w:fldCharType="separate"/>
        </w:r>
        <w:r w:rsidR="002516C8">
          <w:rPr>
            <w:webHidden/>
          </w:rPr>
          <w:t>129</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72" w:history="1">
        <w:r w:rsidR="002F4A30" w:rsidRPr="00005508">
          <w:rPr>
            <w:rStyle w:val="Hyperlink"/>
          </w:rPr>
          <w:t>Lisa 3. Riigi Kinnisvara AS-i tegevusaruanne 2013-2014</w:t>
        </w:r>
        <w:r w:rsidR="002F4A30">
          <w:rPr>
            <w:webHidden/>
          </w:rPr>
          <w:tab/>
        </w:r>
        <w:r>
          <w:rPr>
            <w:webHidden/>
          </w:rPr>
          <w:fldChar w:fldCharType="begin"/>
        </w:r>
        <w:r w:rsidR="002F4A30">
          <w:rPr>
            <w:webHidden/>
          </w:rPr>
          <w:instrText xml:space="preserve"> PAGEREF _Toc433980772 \h </w:instrText>
        </w:r>
        <w:r>
          <w:rPr>
            <w:webHidden/>
          </w:rPr>
        </w:r>
        <w:r>
          <w:rPr>
            <w:webHidden/>
          </w:rPr>
          <w:fldChar w:fldCharType="separate"/>
        </w:r>
        <w:r w:rsidR="002516C8">
          <w:rPr>
            <w:webHidden/>
          </w:rPr>
          <w:t>140</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73" w:history="1">
        <w:r w:rsidR="002F4A30" w:rsidRPr="00005508">
          <w:rPr>
            <w:rStyle w:val="Hyperlink"/>
            <w:kern w:val="32"/>
          </w:rPr>
          <w:t>Lisa 4. Andmete korrastamise tegevuskava</w:t>
        </w:r>
        <w:r w:rsidR="002F4A30">
          <w:rPr>
            <w:webHidden/>
          </w:rPr>
          <w:tab/>
        </w:r>
        <w:r>
          <w:rPr>
            <w:webHidden/>
          </w:rPr>
          <w:fldChar w:fldCharType="begin"/>
        </w:r>
        <w:r w:rsidR="002F4A30">
          <w:rPr>
            <w:webHidden/>
          </w:rPr>
          <w:instrText xml:space="preserve"> PAGEREF _Toc433980773 \h </w:instrText>
        </w:r>
        <w:r>
          <w:rPr>
            <w:webHidden/>
          </w:rPr>
        </w:r>
        <w:r>
          <w:rPr>
            <w:webHidden/>
          </w:rPr>
          <w:fldChar w:fldCharType="separate"/>
        </w:r>
        <w:r w:rsidR="002516C8">
          <w:rPr>
            <w:webHidden/>
          </w:rPr>
          <w:t>162</w:t>
        </w:r>
        <w:r>
          <w:rPr>
            <w:webHidden/>
          </w:rPr>
          <w:fldChar w:fldCharType="end"/>
        </w:r>
      </w:hyperlink>
    </w:p>
    <w:p w:rsidR="002F4A30" w:rsidRDefault="00A85FDC">
      <w:pPr>
        <w:pStyle w:val="TOC2"/>
        <w:rPr>
          <w:rFonts w:asciiTheme="minorHAnsi" w:eastAsiaTheme="minorEastAsia" w:hAnsiTheme="minorHAnsi" w:cstheme="minorBidi"/>
          <w:szCs w:val="22"/>
          <w:lang w:eastAsia="et-EE"/>
        </w:rPr>
      </w:pPr>
      <w:hyperlink w:anchor="_Toc433980774" w:history="1">
        <w:r w:rsidR="002F4A30" w:rsidRPr="00005508">
          <w:rPr>
            <w:rStyle w:val="Hyperlink"/>
          </w:rPr>
          <w:t>Lisa 5. Rahastamiskava analüüsi sisendid</w:t>
        </w:r>
        <w:r w:rsidR="002F4A30">
          <w:rPr>
            <w:webHidden/>
          </w:rPr>
          <w:tab/>
        </w:r>
        <w:r>
          <w:rPr>
            <w:webHidden/>
          </w:rPr>
          <w:fldChar w:fldCharType="begin"/>
        </w:r>
        <w:r w:rsidR="002F4A30">
          <w:rPr>
            <w:webHidden/>
          </w:rPr>
          <w:instrText xml:space="preserve"> PAGEREF _Toc433980774 \h </w:instrText>
        </w:r>
        <w:r>
          <w:rPr>
            <w:webHidden/>
          </w:rPr>
        </w:r>
        <w:r>
          <w:rPr>
            <w:webHidden/>
          </w:rPr>
          <w:fldChar w:fldCharType="separate"/>
        </w:r>
        <w:r w:rsidR="002516C8">
          <w:rPr>
            <w:webHidden/>
          </w:rPr>
          <w:t>165</w:t>
        </w:r>
        <w:r>
          <w:rPr>
            <w:webHidden/>
          </w:rPr>
          <w:fldChar w:fldCharType="end"/>
        </w:r>
      </w:hyperlink>
    </w:p>
    <w:p w:rsidR="002F4A30" w:rsidRDefault="00A85FDC" w:rsidP="003F7342">
      <w:pPr>
        <w:pStyle w:val="Suurpealkiri"/>
      </w:pPr>
      <w:r>
        <w:fldChar w:fldCharType="end"/>
      </w:r>
      <w:bookmarkStart w:id="2" w:name="_Toc433980655"/>
      <w:r w:rsidR="002F4A30">
        <w:t>KOKKUVÕTE</w:t>
      </w:r>
      <w:bookmarkEnd w:id="2"/>
    </w:p>
    <w:p w:rsidR="008D1276" w:rsidRDefault="008D1276">
      <w:pPr>
        <w:spacing w:before="0"/>
        <w:jc w:val="left"/>
        <w:rPr>
          <w:rFonts w:asciiTheme="majorHAnsi" w:eastAsiaTheme="majorEastAsia" w:hAnsiTheme="majorHAnsi" w:cstheme="majorBidi"/>
          <w:b/>
          <w:bCs/>
          <w:color w:val="0070C0"/>
          <w:sz w:val="23"/>
          <w:szCs w:val="23"/>
          <w:u w:val="single"/>
        </w:rPr>
      </w:pPr>
      <w:bookmarkStart w:id="3" w:name="_Toc433915019"/>
      <w:bookmarkStart w:id="4" w:name="_Toc433980656"/>
    </w:p>
    <w:p w:rsidR="002F4A30" w:rsidRPr="00B70B75" w:rsidRDefault="002F4A30" w:rsidP="002F4A30">
      <w:pPr>
        <w:pStyle w:val="Heading1"/>
        <w:keepLines w:val="0"/>
        <w:numPr>
          <w:ilvl w:val="0"/>
          <w:numId w:val="71"/>
        </w:numPr>
        <w:spacing w:before="0" w:after="0"/>
        <w:jc w:val="left"/>
        <w:rPr>
          <w:sz w:val="23"/>
          <w:szCs w:val="23"/>
          <w:u w:val="single"/>
        </w:rPr>
      </w:pPr>
      <w:r w:rsidRPr="00B70B75">
        <w:rPr>
          <w:sz w:val="23"/>
          <w:szCs w:val="23"/>
          <w:u w:val="single"/>
        </w:rPr>
        <w:t>Riigi kinnisvara portfell</w:t>
      </w:r>
      <w:bookmarkEnd w:id="3"/>
      <w:bookmarkEnd w:id="4"/>
      <w:r w:rsidRPr="00B70B75">
        <w:rPr>
          <w:sz w:val="23"/>
          <w:szCs w:val="23"/>
          <w:u w:val="single"/>
        </w:rPr>
        <w:t xml:space="preserv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5" w:name="_Toc433915020"/>
      <w:bookmarkStart w:id="6" w:name="_Toc433980657"/>
      <w:r w:rsidRPr="005B2CCA">
        <w:rPr>
          <w:rFonts w:ascii="Times New Roman" w:hAnsi="Times New Roman" w:cs="Times New Roman"/>
          <w:b/>
          <w:sz w:val="23"/>
          <w:szCs w:val="23"/>
        </w:rPr>
        <w:t>Portfelli maht</w:t>
      </w:r>
      <w:bookmarkEnd w:id="5"/>
      <w:bookmarkEnd w:id="6"/>
      <w:r w:rsidRPr="005B2CCA">
        <w:rPr>
          <w:rFonts w:ascii="Times New Roman" w:hAnsi="Times New Roman" w:cs="Times New Roman"/>
          <w:b/>
          <w:sz w:val="23"/>
          <w:szCs w:val="23"/>
        </w:rPr>
        <w:t xml:space="preserve"> </w:t>
      </w:r>
    </w:p>
    <w:p w:rsidR="002F4A30" w:rsidRDefault="002F4A30" w:rsidP="002F4A30">
      <w:pPr>
        <w:rPr>
          <w:sz w:val="23"/>
          <w:szCs w:val="23"/>
        </w:rPr>
      </w:pPr>
      <w:r w:rsidRPr="00B70B75">
        <w:rPr>
          <w:sz w:val="23"/>
          <w:szCs w:val="23"/>
        </w:rPr>
        <w:t xml:space="preserve">Riigi kinnisvara koondaruanne käsitleb </w:t>
      </w:r>
      <w:r w:rsidRPr="00B70B75">
        <w:rPr>
          <w:b/>
          <w:sz w:val="23"/>
          <w:szCs w:val="23"/>
        </w:rPr>
        <w:t>eelkõige riigieelarveliste asutuste</w:t>
      </w:r>
      <w:r w:rsidRPr="00B70B75">
        <w:rPr>
          <w:sz w:val="23"/>
          <w:szCs w:val="23"/>
        </w:rPr>
        <w:t xml:space="preserve"> kinnisvara valitsemist </w:t>
      </w:r>
      <w:r>
        <w:rPr>
          <w:sz w:val="23"/>
          <w:szCs w:val="23"/>
        </w:rPr>
        <w:t>ega</w:t>
      </w:r>
      <w:r w:rsidRPr="00B70B75">
        <w:rPr>
          <w:sz w:val="23"/>
          <w:szCs w:val="23"/>
        </w:rPr>
        <w:t xml:space="preserve"> kata kogu keskvalitsust, valitsussektorit ega avalikku sektorit. </w:t>
      </w:r>
    </w:p>
    <w:p w:rsidR="002F4A30" w:rsidRDefault="002F4A30" w:rsidP="002F4A30">
      <w:pPr>
        <w:rPr>
          <w:sz w:val="23"/>
          <w:szCs w:val="23"/>
        </w:rPr>
      </w:pPr>
      <w:r w:rsidRPr="00B70B75">
        <w:rPr>
          <w:sz w:val="23"/>
          <w:szCs w:val="23"/>
        </w:rPr>
        <w:t>Seisuga 31.12.2014 on riigi raamatupidamise andmetel:</w:t>
      </w:r>
    </w:p>
    <w:p w:rsidR="002F4A30" w:rsidRDefault="002F4A30" w:rsidP="002F4A30">
      <w:pPr>
        <w:pStyle w:val="ListParagraph"/>
        <w:numPr>
          <w:ilvl w:val="0"/>
          <w:numId w:val="50"/>
        </w:numPr>
        <w:spacing w:before="0" w:after="0"/>
        <w:rPr>
          <w:sz w:val="23"/>
          <w:szCs w:val="23"/>
        </w:rPr>
      </w:pPr>
      <w:r w:rsidRPr="00B70B75">
        <w:rPr>
          <w:sz w:val="23"/>
          <w:szCs w:val="23"/>
        </w:rPr>
        <w:t xml:space="preserve">riigieelarveliste asutuste kinnisvara jääkmaksumus bilansis 2,4 miljardit eurot, </w:t>
      </w:r>
    </w:p>
    <w:p w:rsidR="002F4A30" w:rsidRDefault="002F4A30" w:rsidP="002F4A30">
      <w:pPr>
        <w:pStyle w:val="ListParagraph"/>
        <w:numPr>
          <w:ilvl w:val="0"/>
          <w:numId w:val="50"/>
        </w:numPr>
        <w:spacing w:before="0" w:after="0"/>
        <w:rPr>
          <w:sz w:val="23"/>
          <w:szCs w:val="23"/>
        </w:rPr>
      </w:pPr>
      <w:r w:rsidRPr="00B70B75">
        <w:rPr>
          <w:sz w:val="23"/>
          <w:szCs w:val="23"/>
        </w:rPr>
        <w:t>kogu keskvalitsuse kinnisvara jääkmaksumus 3,4 miljardit eurot, sh RKASi kinnisvaraportfelli väärtus 0,3 miljardit eurot.</w:t>
      </w:r>
    </w:p>
    <w:p w:rsidR="002F4A30" w:rsidRDefault="002F4A30" w:rsidP="002F4A30">
      <w:pPr>
        <w:pStyle w:val="ListParagraph"/>
        <w:numPr>
          <w:ilvl w:val="0"/>
          <w:numId w:val="50"/>
        </w:numPr>
        <w:spacing w:before="0" w:after="0"/>
        <w:rPr>
          <w:sz w:val="23"/>
          <w:szCs w:val="23"/>
        </w:rPr>
      </w:pPr>
      <w:r w:rsidRPr="00B70B75">
        <w:rPr>
          <w:sz w:val="23"/>
          <w:szCs w:val="23"/>
        </w:rPr>
        <w:t xml:space="preserve">kogu avaliku sektori kinnisvara jääkmaksumus 11,4 miljardit eurot, sh RMK kinnisvara (koos metsaga) 1,2 miljardit eurot. </w:t>
      </w:r>
    </w:p>
    <w:p w:rsidR="002F4A30" w:rsidRDefault="002F4A30" w:rsidP="002F4A30">
      <w:pPr>
        <w:rPr>
          <w:sz w:val="23"/>
          <w:szCs w:val="23"/>
        </w:rPr>
      </w:pPr>
      <w:r w:rsidRPr="00B70B75">
        <w:rPr>
          <w:sz w:val="23"/>
          <w:szCs w:val="23"/>
        </w:rPr>
        <w:t>2014. aasta lõpu seisuga on riigi kinnisvaraportfellis (sh omandis ja kasutusele võetud kinnisvara):</w:t>
      </w:r>
    </w:p>
    <w:p w:rsidR="002F4A30" w:rsidRPr="00B70B75" w:rsidRDefault="002F4A30" w:rsidP="002F4A30">
      <w:pPr>
        <w:rPr>
          <w:sz w:val="23"/>
          <w:szCs w:val="23"/>
        </w:rPr>
      </w:pPr>
      <w:r w:rsidRPr="00B70B75">
        <w:rPr>
          <w:b/>
          <w:sz w:val="23"/>
          <w:szCs w:val="23"/>
        </w:rPr>
        <w:t xml:space="preserve">Maad </w:t>
      </w:r>
      <w:r>
        <w:rPr>
          <w:b/>
          <w:sz w:val="23"/>
          <w:szCs w:val="23"/>
        </w:rPr>
        <w:t xml:space="preserve">pindalaga </w:t>
      </w:r>
      <w:r w:rsidRPr="00B70B75">
        <w:rPr>
          <w:b/>
          <w:sz w:val="23"/>
          <w:szCs w:val="23"/>
        </w:rPr>
        <w:t xml:space="preserve">1 608 931 ha (ilma RMK-ta 255 680 ha) </w:t>
      </w:r>
    </w:p>
    <w:p w:rsidR="002F4A30" w:rsidRPr="00B70B75" w:rsidRDefault="002F4A30" w:rsidP="002F4A30">
      <w:pPr>
        <w:pStyle w:val="ListParagraph"/>
        <w:numPr>
          <w:ilvl w:val="0"/>
          <w:numId w:val="47"/>
        </w:numPr>
        <w:spacing w:before="0" w:after="0"/>
        <w:rPr>
          <w:sz w:val="23"/>
          <w:szCs w:val="23"/>
        </w:rPr>
      </w:pPr>
      <w:r>
        <w:rPr>
          <w:sz w:val="23"/>
          <w:szCs w:val="23"/>
        </w:rPr>
        <w:t>0,01</w:t>
      </w:r>
      <w:r w:rsidRPr="00B70B75">
        <w:rPr>
          <w:sz w:val="23"/>
          <w:szCs w:val="23"/>
        </w:rPr>
        <w:t xml:space="preserve">% pindalast on kasutusse võetud kasutuslepinguga, ülejäänud on riigi omandis. </w:t>
      </w:r>
    </w:p>
    <w:p w:rsidR="002F4A30" w:rsidRPr="00B70B75" w:rsidRDefault="002F4A30" w:rsidP="002F4A30">
      <w:pPr>
        <w:pStyle w:val="ListParagraph"/>
        <w:numPr>
          <w:ilvl w:val="0"/>
          <w:numId w:val="47"/>
        </w:numPr>
        <w:spacing w:before="0" w:after="0"/>
        <w:rPr>
          <w:sz w:val="23"/>
          <w:szCs w:val="23"/>
        </w:rPr>
      </w:pPr>
      <w:r w:rsidRPr="00B70B75">
        <w:rPr>
          <w:sz w:val="23"/>
          <w:szCs w:val="23"/>
        </w:rPr>
        <w:t xml:space="preserve">Riigi omandis oleva maa pindala moodustab ca 35% Eesti pindalast. </w:t>
      </w:r>
    </w:p>
    <w:p w:rsidR="002F4A30" w:rsidRPr="00B70B75" w:rsidRDefault="002F4A30" w:rsidP="002F4A30">
      <w:pPr>
        <w:pStyle w:val="ListParagraph"/>
        <w:numPr>
          <w:ilvl w:val="0"/>
          <w:numId w:val="47"/>
        </w:numPr>
        <w:spacing w:before="0" w:after="0"/>
        <w:rPr>
          <w:sz w:val="23"/>
          <w:szCs w:val="23"/>
        </w:rPr>
      </w:pPr>
      <w:r w:rsidRPr="00B70B75">
        <w:rPr>
          <w:sz w:val="23"/>
          <w:szCs w:val="23"/>
        </w:rPr>
        <w:t xml:space="preserve">Riigi maa pindalast 91% kuulub Keskkonnaministeeriumi valitsemisalasse (7% Maa-amet, 84% RMK). </w:t>
      </w:r>
    </w:p>
    <w:p w:rsidR="002F4A30" w:rsidRPr="00B70B75" w:rsidRDefault="002F4A30" w:rsidP="002F4A30">
      <w:pPr>
        <w:pStyle w:val="ListParagraph"/>
        <w:numPr>
          <w:ilvl w:val="0"/>
          <w:numId w:val="47"/>
        </w:numPr>
        <w:spacing w:before="0" w:after="0"/>
        <w:rPr>
          <w:sz w:val="23"/>
          <w:szCs w:val="23"/>
        </w:rPr>
      </w:pPr>
      <w:r w:rsidRPr="00B70B75">
        <w:rPr>
          <w:sz w:val="23"/>
          <w:szCs w:val="23"/>
        </w:rPr>
        <w:t xml:space="preserve">Ilma RMK maid arvestamata on suuremad valitsejad </w:t>
      </w:r>
      <w:r>
        <w:rPr>
          <w:sz w:val="23"/>
          <w:szCs w:val="23"/>
        </w:rPr>
        <w:t xml:space="preserve">Keskkonnaministeerium (Maa-amet: </w:t>
      </w:r>
      <w:r w:rsidRPr="00B70B75">
        <w:rPr>
          <w:sz w:val="23"/>
          <w:szCs w:val="23"/>
        </w:rPr>
        <w:t>42% pindalast), maavalitsused (kokku 25%), Majandus- ja kommunikatsiooniministeerium (16%), Kaitseministeerium (9%), Haridus- ja Teadusministeerium (4%).</w:t>
      </w:r>
    </w:p>
    <w:p w:rsidR="002F4A30" w:rsidRPr="00B70B75" w:rsidRDefault="002F4A30" w:rsidP="002F4A30">
      <w:pPr>
        <w:pStyle w:val="ListParagraph"/>
        <w:numPr>
          <w:ilvl w:val="0"/>
          <w:numId w:val="47"/>
        </w:numPr>
        <w:spacing w:before="0" w:after="0"/>
        <w:rPr>
          <w:sz w:val="23"/>
          <w:szCs w:val="23"/>
        </w:rPr>
      </w:pPr>
      <w:r w:rsidRPr="00B70B75">
        <w:rPr>
          <w:sz w:val="23"/>
          <w:szCs w:val="23"/>
        </w:rPr>
        <w:t xml:space="preserve">Keskkonnaministeerium on ka suurim maade omandaja (maareformi läbiviimine), võõrandaja ja kasutusse andja. </w:t>
      </w:r>
    </w:p>
    <w:p w:rsidR="002F4A30" w:rsidRPr="00B70B75" w:rsidRDefault="002F4A30" w:rsidP="002F4A30">
      <w:pPr>
        <w:rPr>
          <w:b/>
          <w:sz w:val="23"/>
          <w:szCs w:val="23"/>
        </w:rPr>
      </w:pPr>
      <w:r w:rsidRPr="00B70B75">
        <w:rPr>
          <w:b/>
          <w:sz w:val="23"/>
          <w:szCs w:val="23"/>
        </w:rPr>
        <w:t>Hoonete pinda 2 186 287 m²</w:t>
      </w:r>
    </w:p>
    <w:p w:rsidR="002F4A30" w:rsidRPr="00B70B75" w:rsidRDefault="002F4A30" w:rsidP="002F4A30">
      <w:pPr>
        <w:pStyle w:val="ListParagraph"/>
        <w:numPr>
          <w:ilvl w:val="0"/>
          <w:numId w:val="48"/>
        </w:numPr>
        <w:spacing w:before="0" w:after="0"/>
        <w:rPr>
          <w:sz w:val="23"/>
          <w:szCs w:val="23"/>
        </w:rPr>
      </w:pPr>
      <w:r w:rsidRPr="00B70B75">
        <w:rPr>
          <w:sz w:val="23"/>
          <w:szCs w:val="23"/>
        </w:rPr>
        <w:t>71% pindalast on riigi omandis</w:t>
      </w:r>
      <w:r>
        <w:rPr>
          <w:sz w:val="23"/>
          <w:szCs w:val="23"/>
        </w:rPr>
        <w:t xml:space="preserve">, </w:t>
      </w:r>
      <w:r w:rsidRPr="00B70B75">
        <w:rPr>
          <w:sz w:val="23"/>
          <w:szCs w:val="23"/>
        </w:rPr>
        <w:t xml:space="preserve">29% on kasutusse võetud kasutuslepinguga </w:t>
      </w:r>
      <w:r>
        <w:rPr>
          <w:sz w:val="23"/>
          <w:szCs w:val="23"/>
        </w:rPr>
        <w:t xml:space="preserve">(sh </w:t>
      </w:r>
      <w:r w:rsidRPr="00B70B75">
        <w:rPr>
          <w:sz w:val="23"/>
          <w:szCs w:val="23"/>
        </w:rPr>
        <w:t>24% ehk 530 121 m² RKAS-ilt</w:t>
      </w:r>
      <w:r>
        <w:rPr>
          <w:sz w:val="23"/>
          <w:szCs w:val="23"/>
        </w:rPr>
        <w:t>, 5% teistel omanikelt).</w:t>
      </w:r>
    </w:p>
    <w:p w:rsidR="002F4A30" w:rsidRPr="00B70B75" w:rsidRDefault="002F4A30" w:rsidP="002F4A30">
      <w:pPr>
        <w:pStyle w:val="ListParagraph"/>
        <w:numPr>
          <w:ilvl w:val="0"/>
          <w:numId w:val="48"/>
        </w:numPr>
        <w:spacing w:before="0" w:after="0"/>
        <w:rPr>
          <w:sz w:val="23"/>
          <w:szCs w:val="23"/>
        </w:rPr>
      </w:pPr>
      <w:r w:rsidRPr="00B70B75">
        <w:rPr>
          <w:sz w:val="23"/>
          <w:szCs w:val="23"/>
        </w:rPr>
        <w:t xml:space="preserve">Omandis olevatest hoonetest 6% on teistele isikutele kasutusse antud. </w:t>
      </w:r>
    </w:p>
    <w:p w:rsidR="002F4A30" w:rsidRPr="00B70B75" w:rsidRDefault="002F4A30" w:rsidP="002F4A30">
      <w:pPr>
        <w:pStyle w:val="ListParagraph"/>
        <w:numPr>
          <w:ilvl w:val="0"/>
          <w:numId w:val="48"/>
        </w:numPr>
        <w:spacing w:before="0" w:after="0"/>
        <w:rPr>
          <w:sz w:val="23"/>
          <w:szCs w:val="23"/>
        </w:rPr>
      </w:pPr>
      <w:r w:rsidRPr="00B70B75">
        <w:rPr>
          <w:sz w:val="23"/>
          <w:szCs w:val="23"/>
        </w:rPr>
        <w:t>Riigi omandis oleva</w:t>
      </w:r>
      <w:r>
        <w:rPr>
          <w:sz w:val="23"/>
          <w:szCs w:val="23"/>
        </w:rPr>
        <w:t>te</w:t>
      </w:r>
      <w:r w:rsidRPr="00B70B75">
        <w:rPr>
          <w:sz w:val="23"/>
          <w:szCs w:val="23"/>
        </w:rPr>
        <w:t xml:space="preserve"> </w:t>
      </w:r>
      <w:r>
        <w:rPr>
          <w:sz w:val="23"/>
          <w:szCs w:val="23"/>
        </w:rPr>
        <w:t xml:space="preserve">hoonete </w:t>
      </w:r>
      <w:r w:rsidRPr="00B70B75">
        <w:rPr>
          <w:sz w:val="23"/>
          <w:szCs w:val="23"/>
        </w:rPr>
        <w:t xml:space="preserve">pindala moodustab alla 2% Eesti hoonete kogu pinnast. </w:t>
      </w:r>
    </w:p>
    <w:p w:rsidR="002F4A30" w:rsidRPr="00B70B75" w:rsidRDefault="002F4A30" w:rsidP="002F4A30">
      <w:pPr>
        <w:pStyle w:val="ListParagraph"/>
        <w:numPr>
          <w:ilvl w:val="0"/>
          <w:numId w:val="48"/>
        </w:numPr>
        <w:spacing w:before="0" w:after="0"/>
        <w:rPr>
          <w:sz w:val="23"/>
          <w:szCs w:val="23"/>
        </w:rPr>
      </w:pPr>
      <w:r w:rsidRPr="00B70B75">
        <w:rPr>
          <w:sz w:val="23"/>
          <w:szCs w:val="23"/>
        </w:rPr>
        <w:t xml:space="preserve">Riigi hoonete portfell on ajas mõõdukalt kahanenud, kuna mittevajalikud hooned on võõrandatud ning RKAS-ile üle antavatest vajalikest hoonetest ei rendita kogu pinda tagasi. </w:t>
      </w:r>
    </w:p>
    <w:p w:rsidR="002F4A30" w:rsidRPr="00B70B75" w:rsidRDefault="002F4A30" w:rsidP="002F4A30">
      <w:pPr>
        <w:rPr>
          <w:sz w:val="23"/>
          <w:szCs w:val="23"/>
        </w:rPr>
      </w:pPr>
      <w:r w:rsidRPr="00B70B75">
        <w:rPr>
          <w:sz w:val="23"/>
          <w:szCs w:val="23"/>
        </w:rPr>
        <w:t xml:space="preserve">Riigi hoonestatud kinnisvara korrashoid ja arendamine on vastavalt riigi kinnisvarategevuse strateegiale kavandatud korraldada RKAS-i kaudu, hoonestamata maade valitsemisel nii selget strateegilist lähenemist ei ole. </w:t>
      </w:r>
    </w:p>
    <w:p w:rsidR="002F4A30" w:rsidRPr="00B70B75" w:rsidRDefault="002F4A30" w:rsidP="002F4A30">
      <w:pPr>
        <w:rPr>
          <w:sz w:val="23"/>
          <w:szCs w:val="23"/>
        </w:rPr>
      </w:pPr>
      <w:r w:rsidRPr="00B70B75">
        <w:rPr>
          <w:sz w:val="23"/>
          <w:szCs w:val="23"/>
        </w:rPr>
        <w:t>RKAS-i omandis on kokku 1 008 463 m²</w:t>
      </w:r>
      <w:r>
        <w:rPr>
          <w:sz w:val="23"/>
          <w:szCs w:val="23"/>
        </w:rPr>
        <w:t xml:space="preserve"> hooneid</w:t>
      </w:r>
      <w:r w:rsidRPr="00B70B75">
        <w:rPr>
          <w:sz w:val="23"/>
          <w:szCs w:val="23"/>
        </w:rPr>
        <w:t>, sellest 53% on riigieelarvelistele asutustele välja üüritud.</w:t>
      </w:r>
      <w:r w:rsidRPr="00B70B75">
        <w:rPr>
          <w:b/>
          <w:sz w:val="23"/>
          <w:szCs w:val="23"/>
        </w:rPr>
        <w:t xml:space="preserv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7" w:name="_Toc426060343"/>
      <w:r w:rsidRPr="005B2CCA">
        <w:rPr>
          <w:rFonts w:ascii="Times New Roman" w:hAnsi="Times New Roman" w:cs="Times New Roman"/>
          <w:b/>
          <w:sz w:val="23"/>
          <w:szCs w:val="23"/>
        </w:rPr>
        <w:t xml:space="preserve"> </w:t>
      </w:r>
      <w:bookmarkStart w:id="8" w:name="_Toc433915021"/>
      <w:bookmarkStart w:id="9" w:name="_Toc433980658"/>
      <w:r w:rsidRPr="005B2CCA">
        <w:rPr>
          <w:rFonts w:ascii="Times New Roman" w:hAnsi="Times New Roman" w:cs="Times New Roman"/>
          <w:b/>
          <w:sz w:val="23"/>
          <w:szCs w:val="23"/>
        </w:rPr>
        <w:t>Riigi kinnisvara omandamised</w:t>
      </w:r>
      <w:bookmarkEnd w:id="7"/>
      <w:bookmarkEnd w:id="8"/>
      <w:bookmarkEnd w:id="9"/>
      <w:r w:rsidRPr="005B2CCA">
        <w:rPr>
          <w:rFonts w:ascii="Times New Roman" w:hAnsi="Times New Roman" w:cs="Times New Roman"/>
          <w:b/>
          <w:sz w:val="23"/>
          <w:szCs w:val="23"/>
        </w:rPr>
        <w:t xml:space="preserve"> </w:t>
      </w:r>
    </w:p>
    <w:p w:rsidR="002F4A30" w:rsidRPr="00B70B75" w:rsidRDefault="002F4A30" w:rsidP="002F4A30">
      <w:pPr>
        <w:rPr>
          <w:sz w:val="23"/>
          <w:szCs w:val="23"/>
        </w:rPr>
      </w:pPr>
      <w:r w:rsidRPr="00B70B75">
        <w:rPr>
          <w:sz w:val="23"/>
          <w:szCs w:val="23"/>
        </w:rPr>
        <w:t xml:space="preserve">Aastatel 2013-2014 on riik omandanud 8839 kinnistut maa pindalaga </w:t>
      </w:r>
      <w:r>
        <w:rPr>
          <w:sz w:val="23"/>
          <w:szCs w:val="23"/>
        </w:rPr>
        <w:t>131 111</w:t>
      </w:r>
      <w:r w:rsidRPr="00B70B75">
        <w:rPr>
          <w:sz w:val="23"/>
          <w:szCs w:val="23"/>
        </w:rPr>
        <w:t xml:space="preserve"> ha ja hoonete pindalaga </w:t>
      </w:r>
      <w:r w:rsidRPr="00B70B75">
        <w:rPr>
          <w:rFonts w:eastAsiaTheme="majorEastAsia"/>
          <w:sz w:val="23"/>
          <w:szCs w:val="23"/>
        </w:rPr>
        <w:t>18 271 m²</w:t>
      </w:r>
      <w:r w:rsidRPr="00B70B75">
        <w:rPr>
          <w:sz w:val="23"/>
          <w:szCs w:val="23"/>
        </w:rPr>
        <w:t>, millest:</w:t>
      </w:r>
    </w:p>
    <w:p w:rsidR="002F4A30" w:rsidRPr="00B70B75" w:rsidRDefault="002F4A30" w:rsidP="002F4A30">
      <w:pPr>
        <w:pStyle w:val="ListParagraph"/>
        <w:numPr>
          <w:ilvl w:val="0"/>
          <w:numId w:val="25"/>
        </w:numPr>
        <w:rPr>
          <w:sz w:val="23"/>
          <w:szCs w:val="23"/>
        </w:rPr>
      </w:pPr>
      <w:r w:rsidRPr="00B70B75">
        <w:rPr>
          <w:sz w:val="23"/>
          <w:szCs w:val="23"/>
        </w:rPr>
        <w:t>92% kinnistute arvust (8146) ja 99% pindalast (129</w:t>
      </w:r>
      <w:r>
        <w:rPr>
          <w:sz w:val="23"/>
          <w:szCs w:val="23"/>
        </w:rPr>
        <w:t> </w:t>
      </w:r>
      <w:r w:rsidRPr="00B70B75">
        <w:rPr>
          <w:sz w:val="23"/>
          <w:szCs w:val="23"/>
        </w:rPr>
        <w:t xml:space="preserve">725 ha) on omandatud </w:t>
      </w:r>
      <w:r w:rsidRPr="00B70B75">
        <w:rPr>
          <w:rFonts w:eastAsiaTheme="majorEastAsia"/>
          <w:sz w:val="23"/>
          <w:szCs w:val="23"/>
        </w:rPr>
        <w:t xml:space="preserve">maareformi seaduse (MaaRS) alusel maa riigi omandisse jätmisena Keskkonnaministeeriumi valitsemisalas, valdavalt RMK poolt. Maa riigi omandisse jätmise kõrgaeg on möödas, viimase nelja aasta keskmisena on riigi omandisse jäetud keskmiselt 64 000 hektarit maad aastas. </w:t>
      </w:r>
      <w:r w:rsidRPr="00B70B75">
        <w:rPr>
          <w:rFonts w:eastAsiaTheme="majorEastAsia"/>
          <w:sz w:val="23"/>
          <w:szCs w:val="23"/>
          <w:u w:val="single"/>
        </w:rPr>
        <w:t>R</w:t>
      </w:r>
      <w:r w:rsidRPr="00B70B75">
        <w:rPr>
          <w:sz w:val="23"/>
          <w:szCs w:val="23"/>
          <w:u w:val="single"/>
        </w:rPr>
        <w:t xml:space="preserve">iigi omandisse on vaja vormistada veel ca </w:t>
      </w:r>
      <w:smartTag w:uri="urn:schemas-microsoft-com:office:smarttags" w:element="metricconverter">
        <w:smartTagPr>
          <w:attr w:name="ProductID" w:val="125 000 ha"/>
        </w:smartTagPr>
        <w:r w:rsidRPr="00B70B75">
          <w:rPr>
            <w:sz w:val="23"/>
            <w:szCs w:val="23"/>
            <w:u w:val="single"/>
          </w:rPr>
          <w:t>125 000 ha.</w:t>
        </w:r>
      </w:smartTag>
    </w:p>
    <w:p w:rsidR="002F4A30" w:rsidRPr="00B70B75" w:rsidRDefault="002F4A30" w:rsidP="002F4A30">
      <w:pPr>
        <w:pStyle w:val="ListParagraph"/>
        <w:numPr>
          <w:ilvl w:val="0"/>
          <w:numId w:val="25"/>
        </w:numPr>
        <w:rPr>
          <w:sz w:val="23"/>
          <w:szCs w:val="23"/>
        </w:rPr>
      </w:pPr>
      <w:r w:rsidRPr="00B70B75">
        <w:rPr>
          <w:rFonts w:eastAsiaTheme="majorEastAsia"/>
          <w:sz w:val="23"/>
          <w:szCs w:val="23"/>
        </w:rPr>
        <w:t xml:space="preserve">6% kinnistute arvust (538 kinnistut, 282 ha, summas </w:t>
      </w:r>
      <w:r w:rsidRPr="00B70B75">
        <w:rPr>
          <w:rFonts w:eastAsiaTheme="majorEastAsia"/>
          <w:b/>
          <w:sz w:val="23"/>
          <w:szCs w:val="23"/>
        </w:rPr>
        <w:t>16,0 mln eurot</w:t>
      </w:r>
      <w:r w:rsidRPr="00B70B75">
        <w:rPr>
          <w:rFonts w:eastAsiaTheme="majorEastAsia"/>
          <w:sz w:val="23"/>
          <w:szCs w:val="23"/>
        </w:rPr>
        <w:t>) on ostetud, sellest enamik (517 kinnistut) Majandus- ja Kommunikatsiooniministeeriumi valitsemisalas Maanteeameti poolt teede ehitamiseks vajalike maadena. Lisaks sellele on 0,1%</w:t>
      </w:r>
      <w:r w:rsidRPr="00B70B75">
        <w:rPr>
          <w:rFonts w:eastAsiaTheme="majorEastAsia"/>
          <w:b/>
          <w:sz w:val="23"/>
          <w:szCs w:val="23"/>
        </w:rPr>
        <w:t xml:space="preserve"> </w:t>
      </w:r>
      <w:r w:rsidRPr="00B70B75">
        <w:rPr>
          <w:rFonts w:eastAsiaTheme="majorEastAsia"/>
          <w:sz w:val="23"/>
          <w:szCs w:val="23"/>
        </w:rPr>
        <w:t>kinnistute arvust</w:t>
      </w:r>
      <w:r w:rsidRPr="00B70B75">
        <w:rPr>
          <w:rFonts w:eastAsiaTheme="majorEastAsia"/>
          <w:b/>
          <w:sz w:val="23"/>
          <w:szCs w:val="23"/>
        </w:rPr>
        <w:t xml:space="preserve"> </w:t>
      </w:r>
      <w:r w:rsidRPr="00B70B75">
        <w:rPr>
          <w:rFonts w:eastAsiaTheme="majorEastAsia"/>
          <w:sz w:val="23"/>
          <w:szCs w:val="23"/>
        </w:rPr>
        <w:t xml:space="preserve">(6 kinnistut, 12 ha, summas 36 000 eurot) Maanteeamet eraisikutelt omandanud sundvõõrandamise teel. </w:t>
      </w:r>
      <w:r w:rsidRPr="00B70B75">
        <w:rPr>
          <w:rFonts w:eastAsiaTheme="majorEastAsia"/>
          <w:sz w:val="23"/>
          <w:szCs w:val="23"/>
          <w:u w:val="single"/>
        </w:rPr>
        <w:t>Seoses kavandatava Rail Balticu projektiga suureneb ostutehingute osakaal ning vajadus tõhusa ostu- ja hüvitamisprotsessi läbiviimise järele.</w:t>
      </w:r>
      <w:r w:rsidRPr="00B70B75">
        <w:rPr>
          <w:rFonts w:eastAsiaTheme="majorEastAsia"/>
          <w:sz w:val="23"/>
          <w:szCs w:val="23"/>
        </w:rPr>
        <w:t xml:space="preserve"> Kompetentsi koondamine Keskkonnaministeeriumisse võimaldaks lisaks üldisele protsessi tõhustamisele leida paindlikumaid lahendusi vahetustehingute teostamiseks</w:t>
      </w:r>
      <w:r>
        <w:rPr>
          <w:rFonts w:eastAsiaTheme="majorEastAsia"/>
          <w:sz w:val="23"/>
          <w:szCs w:val="23"/>
        </w:rPr>
        <w:t>, näiteks ümberkruntimine</w:t>
      </w:r>
      <w:r w:rsidRPr="00B70B75">
        <w:rPr>
          <w:rFonts w:eastAsiaTheme="majorEastAsia"/>
          <w:sz w:val="23"/>
          <w:szCs w:val="23"/>
        </w:rPr>
        <w:t xml:space="preserve">. </w:t>
      </w:r>
    </w:p>
    <w:p w:rsidR="002F4A30" w:rsidRPr="00B70B75" w:rsidRDefault="002F4A30" w:rsidP="002F4A30">
      <w:pPr>
        <w:pStyle w:val="ListParagraph"/>
        <w:numPr>
          <w:ilvl w:val="0"/>
          <w:numId w:val="25"/>
        </w:numPr>
        <w:rPr>
          <w:sz w:val="23"/>
          <w:szCs w:val="23"/>
        </w:rPr>
      </w:pPr>
      <w:r w:rsidRPr="00B70B75">
        <w:rPr>
          <w:rFonts w:eastAsiaTheme="majorEastAsia"/>
          <w:sz w:val="23"/>
          <w:szCs w:val="23"/>
        </w:rPr>
        <w:t>1% kinnistute arvust (115 kinnistut, 986 ha) on omandatud l</w:t>
      </w:r>
      <w:r w:rsidRPr="00B70B75">
        <w:rPr>
          <w:sz w:val="23"/>
          <w:szCs w:val="23"/>
        </w:rPr>
        <w:t xml:space="preserve">ooduskaitseseaduse alusel Keskkonnaministeeriumi </w:t>
      </w:r>
      <w:r>
        <w:rPr>
          <w:sz w:val="23"/>
          <w:szCs w:val="23"/>
        </w:rPr>
        <w:t xml:space="preserve">(Maa-ameti) </w:t>
      </w:r>
      <w:r w:rsidRPr="00B70B75">
        <w:rPr>
          <w:sz w:val="23"/>
          <w:szCs w:val="23"/>
        </w:rPr>
        <w:t xml:space="preserve">poolt. Looduskaitseseaduse alusel on kinnistuid omandatud </w:t>
      </w:r>
      <w:r w:rsidRPr="00B70B75">
        <w:rPr>
          <w:b/>
          <w:sz w:val="23"/>
          <w:szCs w:val="23"/>
        </w:rPr>
        <w:t>6,3 mln euro</w:t>
      </w:r>
      <w:r w:rsidRPr="00B70B75">
        <w:rPr>
          <w:sz w:val="23"/>
          <w:szCs w:val="23"/>
        </w:rPr>
        <w:t xml:space="preserve"> eest ja tasaarveldusi on tehtud </w:t>
      </w:r>
      <w:r w:rsidRPr="00B70B75">
        <w:rPr>
          <w:b/>
          <w:sz w:val="23"/>
          <w:szCs w:val="23"/>
        </w:rPr>
        <w:t>3,8 mln euro</w:t>
      </w:r>
      <w:r w:rsidRPr="00B70B75">
        <w:rPr>
          <w:sz w:val="23"/>
          <w:szCs w:val="23"/>
        </w:rPr>
        <w:t xml:space="preserve"> väärtuses.</w:t>
      </w:r>
    </w:p>
    <w:p w:rsidR="002F4A30" w:rsidRPr="00B70B75" w:rsidRDefault="002F4A30" w:rsidP="002F4A30">
      <w:pPr>
        <w:pStyle w:val="ListParagraph"/>
        <w:numPr>
          <w:ilvl w:val="0"/>
          <w:numId w:val="25"/>
        </w:numPr>
        <w:rPr>
          <w:sz w:val="23"/>
          <w:szCs w:val="23"/>
          <w:u w:val="single"/>
        </w:rPr>
      </w:pPr>
      <w:r w:rsidRPr="00B70B75">
        <w:rPr>
          <w:sz w:val="23"/>
          <w:szCs w:val="23"/>
        </w:rPr>
        <w:t xml:space="preserve">0,4% kinnistute arvust on omandatud Siseministeeriumi poolt asjaõigusseaduse (AÕS) alusel, mis sätestab riigi kohustuse hõivata kinnisasjad, mis on jäänud peremehetuks (4 kinnistut) või mille omandist on loobutud (18 kinnistut) või karistusseadustiku alusel kohtuotsusega konfiskeeritud vara (11 kinnistut). </w:t>
      </w:r>
      <w:r w:rsidRPr="00B70B75">
        <w:rPr>
          <w:rFonts w:eastAsiaTheme="majorEastAsia"/>
          <w:sz w:val="23"/>
          <w:szCs w:val="23"/>
        </w:rPr>
        <w:t>Aruandlusperioodil on süvenenud praktika, kus eraisikud loobuvad oma varast. Välja on kujunenud kaks mustrit: loobutakse elamupiirkonnasisestest teemaa kinnistutest ja ääremaastuvates piirkondades asuvatest (nt Püssi, Mõisaküla) korteriomanditest. Selliste kinnistute edasise kasutamise korraldamine vajab keskset lahendamist. Praegune praktika on olnud suunata need RKAS-</w:t>
      </w:r>
      <w:r>
        <w:rPr>
          <w:rFonts w:eastAsiaTheme="majorEastAsia"/>
          <w:sz w:val="23"/>
          <w:szCs w:val="23"/>
        </w:rPr>
        <w:t>i</w:t>
      </w:r>
      <w:r w:rsidRPr="00B70B75">
        <w:rPr>
          <w:rFonts w:eastAsiaTheme="majorEastAsia"/>
          <w:sz w:val="23"/>
          <w:szCs w:val="23"/>
        </w:rPr>
        <w:t>le kui mittevajalik vara, kuid hoonestamata maade puhul võib kohasem olla suunata varad Keskkonnaministeeriumi ühtsesse riigi reservmaade portfelli ning korterid Sotsiaalministeeriumi valitsemisalasse või kohalikele omavalitsustele sotsiaalse</w:t>
      </w:r>
      <w:r>
        <w:rPr>
          <w:rFonts w:eastAsiaTheme="majorEastAsia"/>
          <w:sz w:val="23"/>
          <w:szCs w:val="23"/>
        </w:rPr>
        <w:t>ks</w:t>
      </w:r>
      <w:r w:rsidRPr="00B70B75">
        <w:rPr>
          <w:rFonts w:eastAsiaTheme="majorEastAsia"/>
          <w:sz w:val="23"/>
          <w:szCs w:val="23"/>
        </w:rPr>
        <w:t xml:space="preserve"> </w:t>
      </w:r>
      <w:r>
        <w:rPr>
          <w:rFonts w:eastAsiaTheme="majorEastAsia"/>
          <w:sz w:val="23"/>
          <w:szCs w:val="23"/>
        </w:rPr>
        <w:t>otstarbeks</w:t>
      </w:r>
      <w:r w:rsidRPr="00B70B75">
        <w:rPr>
          <w:rFonts w:eastAsiaTheme="majorEastAsia"/>
          <w:sz w:val="23"/>
          <w:szCs w:val="23"/>
        </w:rPr>
        <w:t xml:space="preserve">, kuna nende realiseerimine vabal turul on ilmselt vähetõenäoline. </w:t>
      </w:r>
    </w:p>
    <w:p w:rsidR="002F4A30" w:rsidRPr="00B70B75" w:rsidRDefault="002F4A30" w:rsidP="002F4A30">
      <w:pPr>
        <w:tabs>
          <w:tab w:val="left" w:pos="2703"/>
        </w:tabs>
        <w:rPr>
          <w:b/>
          <w:sz w:val="23"/>
          <w:szCs w:val="23"/>
          <w:u w:val="single"/>
        </w:rPr>
      </w:pPr>
      <w:r w:rsidRPr="00B70B75">
        <w:rPr>
          <w:rFonts w:eastAsiaTheme="majorEastAsia"/>
          <w:sz w:val="23"/>
          <w:szCs w:val="23"/>
        </w:rPr>
        <w:t xml:space="preserve">Lisaks eeltoodule on RKAS </w:t>
      </w:r>
      <w:r w:rsidRPr="00B70B75">
        <w:rPr>
          <w:sz w:val="23"/>
          <w:szCs w:val="23"/>
        </w:rPr>
        <w:t xml:space="preserve">aastatel 2013-2014 </w:t>
      </w:r>
      <w:r w:rsidRPr="00B70B75">
        <w:rPr>
          <w:rFonts w:eastAsiaTheme="majorEastAsia"/>
          <w:sz w:val="23"/>
          <w:szCs w:val="23"/>
        </w:rPr>
        <w:t xml:space="preserve">ostnud 4 kinnistut hinnaga </w:t>
      </w:r>
      <w:r w:rsidRPr="00B70B75">
        <w:rPr>
          <w:rFonts w:eastAsiaTheme="majorEastAsia"/>
          <w:b/>
          <w:sz w:val="23"/>
          <w:szCs w:val="23"/>
        </w:rPr>
        <w:t>7,1 mln eurot</w:t>
      </w:r>
      <w:r w:rsidRPr="00B70B75">
        <w:rPr>
          <w:rFonts w:eastAsiaTheme="majorEastAsia"/>
          <w:sz w:val="23"/>
          <w:szCs w:val="23"/>
        </w:rPr>
        <w:t xml:space="preserve">, millest 3 on olnud vajalik Politsei- ja Piirivalveameti hoonete arenduseks, üks Eesti Kunstiakadeemia uue hoone arenduseks.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10" w:name="_Toc426060344"/>
      <w:r w:rsidRPr="005B2CCA">
        <w:rPr>
          <w:rFonts w:ascii="Times New Roman" w:hAnsi="Times New Roman" w:cs="Times New Roman"/>
          <w:b/>
          <w:sz w:val="23"/>
          <w:szCs w:val="23"/>
        </w:rPr>
        <w:t xml:space="preserve"> </w:t>
      </w:r>
      <w:bookmarkStart w:id="11" w:name="_Toc433915022"/>
      <w:bookmarkStart w:id="12" w:name="_Toc433980659"/>
      <w:r w:rsidRPr="005B2CCA">
        <w:rPr>
          <w:rFonts w:ascii="Times New Roman" w:hAnsi="Times New Roman" w:cs="Times New Roman"/>
          <w:b/>
          <w:sz w:val="23"/>
          <w:szCs w:val="23"/>
        </w:rPr>
        <w:t>Riigi kinnisvara võõrandamised</w:t>
      </w:r>
      <w:bookmarkEnd w:id="10"/>
      <w:bookmarkEnd w:id="11"/>
      <w:bookmarkEnd w:id="12"/>
      <w:r w:rsidRPr="005B2CCA">
        <w:rPr>
          <w:rFonts w:ascii="Times New Roman" w:hAnsi="Times New Roman" w:cs="Times New Roman"/>
          <w:b/>
          <w:sz w:val="23"/>
          <w:szCs w:val="23"/>
        </w:rPr>
        <w:t xml:space="preserve"> </w:t>
      </w:r>
    </w:p>
    <w:p w:rsidR="002F4A30" w:rsidRDefault="002F4A30" w:rsidP="0088490D">
      <w:pPr>
        <w:spacing w:before="120"/>
        <w:rPr>
          <w:sz w:val="23"/>
          <w:szCs w:val="23"/>
        </w:rPr>
      </w:pPr>
      <w:r w:rsidRPr="00B70B75">
        <w:rPr>
          <w:sz w:val="23"/>
          <w:szCs w:val="23"/>
        </w:rPr>
        <w:t xml:space="preserve">Aastatel 2013-2014 </w:t>
      </w:r>
      <w:r>
        <w:rPr>
          <w:sz w:val="23"/>
          <w:szCs w:val="23"/>
        </w:rPr>
        <w:t>on riik võõrandanud 3586</w:t>
      </w:r>
      <w:r w:rsidRPr="00B70B75">
        <w:rPr>
          <w:sz w:val="23"/>
          <w:szCs w:val="23"/>
        </w:rPr>
        <w:t xml:space="preserve"> kinnistut kokku maa pindalaga 25 128 ha ja hoonete pindalaga 89 880 m</w:t>
      </w:r>
      <w:r w:rsidRPr="00B70B75">
        <w:rPr>
          <w:sz w:val="23"/>
          <w:szCs w:val="23"/>
          <w:vertAlign w:val="superscript"/>
        </w:rPr>
        <w:t>2</w:t>
      </w:r>
      <w:r w:rsidRPr="00B70B75">
        <w:rPr>
          <w:sz w:val="23"/>
          <w:szCs w:val="23"/>
        </w:rPr>
        <w:t>, millest:</w:t>
      </w:r>
    </w:p>
    <w:p w:rsidR="002F4A30" w:rsidRPr="00B70B75" w:rsidRDefault="002F4A30" w:rsidP="002F4A30">
      <w:pPr>
        <w:pStyle w:val="ListParagraph"/>
        <w:numPr>
          <w:ilvl w:val="0"/>
          <w:numId w:val="26"/>
        </w:numPr>
        <w:spacing w:before="0" w:after="0"/>
        <w:rPr>
          <w:sz w:val="23"/>
          <w:szCs w:val="23"/>
        </w:rPr>
      </w:pPr>
      <w:r>
        <w:rPr>
          <w:sz w:val="23"/>
          <w:szCs w:val="23"/>
        </w:rPr>
        <w:t>59</w:t>
      </w:r>
      <w:r w:rsidRPr="00B70B75">
        <w:rPr>
          <w:sz w:val="23"/>
          <w:szCs w:val="23"/>
        </w:rPr>
        <w:t xml:space="preserve">% kinnistute arvust (2102) ja 60% pindalast on võõrandatud otsustuskorras. Valdavalt on tegemist maareformi seaduse alusel tehtud tehingutega maavalitsuste poolt (kinnistu on võõrandatud </w:t>
      </w:r>
      <w:r>
        <w:rPr>
          <w:sz w:val="23"/>
          <w:szCs w:val="23"/>
        </w:rPr>
        <w:t>selle</w:t>
      </w:r>
      <w:r w:rsidRPr="00B70B75">
        <w:rPr>
          <w:sz w:val="23"/>
          <w:szCs w:val="23"/>
        </w:rPr>
        <w:t xml:space="preserve"> senisele kasutajale). </w:t>
      </w:r>
      <w:r w:rsidRPr="00B70B75">
        <w:rPr>
          <w:rFonts w:eastAsiaTheme="majorEastAsia"/>
          <w:sz w:val="23"/>
          <w:szCs w:val="23"/>
        </w:rPr>
        <w:t xml:space="preserve">Ministeeriumite osa otsustuskorras võõrandamistel on marginaalne, enamasti </w:t>
      </w:r>
      <w:r>
        <w:rPr>
          <w:rFonts w:eastAsiaTheme="majorEastAsia"/>
          <w:sz w:val="23"/>
          <w:szCs w:val="23"/>
        </w:rPr>
        <w:t xml:space="preserve">on </w:t>
      </w:r>
      <w:r w:rsidRPr="00B70B75">
        <w:rPr>
          <w:rFonts w:eastAsiaTheme="majorEastAsia"/>
          <w:sz w:val="23"/>
          <w:szCs w:val="23"/>
        </w:rPr>
        <w:t xml:space="preserve">vara võõrandanud otsustuskorras tasuta kohalikele omavalitsustele ning vähem avalik-õiguslikele juriidilistele isikutele ja sihtasutustele. </w:t>
      </w:r>
    </w:p>
    <w:p w:rsidR="002F4A30" w:rsidRPr="00B70B75" w:rsidRDefault="002F4A30" w:rsidP="002F4A30">
      <w:pPr>
        <w:pStyle w:val="ListParagraph"/>
        <w:numPr>
          <w:ilvl w:val="0"/>
          <w:numId w:val="26"/>
        </w:numPr>
        <w:spacing w:before="0" w:after="0"/>
        <w:rPr>
          <w:sz w:val="23"/>
          <w:szCs w:val="23"/>
        </w:rPr>
      </w:pPr>
      <w:r>
        <w:rPr>
          <w:sz w:val="23"/>
          <w:szCs w:val="23"/>
        </w:rPr>
        <w:t>41</w:t>
      </w:r>
      <w:r w:rsidRPr="00B70B75">
        <w:rPr>
          <w:sz w:val="23"/>
          <w:szCs w:val="23"/>
        </w:rPr>
        <w:t>% kinnistute arvust (1484) on võõrandatud avaliku enampakkumise korras valdavalt Maa-ameti poolt. Müüki suunatavate maaüksuste maht aastas ehk aktiivne müügiportfell kujuneb riigieelarve koostamise käigus.</w:t>
      </w:r>
    </w:p>
    <w:p w:rsidR="002F4A30" w:rsidRPr="00B70B75" w:rsidRDefault="002F4A30" w:rsidP="002F4A30">
      <w:pPr>
        <w:pStyle w:val="ListParagraph"/>
        <w:numPr>
          <w:ilvl w:val="0"/>
          <w:numId w:val="26"/>
        </w:numPr>
        <w:spacing w:before="0" w:after="0"/>
        <w:rPr>
          <w:sz w:val="23"/>
          <w:szCs w:val="23"/>
        </w:rPr>
      </w:pPr>
      <w:r w:rsidRPr="00B70B75">
        <w:rPr>
          <w:rFonts w:eastAsiaTheme="majorEastAsia"/>
          <w:sz w:val="23"/>
          <w:szCs w:val="23"/>
        </w:rPr>
        <w:t>Enampakkumisel müüdud kinnistutest olid hoonestatud 64 kinnistut kokku 132 hoonega ja pindalaga 23 445 m</w:t>
      </w:r>
      <w:r w:rsidRPr="00B70B75">
        <w:rPr>
          <w:rFonts w:eastAsiaTheme="majorEastAsia"/>
          <w:sz w:val="23"/>
          <w:szCs w:val="23"/>
          <w:vertAlign w:val="superscript"/>
        </w:rPr>
        <w:t>2</w:t>
      </w:r>
      <w:r w:rsidRPr="00B70B75">
        <w:rPr>
          <w:rFonts w:eastAsiaTheme="majorEastAsia"/>
          <w:sz w:val="23"/>
          <w:szCs w:val="23"/>
        </w:rPr>
        <w:t xml:space="preserve">. Hoonete pinnast 61% on võõrandanud RMK (endised metskonnahooned), 33% maavalitsused (konfiskeeritud vara) ja 6% ministeeriumid (peamiselt välismaal asuv vara). </w:t>
      </w:r>
    </w:p>
    <w:p w:rsidR="002F4A30" w:rsidRPr="00B70B75" w:rsidRDefault="002F4A30" w:rsidP="002F4A30">
      <w:pPr>
        <w:pStyle w:val="ListParagraph"/>
        <w:numPr>
          <w:ilvl w:val="0"/>
          <w:numId w:val="26"/>
        </w:numPr>
        <w:spacing w:before="0" w:after="0"/>
        <w:rPr>
          <w:sz w:val="23"/>
          <w:szCs w:val="23"/>
        </w:rPr>
      </w:pPr>
      <w:r w:rsidRPr="00B70B75">
        <w:rPr>
          <w:rFonts w:eastAsiaTheme="majorEastAsia"/>
          <w:sz w:val="23"/>
          <w:szCs w:val="23"/>
        </w:rPr>
        <w:t xml:space="preserve">Riik on kahe aasta jooksul võõrandanud vara hinnaga </w:t>
      </w:r>
      <w:r>
        <w:rPr>
          <w:rFonts w:eastAsiaTheme="majorEastAsia"/>
          <w:b/>
          <w:sz w:val="23"/>
          <w:szCs w:val="23"/>
        </w:rPr>
        <w:t xml:space="preserve">61,3 </w:t>
      </w:r>
      <w:r w:rsidRPr="00B70B75">
        <w:rPr>
          <w:rFonts w:eastAsiaTheme="majorEastAsia"/>
          <w:b/>
          <w:sz w:val="23"/>
          <w:szCs w:val="23"/>
        </w:rPr>
        <w:t>miljonit eurot</w:t>
      </w:r>
      <w:r w:rsidRPr="00B70B75">
        <w:rPr>
          <w:rFonts w:eastAsiaTheme="majorEastAsia"/>
          <w:sz w:val="23"/>
          <w:szCs w:val="23"/>
        </w:rPr>
        <w:t>, põhiliselt Maa-ameti ja maavalitsuste kaudu (vastavalt 2/3 ja 1/3 tulust). Otsustuskorras</w:t>
      </w:r>
      <w:r w:rsidRPr="00B70B75">
        <w:rPr>
          <w:rFonts w:eastAsiaTheme="majorEastAsia"/>
          <w:b/>
          <w:sz w:val="23"/>
          <w:szCs w:val="23"/>
        </w:rPr>
        <w:t xml:space="preserve"> tasuta on võõrandatud vara tehinguväärtusega 25,1 mln eurot</w:t>
      </w:r>
      <w:r w:rsidR="000E5304">
        <w:rPr>
          <w:rFonts w:eastAsiaTheme="majorEastAsia"/>
          <w:sz w:val="23"/>
          <w:szCs w:val="23"/>
        </w:rPr>
        <w:t>.</w:t>
      </w:r>
      <w:r w:rsidRPr="00B70B75">
        <w:rPr>
          <w:rFonts w:eastAsiaTheme="majorEastAsia"/>
          <w:sz w:val="23"/>
          <w:szCs w:val="23"/>
        </w:rPr>
        <w:t xml:space="preserve"> </w:t>
      </w:r>
    </w:p>
    <w:p w:rsidR="002F4A30" w:rsidRPr="00B70B75" w:rsidRDefault="002F4A30" w:rsidP="002F4A30">
      <w:pPr>
        <w:spacing w:before="240"/>
        <w:rPr>
          <w:rFonts w:eastAsiaTheme="majorEastAsia"/>
          <w:sz w:val="23"/>
          <w:szCs w:val="23"/>
        </w:rPr>
      </w:pPr>
      <w:r w:rsidRPr="00B70B75">
        <w:rPr>
          <w:rFonts w:eastAsiaTheme="majorEastAsia"/>
          <w:sz w:val="23"/>
          <w:szCs w:val="23"/>
        </w:rPr>
        <w:t xml:space="preserve">Lisaks eeltoodud võõrandamistele on </w:t>
      </w:r>
      <w:r w:rsidRPr="00B70B75">
        <w:rPr>
          <w:sz w:val="23"/>
          <w:szCs w:val="23"/>
        </w:rPr>
        <w:t>aastatel 2013-2014</w:t>
      </w:r>
      <w:r w:rsidRPr="00B70B75">
        <w:rPr>
          <w:rFonts w:eastAsiaTheme="majorEastAsia"/>
          <w:sz w:val="23"/>
          <w:szCs w:val="23"/>
        </w:rPr>
        <w:t xml:space="preserve"> riik mitterahalise sissemaksena üle andnud 286 kinnistut </w:t>
      </w:r>
      <w:r w:rsidRPr="00B70B75">
        <w:rPr>
          <w:sz w:val="23"/>
          <w:szCs w:val="23"/>
        </w:rPr>
        <w:t>maa pindalaga 589 ha ja hoonete pindalaga 289 206 m</w:t>
      </w:r>
      <w:r w:rsidRPr="00B70B75">
        <w:rPr>
          <w:sz w:val="23"/>
          <w:szCs w:val="23"/>
          <w:vertAlign w:val="superscript"/>
        </w:rPr>
        <w:t>2</w:t>
      </w:r>
      <w:r w:rsidRPr="00B70B75">
        <w:rPr>
          <w:rFonts w:eastAsiaTheme="majorEastAsia"/>
          <w:sz w:val="23"/>
          <w:szCs w:val="23"/>
        </w:rPr>
        <w:t>, neist 272 RKAS-ile riigi kinnisvarastrateegia elluviimiseks ja 13 teistele isikutele (11 kinnistut neljale sihtasutustele Kultuuriministeeriumi valitsemisalas ja 2 kinnistut AS-</w:t>
      </w:r>
      <w:r>
        <w:rPr>
          <w:rFonts w:eastAsiaTheme="majorEastAsia"/>
          <w:sz w:val="23"/>
          <w:szCs w:val="23"/>
        </w:rPr>
        <w:t>i</w:t>
      </w:r>
      <w:r w:rsidRPr="00B70B75">
        <w:rPr>
          <w:rFonts w:eastAsiaTheme="majorEastAsia"/>
          <w:sz w:val="23"/>
          <w:szCs w:val="23"/>
        </w:rPr>
        <w:t xml:space="preserve">le Tallinna Sadam). Üle antud kinnisasjade harilik väärtus (aktsia- või sihtkapitali suurendamine) on </w:t>
      </w:r>
      <w:r w:rsidRPr="00B70B75">
        <w:rPr>
          <w:rFonts w:eastAsiaTheme="majorEastAsia"/>
          <w:b/>
          <w:sz w:val="23"/>
          <w:szCs w:val="23"/>
        </w:rPr>
        <w:t>35,0 miljonit eurot</w:t>
      </w:r>
      <w:r w:rsidRPr="00B70B75">
        <w:rPr>
          <w:rFonts w:eastAsiaTheme="majorEastAsia"/>
          <w:sz w:val="23"/>
          <w:szCs w:val="23"/>
        </w:rPr>
        <w:t xml:space="preserve">. Siinkohal on oluline märkida, et mitterahalise sissemaksena üle antud kinnisvara ei ole enam „riigi kinnisvara“ riigivaraseaduse tähenduses ning riigivaraseaduse nõuded neile varadele enam ei kehti (riigivaraks on osalus juriidilises isikus). Samas toimub sihtasutuste kinnisvarakulude rahastamine suures ulatuses riigieelarvest ja vajadus kinnisvarast ülevaate omamiseks ei kao. </w:t>
      </w:r>
    </w:p>
    <w:p w:rsidR="002F4A30" w:rsidRPr="00B70B75" w:rsidRDefault="002F4A30" w:rsidP="002F4A30">
      <w:pPr>
        <w:spacing w:before="240"/>
        <w:rPr>
          <w:rFonts w:eastAsiaTheme="majorEastAsia"/>
          <w:sz w:val="23"/>
          <w:szCs w:val="23"/>
        </w:rPr>
      </w:pPr>
      <w:r w:rsidRPr="00B70B75">
        <w:rPr>
          <w:rFonts w:eastAsiaTheme="majorEastAsia"/>
          <w:sz w:val="23"/>
          <w:szCs w:val="23"/>
        </w:rPr>
        <w:t>RKAS on</w:t>
      </w:r>
      <w:r w:rsidRPr="00B70B75">
        <w:rPr>
          <w:sz w:val="23"/>
          <w:szCs w:val="23"/>
        </w:rPr>
        <w:t xml:space="preserve"> aastatel 2013-2014 </w:t>
      </w:r>
      <w:r w:rsidRPr="00B70B75">
        <w:rPr>
          <w:rFonts w:eastAsiaTheme="majorEastAsia"/>
          <w:sz w:val="23"/>
          <w:szCs w:val="23"/>
        </w:rPr>
        <w:t xml:space="preserve">müünud mittevajalikku vara hinnaga </w:t>
      </w:r>
      <w:r w:rsidRPr="00B70B75">
        <w:rPr>
          <w:rFonts w:eastAsiaTheme="majorEastAsia"/>
          <w:b/>
          <w:sz w:val="23"/>
          <w:szCs w:val="23"/>
        </w:rPr>
        <w:t>8,4 mln eurot.</w:t>
      </w:r>
      <w:r w:rsidRPr="00B70B75">
        <w:rPr>
          <w:rFonts w:eastAsiaTheme="majorEastAsia"/>
          <w:sz w:val="23"/>
          <w:szCs w:val="23"/>
        </w:rPr>
        <w:t xml:space="preserve"> </w:t>
      </w:r>
    </w:p>
    <w:p w:rsidR="002F4A30" w:rsidRPr="00B70B75" w:rsidRDefault="002F4A30" w:rsidP="0088490D">
      <w:pPr>
        <w:pStyle w:val="Heading1"/>
        <w:keepLines w:val="0"/>
        <w:numPr>
          <w:ilvl w:val="0"/>
          <w:numId w:val="71"/>
        </w:numPr>
        <w:spacing w:before="360" w:after="0"/>
        <w:jc w:val="left"/>
        <w:rPr>
          <w:sz w:val="23"/>
          <w:szCs w:val="23"/>
          <w:u w:val="single"/>
        </w:rPr>
      </w:pPr>
      <w:bookmarkStart w:id="13" w:name="_Toc426060346"/>
      <w:bookmarkStart w:id="14" w:name="_Toc433915023"/>
      <w:bookmarkStart w:id="15" w:name="_Toc433980660"/>
      <w:r w:rsidRPr="00B70B75">
        <w:rPr>
          <w:sz w:val="23"/>
          <w:szCs w:val="23"/>
          <w:u w:val="single"/>
        </w:rPr>
        <w:t xml:space="preserve">Riigi hoonestatud kinnisvara </w:t>
      </w:r>
      <w:bookmarkEnd w:id="13"/>
      <w:r>
        <w:rPr>
          <w:sz w:val="23"/>
          <w:szCs w:val="23"/>
          <w:u w:val="single"/>
        </w:rPr>
        <w:t>valitsemine</w:t>
      </w:r>
      <w:bookmarkEnd w:id="14"/>
      <w:bookmarkEnd w:id="15"/>
      <w:r w:rsidRPr="00B70B75">
        <w:rPr>
          <w:sz w:val="23"/>
          <w:szCs w:val="23"/>
          <w:u w:val="single"/>
        </w:rPr>
        <w:t xml:space="preserv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16" w:name="_Toc433915024"/>
      <w:bookmarkStart w:id="17" w:name="_Toc433980661"/>
      <w:r w:rsidRPr="005B2CCA">
        <w:rPr>
          <w:rFonts w:ascii="Times New Roman" w:hAnsi="Times New Roman" w:cs="Times New Roman"/>
          <w:b/>
          <w:sz w:val="23"/>
          <w:szCs w:val="23"/>
        </w:rPr>
        <w:t>Olulisemad muutused keskkonnas võrreldes eelmise koondaruandega</w:t>
      </w:r>
      <w:bookmarkEnd w:id="16"/>
      <w:bookmarkEnd w:id="17"/>
    </w:p>
    <w:p w:rsidR="002F4A30" w:rsidRPr="005B2CCA" w:rsidRDefault="002F4A30" w:rsidP="0088490D">
      <w:pPr>
        <w:pStyle w:val="Loend1"/>
        <w:numPr>
          <w:ilvl w:val="0"/>
          <w:numId w:val="72"/>
        </w:numPr>
        <w:spacing w:before="120"/>
        <w:ind w:left="284" w:hanging="284"/>
        <w:rPr>
          <w:rFonts w:asciiTheme="minorHAnsi" w:hAnsiTheme="minorHAnsi"/>
          <w:sz w:val="23"/>
          <w:szCs w:val="23"/>
        </w:rPr>
      </w:pPr>
      <w:r w:rsidRPr="005B2CCA">
        <w:rPr>
          <w:rFonts w:asciiTheme="minorHAnsi" w:hAnsiTheme="minorHAnsi"/>
          <w:sz w:val="23"/>
          <w:szCs w:val="23"/>
        </w:rPr>
        <w:t>Riigivaraseaduse muutmise seaduse eelnõu menetlemise peatumine Riigikogus jaanuaris 2015, millega jäi viibima mitmete oluliste menetlusi lihtsustavate ja halduskoormust vähendavate regulatsioonide muutmine.</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Eelmise koondaruande kinnitamisel 10.04.2014 VV poolt Rahandusministeeriumile antud ülesanded, millega seoses viidi läbi tegevuskavade koostamiseks vajalike andmete korje ning koostati tegevuskava RKAS-ile hoonete üleandmiseks, hoonete andmete korrastamiseks ja riigi hooneteportfelli rahastamiskava koostamiseks.</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Uue Euroopa arvepidamissüsteemi ESA2010 jõustumine 01.09.2014, milles tehti olulisi muudatusi riigi kinnisvaraportfelli arvestusreeglite suhtes. Kõige olulisemana võib välja tuua selle, et tulenevalt EL-i poliitilisest survest saavutada valitsussektori eelarvetasakaalu ja võlataset puudutavate arvandmete osas võimalikult suur täpsus, käsitatakse neid küsimusi ESA 2010-s oluliselt ulatuslikumalt kui ESA 95-s ja luuakse senisest suuremat selgust investeeringute kajastamise reeglites ja riskide jaotumises, mis vähendab erinevate tõlgenduste ja hilisema tehingute ümberklassifitseerimise riski ning kasvanud on ka võimalused tehingute kajastamisel valitsussektori välisena.</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 xml:space="preserve">Uue valitsuse ametisse astumine 2015. aasta kevadel ja Vabariigi Valitsuse Tegevusprogrammis (VVTP) senisest suurema tähelepanu pööramine riigihalduse teemadele. Kaasnevalt riigihalduse ministri koha loomine Rahandusministeeriumis ja Siseministeeriumi seotud osakondade ületoomine Rahandusministeeriumisse alates 01.09.2015. </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 xml:space="preserve">Uue planeerimisseaduse vastuvõtmine ja kehtima hakkamine 01.07.2015 ning riigi maade haldamise, planeerimise ja maakorralduse teemade aktualiseerumine nii uues VVTP-s kui maade omandamise kaasustes, eelkõige kavandatava Rail Balticu projektiga seonduvalt. </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 xml:space="preserve">Uue ehitusseaduse vastuvõtmine ja kehtima hakkamine alates 01.07.2015, millega luuakse täiendavaid nõudeid omanikule, kusjuures uue nõudena on seaduse tasemel kehtestatud nõue hooldusjuhendite loomiseks. </w:t>
      </w:r>
    </w:p>
    <w:p w:rsidR="002F4A30" w:rsidRPr="005B2CCA" w:rsidRDefault="002F4A30" w:rsidP="002F4A30">
      <w:pPr>
        <w:pStyle w:val="Loend1"/>
        <w:numPr>
          <w:ilvl w:val="0"/>
          <w:numId w:val="72"/>
        </w:numPr>
        <w:ind w:left="284" w:hanging="284"/>
        <w:rPr>
          <w:rFonts w:asciiTheme="minorHAnsi" w:hAnsiTheme="minorHAnsi"/>
          <w:sz w:val="23"/>
          <w:szCs w:val="23"/>
        </w:rPr>
      </w:pPr>
      <w:r w:rsidRPr="005B2CCA">
        <w:rPr>
          <w:rFonts w:asciiTheme="minorHAnsi" w:hAnsiTheme="minorHAnsi"/>
          <w:sz w:val="23"/>
          <w:szCs w:val="23"/>
        </w:rPr>
        <w:t xml:space="preserve">Eesti keelde on tõlgitud Euroopa Liidu standardiseeria EVS-EN 15221 „Kinnisvarakeskkonna juhtimine“, mis käsitleb kinnisvarakeskkonna ja laiemalt kogu tugitegevuste korraldamist kinnisvara kasutava organisatsiooni vaates. Käsil on uustöötlus Eesti standardist EVS 807 „Kinnisvara korrashoid. Kinnisvarakeskkonna korraldamine“, millesse integreeritakse ka EVS-EN 15221 põhimõtted, st senist omaniku ja teenusepakkuja vaatenurka laiendatakse selliselt, et lisandub ka teenuse tellija vaatenurk.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18" w:name="_Toc433915025"/>
      <w:bookmarkStart w:id="19" w:name="_Toc433980662"/>
      <w:r w:rsidRPr="005B2CCA">
        <w:rPr>
          <w:rFonts w:ascii="Times New Roman" w:hAnsi="Times New Roman" w:cs="Times New Roman"/>
          <w:b/>
          <w:sz w:val="23"/>
          <w:szCs w:val="23"/>
        </w:rPr>
        <w:t>Riigi kinnisvarategevuste strateegia eesmärkide täitmine</w:t>
      </w:r>
      <w:bookmarkEnd w:id="18"/>
      <w:bookmarkEnd w:id="19"/>
    </w:p>
    <w:p w:rsidR="002F4A30" w:rsidRPr="005B2CCA" w:rsidRDefault="002F4A30" w:rsidP="0088490D">
      <w:pPr>
        <w:pStyle w:val="Loend1"/>
        <w:numPr>
          <w:ilvl w:val="0"/>
          <w:numId w:val="0"/>
        </w:numPr>
        <w:spacing w:before="120" w:after="0"/>
        <w:rPr>
          <w:rFonts w:asciiTheme="majorHAnsi" w:hAnsiTheme="majorHAnsi"/>
          <w:sz w:val="23"/>
          <w:szCs w:val="23"/>
          <w:lang w:eastAsia="et-EE"/>
        </w:rPr>
      </w:pPr>
      <w:r w:rsidRPr="005B2CCA">
        <w:rPr>
          <w:rFonts w:asciiTheme="majorHAnsi" w:hAnsiTheme="majorHAnsi"/>
          <w:sz w:val="23"/>
          <w:szCs w:val="23"/>
          <w:lang w:eastAsia="et-EE"/>
        </w:rPr>
        <w:t xml:space="preserve">Riigi kinnisvarategevuste strateegia (2007), mis on riigi hoonestatud kinnisvara juhtimise peamiseks alusdokumendiks, sõnastab neli peaeesmärki: </w:t>
      </w:r>
    </w:p>
    <w:p w:rsidR="002F4A30" w:rsidRPr="005B2CCA" w:rsidRDefault="002F4A30" w:rsidP="002F4A30">
      <w:pPr>
        <w:pStyle w:val="Loend21"/>
        <w:numPr>
          <w:ilvl w:val="0"/>
          <w:numId w:val="16"/>
        </w:numPr>
        <w:ind w:left="1587" w:hanging="357"/>
        <w:rPr>
          <w:rFonts w:asciiTheme="majorHAnsi" w:hAnsiTheme="majorHAnsi"/>
          <w:sz w:val="23"/>
          <w:szCs w:val="23"/>
        </w:rPr>
      </w:pPr>
      <w:r w:rsidRPr="005B2CCA">
        <w:rPr>
          <w:rFonts w:asciiTheme="majorHAnsi" w:hAnsiTheme="majorHAnsi"/>
          <w:sz w:val="23"/>
          <w:szCs w:val="23"/>
        </w:rPr>
        <w:t>Vajaliku vara tõhus arendamine.</w:t>
      </w:r>
    </w:p>
    <w:p w:rsidR="002F4A30" w:rsidRPr="005B2CCA" w:rsidRDefault="002F4A30" w:rsidP="002F4A30">
      <w:pPr>
        <w:pStyle w:val="Loend21"/>
        <w:numPr>
          <w:ilvl w:val="0"/>
          <w:numId w:val="16"/>
        </w:numPr>
        <w:ind w:left="1587" w:hanging="357"/>
        <w:rPr>
          <w:rFonts w:asciiTheme="majorHAnsi" w:hAnsiTheme="majorHAnsi"/>
          <w:sz w:val="23"/>
          <w:szCs w:val="23"/>
        </w:rPr>
      </w:pPr>
      <w:r w:rsidRPr="005B2CCA">
        <w:rPr>
          <w:rFonts w:asciiTheme="majorHAnsi" w:hAnsiTheme="majorHAnsi"/>
          <w:sz w:val="23"/>
          <w:szCs w:val="23"/>
        </w:rPr>
        <w:t>Vajaliku vara tõhus korrashoid.</w:t>
      </w:r>
    </w:p>
    <w:p w:rsidR="002F4A30" w:rsidRPr="005B2CCA" w:rsidRDefault="002F4A30" w:rsidP="002F4A30">
      <w:pPr>
        <w:pStyle w:val="Loend21"/>
        <w:numPr>
          <w:ilvl w:val="0"/>
          <w:numId w:val="16"/>
        </w:numPr>
        <w:ind w:left="1587" w:hanging="357"/>
        <w:rPr>
          <w:rFonts w:asciiTheme="majorHAnsi" w:hAnsiTheme="majorHAnsi"/>
          <w:iCs/>
          <w:sz w:val="23"/>
          <w:szCs w:val="23"/>
        </w:rPr>
      </w:pPr>
      <w:r w:rsidRPr="005B2CCA">
        <w:rPr>
          <w:rFonts w:asciiTheme="majorHAnsi" w:hAnsiTheme="majorHAnsi"/>
          <w:sz w:val="23"/>
          <w:szCs w:val="23"/>
        </w:rPr>
        <w:t>Mittevajalike varade käibesse suunamine.</w:t>
      </w:r>
    </w:p>
    <w:p w:rsidR="002F4A30" w:rsidRPr="005B2CCA" w:rsidRDefault="002F4A30" w:rsidP="002F4A30">
      <w:pPr>
        <w:pStyle w:val="Loend21"/>
        <w:numPr>
          <w:ilvl w:val="0"/>
          <w:numId w:val="16"/>
        </w:numPr>
        <w:ind w:left="1587" w:hanging="357"/>
        <w:rPr>
          <w:rFonts w:asciiTheme="majorHAnsi" w:hAnsiTheme="majorHAnsi"/>
          <w:iCs/>
          <w:sz w:val="23"/>
          <w:szCs w:val="23"/>
        </w:rPr>
      </w:pPr>
      <w:r w:rsidRPr="005B2CCA">
        <w:rPr>
          <w:rFonts w:asciiTheme="majorHAnsi" w:hAnsiTheme="majorHAnsi"/>
          <w:sz w:val="23"/>
          <w:szCs w:val="23"/>
        </w:rPr>
        <w:t>Riigi kinnisvarajuhtimise süsteemi loomine.</w:t>
      </w:r>
    </w:p>
    <w:p w:rsidR="002F4A30" w:rsidRPr="00B70B75" w:rsidRDefault="002F4A30" w:rsidP="002F4A30">
      <w:pPr>
        <w:rPr>
          <w:b/>
          <w:sz w:val="23"/>
          <w:szCs w:val="23"/>
        </w:rPr>
      </w:pPr>
      <w:r w:rsidRPr="00B70B75">
        <w:rPr>
          <w:sz w:val="23"/>
          <w:szCs w:val="23"/>
        </w:rPr>
        <w:t>Kolme esimese nimetatud eesmärgi elluviijaks on RKAS. Strateegia näeb ette riigi kinnisvara valitsemise RKAS-i kui kompetentsikeskuse kaudu. Riigi omandis hooned võõrandatakse RKAS-ile mitterahalise sissemaksena, vajalikud hooned renditakse tagasi, mittevajalikud hooned võõrandatakse. RKAS osutab riigile vajaliku kinnisvara korrashoiuteenuseid, riigiasutused on tellija rollis. Kahe poole suhet reguleerib üürileping. Investeeringud tehakse RKAS-i kaudu ja nende eest tasutakse üürimakses. Selle mudeli üheks oluliseks eelduseks (alameesmärgiks) on riigile vajalike hoonete üleandmine RKAS-ile, mis on ka ainus kvantitatiivselt mõõdetav tegevus (vt järgmine alapeatükk).</w:t>
      </w:r>
      <w:r w:rsidRPr="00B70B75">
        <w:rPr>
          <w:b/>
          <w:sz w:val="23"/>
          <w:szCs w:val="23"/>
        </w:rPr>
        <w:t xml:space="preserve"> </w:t>
      </w:r>
    </w:p>
    <w:p w:rsidR="002F4A30" w:rsidRPr="00B70B75" w:rsidRDefault="002F4A30" w:rsidP="002F4A30">
      <w:pPr>
        <w:rPr>
          <w:sz w:val="23"/>
          <w:szCs w:val="23"/>
        </w:rPr>
      </w:pPr>
      <w:r w:rsidRPr="00B70B75">
        <w:rPr>
          <w:sz w:val="23"/>
          <w:szCs w:val="23"/>
        </w:rPr>
        <w:t xml:space="preserve">Neljanda strateegia eesmärgi - kinnisvarajuhtimise süsteemi loomine, elluviijaks on Rahandusministeerium. </w:t>
      </w:r>
    </w:p>
    <w:p w:rsidR="002F4A30" w:rsidRPr="00B70B75" w:rsidRDefault="002F4A30" w:rsidP="002F4A30">
      <w:pPr>
        <w:rPr>
          <w:b/>
          <w:sz w:val="23"/>
          <w:szCs w:val="23"/>
        </w:rPr>
      </w:pPr>
      <w:r w:rsidRPr="00B70B75">
        <w:rPr>
          <w:kern w:val="32"/>
          <w:sz w:val="23"/>
          <w:szCs w:val="23"/>
        </w:rPr>
        <w:t xml:space="preserve">Kinnisvarajuhtimise süsteem tähendab, et riigi funktsioonide täitmiseks on loodud vajaliku kinnisvara arendustegevuse, haldamise ja korrashoiu kompleksne ja koordineeritud juhtimine ning selleks vajalikud organisatsioonilised alused, õiguslikud regulatsioonid, infosüsteemid ja motivatsioonimehhanismid. </w:t>
      </w:r>
      <w:r w:rsidRPr="00B70B75">
        <w:rPr>
          <w:sz w:val="23"/>
          <w:szCs w:val="23"/>
        </w:rPr>
        <w:t>Juhtimissüsteemi</w:t>
      </w:r>
      <w:r>
        <w:rPr>
          <w:sz w:val="23"/>
          <w:szCs w:val="23"/>
        </w:rPr>
        <w:t xml:space="preserve"> loomisel</w:t>
      </w:r>
      <w:r w:rsidRPr="00B70B75">
        <w:rPr>
          <w:sz w:val="23"/>
          <w:szCs w:val="23"/>
        </w:rPr>
        <w:t xml:space="preserve"> lahendamist vajavad sõlmprobleemid:</w:t>
      </w:r>
      <w:r w:rsidRPr="00B70B75">
        <w:rPr>
          <w:b/>
          <w:sz w:val="23"/>
          <w:szCs w:val="23"/>
        </w:rPr>
        <w:t xml:space="preserve"> </w:t>
      </w:r>
    </w:p>
    <w:p w:rsidR="002F4A30" w:rsidRPr="00B70B75" w:rsidRDefault="002F4A30" w:rsidP="002F4A30">
      <w:pPr>
        <w:pStyle w:val="ListParagraph"/>
        <w:numPr>
          <w:ilvl w:val="0"/>
          <w:numId w:val="35"/>
        </w:numPr>
        <w:spacing w:before="0" w:after="0"/>
        <w:rPr>
          <w:sz w:val="23"/>
          <w:szCs w:val="23"/>
        </w:rPr>
      </w:pPr>
      <w:r w:rsidRPr="00B70B75">
        <w:rPr>
          <w:sz w:val="23"/>
          <w:szCs w:val="23"/>
        </w:rPr>
        <w:t>Kirjelda</w:t>
      </w:r>
      <w:r>
        <w:rPr>
          <w:sz w:val="23"/>
          <w:szCs w:val="23"/>
        </w:rPr>
        <w:t>mist</w:t>
      </w:r>
      <w:r w:rsidRPr="00B70B75">
        <w:rPr>
          <w:sz w:val="23"/>
          <w:szCs w:val="23"/>
        </w:rPr>
        <w:t xml:space="preserve"> ja rakenda</w:t>
      </w:r>
      <w:r>
        <w:rPr>
          <w:sz w:val="23"/>
          <w:szCs w:val="23"/>
        </w:rPr>
        <w:t>mist</w:t>
      </w:r>
      <w:r w:rsidRPr="00B70B75">
        <w:rPr>
          <w:sz w:val="23"/>
          <w:szCs w:val="23"/>
        </w:rPr>
        <w:t xml:space="preserve"> </w:t>
      </w:r>
      <w:r>
        <w:rPr>
          <w:sz w:val="23"/>
          <w:szCs w:val="23"/>
        </w:rPr>
        <w:t>vajavad</w:t>
      </w:r>
      <w:r w:rsidRPr="00B70B75">
        <w:rPr>
          <w:sz w:val="23"/>
          <w:szCs w:val="23"/>
        </w:rPr>
        <w:t xml:space="preserve"> standardsed kinnisvara juhtimise protsessid (tegevus töös).</w:t>
      </w:r>
    </w:p>
    <w:p w:rsidR="002F4A30" w:rsidRPr="00B70B75" w:rsidRDefault="002F4A30" w:rsidP="002F4A30">
      <w:pPr>
        <w:pStyle w:val="ListParagraph"/>
        <w:numPr>
          <w:ilvl w:val="0"/>
          <w:numId w:val="35"/>
        </w:numPr>
        <w:spacing w:before="0" w:after="0"/>
        <w:rPr>
          <w:b/>
          <w:sz w:val="23"/>
          <w:szCs w:val="23"/>
        </w:rPr>
      </w:pPr>
      <w:r w:rsidRPr="00B70B75">
        <w:rPr>
          <w:kern w:val="32"/>
          <w:sz w:val="23"/>
          <w:szCs w:val="23"/>
        </w:rPr>
        <w:t xml:space="preserve">Kinnisvara juhtimisinfo </w:t>
      </w:r>
      <w:r>
        <w:rPr>
          <w:kern w:val="32"/>
          <w:sz w:val="23"/>
          <w:szCs w:val="23"/>
        </w:rPr>
        <w:t xml:space="preserve">vajab jätkuvalt korrastamist </w:t>
      </w:r>
      <w:r w:rsidRPr="00B70B75">
        <w:rPr>
          <w:sz w:val="23"/>
          <w:szCs w:val="23"/>
        </w:rPr>
        <w:t>(vt alapeatükk</w:t>
      </w:r>
      <w:r>
        <w:rPr>
          <w:sz w:val="23"/>
          <w:szCs w:val="23"/>
        </w:rPr>
        <w:t xml:space="preserve"> 3.3</w:t>
      </w:r>
      <w:r w:rsidRPr="00B70B75">
        <w:rPr>
          <w:sz w:val="23"/>
          <w:szCs w:val="23"/>
        </w:rPr>
        <w:t>).</w:t>
      </w:r>
      <w:r w:rsidRPr="00B70B75">
        <w:rPr>
          <w:b/>
          <w:sz w:val="23"/>
          <w:szCs w:val="23"/>
        </w:rPr>
        <w:t xml:space="preserv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20" w:name="_Toc426060347"/>
      <w:r w:rsidRPr="005B2CCA">
        <w:rPr>
          <w:rFonts w:ascii="Times New Roman" w:hAnsi="Times New Roman" w:cs="Times New Roman"/>
          <w:b/>
          <w:sz w:val="23"/>
          <w:szCs w:val="23"/>
        </w:rPr>
        <w:t xml:space="preserve"> </w:t>
      </w:r>
      <w:bookmarkStart w:id="21" w:name="_Toc433915026"/>
      <w:bookmarkStart w:id="22" w:name="_Toc433980663"/>
      <w:r w:rsidRPr="005B2CCA">
        <w:rPr>
          <w:rFonts w:ascii="Times New Roman" w:hAnsi="Times New Roman" w:cs="Times New Roman"/>
          <w:b/>
          <w:sz w:val="23"/>
          <w:szCs w:val="23"/>
        </w:rPr>
        <w:t>Riigi hoonestatud kinnisvara RKAS-ile üle andmine</w:t>
      </w:r>
      <w:bookmarkEnd w:id="20"/>
      <w:bookmarkEnd w:id="21"/>
      <w:bookmarkEnd w:id="22"/>
      <w:r w:rsidRPr="005B2CCA">
        <w:rPr>
          <w:rFonts w:ascii="Times New Roman" w:hAnsi="Times New Roman" w:cs="Times New Roman"/>
          <w:b/>
          <w:sz w:val="23"/>
          <w:szCs w:val="23"/>
        </w:rPr>
        <w:t xml:space="preserve"> </w:t>
      </w:r>
    </w:p>
    <w:p w:rsidR="002F4A30" w:rsidRPr="00B70B75" w:rsidRDefault="002F4A30" w:rsidP="002F4A30">
      <w:pPr>
        <w:rPr>
          <w:sz w:val="23"/>
          <w:szCs w:val="23"/>
        </w:rPr>
      </w:pPr>
      <w:r w:rsidRPr="00B70B75">
        <w:rPr>
          <w:sz w:val="23"/>
          <w:szCs w:val="23"/>
        </w:rPr>
        <w:t xml:space="preserve">Eelmises koondaruandes tõdeti, et mittevajalikud hooned on RKAS-ile üle antud, kuid vajalikust üle antavast varast on üle antud vaid kolmandik. 2015. aasta alguseks ei ole olukord märkimisväärselt muutunud: kui 2012. aasta lõpuks oli </w:t>
      </w:r>
      <w:r w:rsidRPr="00B70B75">
        <w:rPr>
          <w:b/>
          <w:sz w:val="23"/>
          <w:szCs w:val="23"/>
        </w:rPr>
        <w:t>halduse tsentraliseerituse määr</w:t>
      </w:r>
      <w:r w:rsidRPr="00B70B75">
        <w:rPr>
          <w:sz w:val="23"/>
          <w:szCs w:val="23"/>
        </w:rPr>
        <w:t xml:space="preserve"> (RKAS-</w:t>
      </w:r>
      <w:r>
        <w:rPr>
          <w:sz w:val="23"/>
          <w:szCs w:val="23"/>
        </w:rPr>
        <w:t>i</w:t>
      </w:r>
      <w:r w:rsidRPr="00B70B75">
        <w:rPr>
          <w:sz w:val="23"/>
          <w:szCs w:val="23"/>
        </w:rPr>
        <w:t xml:space="preserve">lt üüritava hoone </w:t>
      </w:r>
      <w:r>
        <w:rPr>
          <w:sz w:val="23"/>
          <w:szCs w:val="23"/>
        </w:rPr>
        <w:t xml:space="preserve">ja RKAS-i poolt hallatava </w:t>
      </w:r>
      <w:r w:rsidRPr="009E57BD">
        <w:rPr>
          <w:sz w:val="23"/>
          <w:szCs w:val="23"/>
        </w:rPr>
        <w:t>hoone pinna osakaal kogu riigi omandis ja RKAS-ilt üüritava pinna summast</w:t>
      </w:r>
      <w:r w:rsidR="000E5304">
        <w:rPr>
          <w:sz w:val="23"/>
          <w:szCs w:val="23"/>
        </w:rPr>
        <w:t>)</w:t>
      </w:r>
      <w:r w:rsidRPr="00B70B75">
        <w:rPr>
          <w:sz w:val="23"/>
          <w:szCs w:val="23"/>
        </w:rPr>
        <w:t xml:space="preserve"> 34%, siis:</w:t>
      </w:r>
    </w:p>
    <w:p w:rsidR="002F4A30" w:rsidRPr="00B70B75" w:rsidRDefault="002F4A30" w:rsidP="002F4A30">
      <w:pPr>
        <w:rPr>
          <w:sz w:val="23"/>
          <w:szCs w:val="23"/>
        </w:rPr>
      </w:pPr>
      <w:r w:rsidRPr="00B70B75">
        <w:rPr>
          <w:sz w:val="23"/>
          <w:szCs w:val="23"/>
        </w:rPr>
        <w:t xml:space="preserve">2014. aasta lõpuks oli see 36%, 2015. aasta lõpuks on prognoositav tsentraliseerituse määr 42%. </w:t>
      </w:r>
    </w:p>
    <w:p w:rsidR="002F4A30" w:rsidRPr="00B70B75" w:rsidRDefault="002F4A30" w:rsidP="002F4A30">
      <w:pPr>
        <w:rPr>
          <w:sz w:val="23"/>
          <w:szCs w:val="23"/>
        </w:rPr>
      </w:pPr>
      <w:r w:rsidRPr="00B70B75">
        <w:rPr>
          <w:sz w:val="23"/>
          <w:szCs w:val="23"/>
        </w:rPr>
        <w:t>Halduse tsentraliseerituse määra visa kasv kajastab aeglast üleandmise tempot, aga seda mõjutab ka hoonete pinnaandmete täpsustumine ning positiivse aspektina ka optimeerimine: üle antakse ka mittevajalikku vara ning osa vajalik</w:t>
      </w:r>
      <w:r>
        <w:rPr>
          <w:sz w:val="23"/>
          <w:szCs w:val="23"/>
        </w:rPr>
        <w:t>k</w:t>
      </w:r>
      <w:r w:rsidRPr="00B70B75">
        <w:rPr>
          <w:sz w:val="23"/>
          <w:szCs w:val="23"/>
        </w:rPr>
        <w:t xml:space="preserve">u vara muutub optimeerimise tagajärjel mittevajalikuks ja läheb kasutusest välja. </w:t>
      </w:r>
    </w:p>
    <w:p w:rsidR="002F4A30" w:rsidRPr="00B70B75" w:rsidRDefault="002F4A30" w:rsidP="002F4A30">
      <w:pPr>
        <w:rPr>
          <w:b/>
          <w:sz w:val="23"/>
          <w:szCs w:val="23"/>
        </w:rPr>
      </w:pPr>
      <w:r w:rsidRPr="00B70B75">
        <w:rPr>
          <w:b/>
          <w:sz w:val="23"/>
          <w:szCs w:val="23"/>
        </w:rPr>
        <w:t xml:space="preserve">Riigi varade optimeerimist kajastab kõige paremini RKAS-i portfelli jõudsalt kasvanud vakants: 2009. aastal oli see tasemel 10%, 2013. aastal 25% ja 2014. aastal 30%. </w:t>
      </w:r>
    </w:p>
    <w:p w:rsidR="002F4A30" w:rsidRPr="00B70B75" w:rsidRDefault="002F4A30" w:rsidP="002F4A30">
      <w:pPr>
        <w:rPr>
          <w:sz w:val="23"/>
          <w:szCs w:val="23"/>
        </w:rPr>
      </w:pPr>
      <w:r w:rsidRPr="00B70B75">
        <w:rPr>
          <w:b/>
          <w:sz w:val="23"/>
          <w:szCs w:val="23"/>
        </w:rPr>
        <w:t>Üleandmise tempo on olnud oodatust kaks korda madalam.</w:t>
      </w:r>
      <w:r w:rsidRPr="00B70B75">
        <w:rPr>
          <w:sz w:val="23"/>
          <w:szCs w:val="23"/>
        </w:rPr>
        <w:t xml:space="preserve"> RKAS-i hinnangul on optimaalseks hoonete üleandmise mahuks hea planeerimise korral 200 000 m² aastas, kuid </w:t>
      </w:r>
    </w:p>
    <w:p w:rsidR="002F4A30" w:rsidRPr="00B70B75" w:rsidRDefault="002F4A30" w:rsidP="002F4A30">
      <w:pPr>
        <w:pStyle w:val="ListParagraph"/>
        <w:numPr>
          <w:ilvl w:val="0"/>
          <w:numId w:val="52"/>
        </w:numPr>
        <w:spacing w:before="0" w:after="0"/>
        <w:rPr>
          <w:sz w:val="23"/>
          <w:szCs w:val="23"/>
        </w:rPr>
      </w:pPr>
      <w:r>
        <w:rPr>
          <w:sz w:val="23"/>
          <w:szCs w:val="23"/>
        </w:rPr>
        <w:t>2013. aastal</w:t>
      </w:r>
      <w:r w:rsidRPr="00B70B75">
        <w:rPr>
          <w:sz w:val="23"/>
          <w:szCs w:val="23"/>
        </w:rPr>
        <w:t xml:space="preserve"> anti üle 97 704 m² vajalikku ja 51 750 m² mittevajalikku pinda,</w:t>
      </w:r>
    </w:p>
    <w:p w:rsidR="002F4A30" w:rsidRPr="00B70B75" w:rsidRDefault="002F4A30" w:rsidP="002F4A30">
      <w:pPr>
        <w:pStyle w:val="ListParagraph"/>
        <w:numPr>
          <w:ilvl w:val="0"/>
          <w:numId w:val="52"/>
        </w:numPr>
        <w:spacing w:before="0" w:after="0"/>
        <w:rPr>
          <w:sz w:val="23"/>
          <w:szCs w:val="23"/>
        </w:rPr>
      </w:pPr>
      <w:r>
        <w:rPr>
          <w:sz w:val="23"/>
          <w:szCs w:val="23"/>
        </w:rPr>
        <w:t xml:space="preserve">2014. aastal </w:t>
      </w:r>
      <w:r w:rsidRPr="00B70B75">
        <w:rPr>
          <w:sz w:val="23"/>
          <w:szCs w:val="23"/>
        </w:rPr>
        <w:t>61 544 m² vajalikku ja 33 038 m² mittevajalikku pinda,</w:t>
      </w:r>
    </w:p>
    <w:p w:rsidR="002F4A30" w:rsidRPr="00B70B75" w:rsidRDefault="002F4A30" w:rsidP="002F4A30">
      <w:pPr>
        <w:pStyle w:val="ListParagraph"/>
        <w:numPr>
          <w:ilvl w:val="0"/>
          <w:numId w:val="52"/>
        </w:numPr>
        <w:spacing w:before="0" w:after="0"/>
        <w:rPr>
          <w:sz w:val="23"/>
          <w:szCs w:val="23"/>
        </w:rPr>
      </w:pPr>
      <w:r>
        <w:rPr>
          <w:sz w:val="23"/>
          <w:szCs w:val="23"/>
        </w:rPr>
        <w:t xml:space="preserve">2015. aastal </w:t>
      </w:r>
      <w:r w:rsidRPr="00B70B75">
        <w:rPr>
          <w:sz w:val="23"/>
          <w:szCs w:val="23"/>
        </w:rPr>
        <w:t>antakse 70 000 m² vajalikku ja 24 000 m² mittevajalikku pinda.</w:t>
      </w:r>
    </w:p>
    <w:p w:rsidR="002F4A30" w:rsidRPr="00B70B75" w:rsidRDefault="002F4A30" w:rsidP="002F4A30">
      <w:pPr>
        <w:rPr>
          <w:sz w:val="23"/>
          <w:szCs w:val="23"/>
        </w:rPr>
      </w:pPr>
      <w:r w:rsidRPr="00B70B75">
        <w:rPr>
          <w:sz w:val="23"/>
          <w:szCs w:val="23"/>
        </w:rPr>
        <w:t>2014. aasta lõpu seisuga on riigiasutustel RKAS-ilt üüritud ruume kokku 530 000 m², riigi omandis on veel 1 540 000 m² hooneid. Arvestades, et kaitseministeerium (omandis 380 000 m²) ja RMK (omandis 88 000 m</w:t>
      </w:r>
      <w:r w:rsidRPr="00B70B75">
        <w:rPr>
          <w:sz w:val="23"/>
          <w:szCs w:val="23"/>
          <w:vertAlign w:val="superscript"/>
        </w:rPr>
        <w:t>2</w:t>
      </w:r>
      <w:r w:rsidRPr="00B70B75">
        <w:rPr>
          <w:sz w:val="23"/>
          <w:szCs w:val="23"/>
        </w:rPr>
        <w:t>) jäävad oma hooneid ise valitsema, ca 90 000 m</w:t>
      </w:r>
      <w:r w:rsidRPr="00B70B75">
        <w:rPr>
          <w:sz w:val="23"/>
          <w:szCs w:val="23"/>
          <w:vertAlign w:val="superscript"/>
        </w:rPr>
        <w:t>2</w:t>
      </w:r>
      <w:r w:rsidRPr="00B70B75">
        <w:rPr>
          <w:sz w:val="23"/>
          <w:szCs w:val="23"/>
        </w:rPr>
        <w:t xml:space="preserve"> pinnast on perspektiivis mittevajalikud ja 2015. aastal antakse üle 70 000 m</w:t>
      </w:r>
      <w:r w:rsidRPr="00B70B75">
        <w:rPr>
          <w:sz w:val="23"/>
          <w:szCs w:val="23"/>
          <w:vertAlign w:val="superscript"/>
        </w:rPr>
        <w:t>2</w:t>
      </w:r>
      <w:r w:rsidRPr="00B70B75">
        <w:rPr>
          <w:sz w:val="23"/>
          <w:szCs w:val="23"/>
        </w:rPr>
        <w:t xml:space="preserve">, siis on </w:t>
      </w:r>
      <w:r w:rsidRPr="00B70B75">
        <w:rPr>
          <w:b/>
          <w:sz w:val="23"/>
          <w:szCs w:val="23"/>
        </w:rPr>
        <w:t xml:space="preserve">üle andmata ca 900 000 m² vajalikku pinda. </w:t>
      </w:r>
      <w:r w:rsidRPr="00B70B75">
        <w:rPr>
          <w:sz w:val="23"/>
          <w:szCs w:val="23"/>
        </w:rPr>
        <w:t xml:space="preserve">Kui liikuda optimaalses üleandmise </w:t>
      </w:r>
      <w:r w:rsidRPr="00B70B75">
        <w:rPr>
          <w:b/>
          <w:sz w:val="23"/>
          <w:szCs w:val="23"/>
        </w:rPr>
        <w:t>tempos 200 000 m</w:t>
      </w:r>
      <w:r w:rsidRPr="00B70B75">
        <w:rPr>
          <w:b/>
          <w:sz w:val="23"/>
          <w:szCs w:val="23"/>
          <w:vertAlign w:val="superscript"/>
        </w:rPr>
        <w:t>2</w:t>
      </w:r>
      <w:r w:rsidRPr="00B70B75">
        <w:rPr>
          <w:b/>
          <w:sz w:val="23"/>
          <w:szCs w:val="23"/>
        </w:rPr>
        <w:t xml:space="preserve"> aastas oleks võimalik riigi hooned RKAS-ile üle anda 2020. aasta lõpuks.</w:t>
      </w:r>
      <w:r w:rsidRPr="00B70B75">
        <w:rPr>
          <w:sz w:val="23"/>
          <w:szCs w:val="23"/>
        </w:rPr>
        <w:t xml:space="preserve"> </w:t>
      </w:r>
    </w:p>
    <w:p w:rsidR="002F4A30" w:rsidRPr="00B70B75" w:rsidRDefault="002F4A30" w:rsidP="002F4A30">
      <w:pPr>
        <w:rPr>
          <w:sz w:val="23"/>
          <w:szCs w:val="23"/>
        </w:rPr>
      </w:pPr>
      <w:r w:rsidRPr="00B70B75">
        <w:rPr>
          <w:sz w:val="23"/>
          <w:szCs w:val="23"/>
        </w:rPr>
        <w:t>2014. aastal viidi üleandmise tegevuskava koostamiseks riigivara valitsejate seas läbi küsitlus, millega selgitati välja valitsejate kavatsused enda valitsemisel olevate hoonete kavandatava korraldusmudeli kohta. Selgus, et valitsejad ei ole valmis hooneid RKAS-ile võõrandama ja tagasi rentima. Potentsiaalselt üle antavast varast:</w:t>
      </w:r>
    </w:p>
    <w:p w:rsidR="002F4A30" w:rsidRPr="00B70B75" w:rsidRDefault="002F4A30" w:rsidP="002F4A30">
      <w:pPr>
        <w:pStyle w:val="ListParagraph"/>
        <w:numPr>
          <w:ilvl w:val="3"/>
          <w:numId w:val="51"/>
        </w:numPr>
        <w:spacing w:before="0" w:after="0"/>
        <w:ind w:left="567" w:hanging="283"/>
        <w:rPr>
          <w:sz w:val="23"/>
          <w:szCs w:val="23"/>
        </w:rPr>
      </w:pPr>
      <w:r w:rsidRPr="00B70B75">
        <w:rPr>
          <w:sz w:val="23"/>
          <w:szCs w:val="23"/>
        </w:rPr>
        <w:t xml:space="preserve">plaanitakse nelja aasta perspektiivis RKAS-i üürimudelile üle viia 81 000 m² hooneid, millest 18 000 m² on 2014. aasta jooksul juba üle antud. </w:t>
      </w:r>
    </w:p>
    <w:p w:rsidR="002F4A30" w:rsidRPr="00B70B75" w:rsidRDefault="002F4A30" w:rsidP="002F4A30">
      <w:pPr>
        <w:pStyle w:val="ListParagraph"/>
        <w:numPr>
          <w:ilvl w:val="3"/>
          <w:numId w:val="51"/>
        </w:numPr>
        <w:spacing w:before="0" w:after="0"/>
        <w:ind w:left="567" w:hanging="283"/>
        <w:rPr>
          <w:sz w:val="23"/>
          <w:szCs w:val="23"/>
        </w:rPr>
      </w:pPr>
      <w:r w:rsidRPr="00B70B75">
        <w:rPr>
          <w:sz w:val="23"/>
          <w:szCs w:val="23"/>
        </w:rPr>
        <w:t xml:space="preserve">610 000 m² puhul ollakse valmis RKAS-ile üle andma hoonete haldus, kuid omand soovitakse jätta riigile. </w:t>
      </w:r>
    </w:p>
    <w:p w:rsidR="002F4A30" w:rsidRPr="00B70B75" w:rsidRDefault="002F4A30" w:rsidP="002F4A30">
      <w:pPr>
        <w:pStyle w:val="ListParagraph"/>
        <w:numPr>
          <w:ilvl w:val="3"/>
          <w:numId w:val="51"/>
        </w:numPr>
        <w:spacing w:before="0" w:after="0"/>
        <w:ind w:left="567" w:hanging="283"/>
        <w:rPr>
          <w:sz w:val="23"/>
          <w:szCs w:val="23"/>
        </w:rPr>
      </w:pPr>
      <w:r w:rsidRPr="00B70B75">
        <w:rPr>
          <w:sz w:val="23"/>
          <w:szCs w:val="23"/>
        </w:rPr>
        <w:t>90 000 m² ulatuses deklareeriti mittevajalikke hooneid. Neist ca 30 000 m</w:t>
      </w:r>
      <w:r w:rsidRPr="00B70B75">
        <w:rPr>
          <w:sz w:val="23"/>
          <w:szCs w:val="23"/>
          <w:vertAlign w:val="superscript"/>
        </w:rPr>
        <w:t>2</w:t>
      </w:r>
      <w:r w:rsidRPr="00B70B75">
        <w:rPr>
          <w:sz w:val="23"/>
          <w:szCs w:val="23"/>
        </w:rPr>
        <w:t xml:space="preserve"> on üle antavad RKAS-ile, 30 000 m² soovitakse koos tegevusega üle anda sihtasutustele ning ülejäänud 30 000 m² puhul on tegemist keerukamate juhtumitega, mille üleandmine on võimalik peale maakorraldustoimingud.</w:t>
      </w:r>
    </w:p>
    <w:p w:rsidR="002F4A30" w:rsidRPr="00B70B75" w:rsidRDefault="002F4A30" w:rsidP="002F4A30">
      <w:pPr>
        <w:pStyle w:val="ListParagraph"/>
        <w:numPr>
          <w:ilvl w:val="3"/>
          <w:numId w:val="51"/>
        </w:numPr>
        <w:spacing w:before="0" w:after="0"/>
        <w:ind w:left="567" w:hanging="283"/>
        <w:rPr>
          <w:sz w:val="23"/>
          <w:szCs w:val="23"/>
        </w:rPr>
      </w:pPr>
      <w:r w:rsidRPr="00B70B75">
        <w:rPr>
          <w:sz w:val="23"/>
          <w:szCs w:val="23"/>
        </w:rPr>
        <w:t>270 000 m² hooneid soovitakse jätta riigi omandisse ja haldamisele.</w:t>
      </w:r>
    </w:p>
    <w:p w:rsidR="002F4A30" w:rsidRPr="00B70B75" w:rsidRDefault="002F4A30" w:rsidP="002F4A30">
      <w:pPr>
        <w:pStyle w:val="ListParagraph"/>
        <w:numPr>
          <w:ilvl w:val="3"/>
          <w:numId w:val="51"/>
        </w:numPr>
        <w:spacing w:before="0" w:after="0"/>
        <w:ind w:left="567" w:hanging="283"/>
        <w:rPr>
          <w:sz w:val="23"/>
          <w:szCs w:val="23"/>
        </w:rPr>
      </w:pPr>
      <w:r w:rsidRPr="00B70B75">
        <w:rPr>
          <w:sz w:val="23"/>
          <w:szCs w:val="23"/>
        </w:rPr>
        <w:t>Ülejäänud hoonete haldamine on kavandatud erasektori abiga.</w:t>
      </w:r>
    </w:p>
    <w:p w:rsidR="002F4A30" w:rsidRPr="00B70B75" w:rsidRDefault="002F4A30" w:rsidP="002F4A30">
      <w:pPr>
        <w:rPr>
          <w:sz w:val="23"/>
          <w:szCs w:val="23"/>
        </w:rPr>
      </w:pPr>
      <w:r w:rsidRPr="00B70B75">
        <w:rPr>
          <w:sz w:val="23"/>
          <w:szCs w:val="23"/>
        </w:rPr>
        <w:t xml:space="preserve">Riigivara valitsejate hoonete portfellid on erineva suurusega, seetõttu on ka valitsejate otsuste mõju kinnisvaraomandi tsentraliseerimisele erinev. Rohkem kui pool üle andmata hoonetest kuulub Haridus- ja teadusministeeriumi valitsemisele, kellel on soov anda hooned üle haldusmudeli alusel. Rahandusministeerium seda ei toeta ja aktsepteerib haldusmudelit vaid nn üleminekumudelina, kui peaksid ilmnema mingid omandi üleandmist takistavad tegurid. </w:t>
      </w:r>
    </w:p>
    <w:p w:rsidR="002F4A30" w:rsidRPr="00B70B75" w:rsidRDefault="002F4A30" w:rsidP="002F4A30">
      <w:pPr>
        <w:rPr>
          <w:sz w:val="23"/>
          <w:szCs w:val="23"/>
        </w:rPr>
      </w:pPr>
      <w:r w:rsidRPr="00B70B75">
        <w:rPr>
          <w:sz w:val="23"/>
          <w:szCs w:val="23"/>
        </w:rPr>
        <w:t xml:space="preserve">Üldiselt võib valitsemisalade hoonete portfelli valitsemist kirjeldada järgmiselt: </w:t>
      </w:r>
    </w:p>
    <w:p w:rsidR="002F4A30" w:rsidRPr="00B70B75" w:rsidRDefault="002F4A30" w:rsidP="002F4A30">
      <w:pPr>
        <w:pStyle w:val="ListParagraph"/>
        <w:numPr>
          <w:ilvl w:val="3"/>
          <w:numId w:val="53"/>
        </w:numPr>
        <w:spacing w:before="0" w:after="0"/>
        <w:ind w:left="567" w:hanging="283"/>
        <w:rPr>
          <w:sz w:val="23"/>
          <w:szCs w:val="23"/>
        </w:rPr>
      </w:pPr>
      <w:r w:rsidRPr="00B70B75">
        <w:rPr>
          <w:sz w:val="23"/>
          <w:szCs w:val="23"/>
        </w:rPr>
        <w:t>Justiits- ja Rahandusministeeriumi portfellid vastavad uuele struktuurile, kõik varad on üüritud RKAS-</w:t>
      </w:r>
      <w:r>
        <w:rPr>
          <w:sz w:val="23"/>
          <w:szCs w:val="23"/>
        </w:rPr>
        <w:t>i</w:t>
      </w:r>
      <w:r w:rsidRPr="00B70B75">
        <w:rPr>
          <w:sz w:val="23"/>
          <w:szCs w:val="23"/>
        </w:rPr>
        <w:t>lt või erasektorist;</w:t>
      </w:r>
    </w:p>
    <w:p w:rsidR="002F4A30" w:rsidRPr="00B70B75" w:rsidRDefault="002F4A30" w:rsidP="002F4A30">
      <w:pPr>
        <w:pStyle w:val="ListParagraph"/>
        <w:numPr>
          <w:ilvl w:val="3"/>
          <w:numId w:val="53"/>
        </w:numPr>
        <w:spacing w:before="0" w:after="0"/>
        <w:ind w:left="567" w:hanging="283"/>
        <w:rPr>
          <w:sz w:val="23"/>
          <w:szCs w:val="23"/>
        </w:rPr>
      </w:pPr>
      <w:r w:rsidRPr="00B70B75">
        <w:rPr>
          <w:sz w:val="23"/>
          <w:szCs w:val="23"/>
        </w:rPr>
        <w:t>Sotsiaalministeerium, Riigikantselei, Kultuuri- ja Siseministeerium on suures osas oma portfelli korrastanud ja põhiosas üle läinud RKAS-i üürimudelile, siiski on osa hoonetest kavandatud jätta riigi omandisse;</w:t>
      </w:r>
    </w:p>
    <w:p w:rsidR="002F4A30" w:rsidRPr="005D4CB5" w:rsidRDefault="002F4A30" w:rsidP="002F4A30">
      <w:pPr>
        <w:pStyle w:val="ListParagraph"/>
        <w:numPr>
          <w:ilvl w:val="3"/>
          <w:numId w:val="53"/>
        </w:numPr>
        <w:spacing w:before="0" w:after="0"/>
        <w:ind w:left="567" w:hanging="283"/>
        <w:rPr>
          <w:sz w:val="23"/>
          <w:szCs w:val="23"/>
        </w:rPr>
      </w:pPr>
      <w:r w:rsidRPr="005D4CB5">
        <w:rPr>
          <w:sz w:val="23"/>
          <w:szCs w:val="23"/>
        </w:rPr>
        <w:t>Keskkonna-, Põllumajandus- ning Haridus- ja Teadusministeerium on oma portfelle üle andmas;</w:t>
      </w:r>
    </w:p>
    <w:p w:rsidR="002F4A30" w:rsidRPr="005D4CB5" w:rsidRDefault="002F4A30" w:rsidP="002F4A30">
      <w:pPr>
        <w:pStyle w:val="ListParagraph"/>
        <w:numPr>
          <w:ilvl w:val="3"/>
          <w:numId w:val="53"/>
        </w:numPr>
        <w:spacing w:before="0" w:after="0"/>
        <w:ind w:left="567" w:hanging="283"/>
        <w:rPr>
          <w:sz w:val="23"/>
          <w:szCs w:val="23"/>
        </w:rPr>
      </w:pPr>
      <w:r w:rsidRPr="005D4CB5">
        <w:rPr>
          <w:sz w:val="23"/>
          <w:szCs w:val="23"/>
        </w:rPr>
        <w:t>Välis- ning Majandus- ja Kommunikatsiooniministeerium ei ole väljendanud aktiivset soovi hooneid RKAS-ile üle anda;</w:t>
      </w:r>
    </w:p>
    <w:p w:rsidR="002F4A30" w:rsidRPr="00B70B75" w:rsidRDefault="002F4A30" w:rsidP="002F4A30">
      <w:pPr>
        <w:pStyle w:val="ListParagraph"/>
        <w:numPr>
          <w:ilvl w:val="3"/>
          <w:numId w:val="53"/>
        </w:numPr>
        <w:spacing w:before="0" w:after="0"/>
        <w:ind w:left="567" w:hanging="283"/>
        <w:rPr>
          <w:sz w:val="23"/>
          <w:szCs w:val="23"/>
        </w:rPr>
      </w:pPr>
      <w:r w:rsidRPr="00B70B75">
        <w:rPr>
          <w:sz w:val="23"/>
          <w:szCs w:val="23"/>
        </w:rPr>
        <w:t xml:space="preserve">Kaitseministeerium ja RMK on eraldi kompetentsikeskused, kes haldavad oma varasid ise. </w:t>
      </w:r>
    </w:p>
    <w:p w:rsidR="002F4A30" w:rsidRPr="00B70B75" w:rsidRDefault="002F4A30" w:rsidP="002F4A30">
      <w:pPr>
        <w:rPr>
          <w:sz w:val="23"/>
          <w:szCs w:val="23"/>
        </w:rPr>
      </w:pPr>
      <w:r w:rsidRPr="00B70B75">
        <w:rPr>
          <w:sz w:val="23"/>
          <w:szCs w:val="23"/>
        </w:rPr>
        <w:t>Ettevaatlikkus hoonete RKAS-</w:t>
      </w:r>
      <w:r>
        <w:rPr>
          <w:sz w:val="23"/>
          <w:szCs w:val="23"/>
        </w:rPr>
        <w:t>i</w:t>
      </w:r>
      <w:r w:rsidRPr="00B70B75">
        <w:rPr>
          <w:sz w:val="23"/>
          <w:szCs w:val="23"/>
        </w:rPr>
        <w:t xml:space="preserve">le üle andmisel tuleneb eelkõige korrastamata juhtimisprotsessidest: </w:t>
      </w:r>
    </w:p>
    <w:p w:rsidR="002F4A30" w:rsidRPr="00B70B75" w:rsidRDefault="002F4A30" w:rsidP="002F4A30">
      <w:pPr>
        <w:pStyle w:val="ListParagraph"/>
        <w:numPr>
          <w:ilvl w:val="3"/>
          <w:numId w:val="54"/>
        </w:numPr>
        <w:spacing w:before="0" w:after="0"/>
        <w:ind w:left="567" w:hanging="283"/>
        <w:rPr>
          <w:sz w:val="23"/>
          <w:szCs w:val="23"/>
        </w:rPr>
      </w:pPr>
      <w:r w:rsidRPr="00B70B75">
        <w:rPr>
          <w:sz w:val="23"/>
          <w:szCs w:val="23"/>
        </w:rPr>
        <w:t xml:space="preserve">puudub selgus RKAS-i teenustes ja hinnakujunduses, </w:t>
      </w:r>
    </w:p>
    <w:p w:rsidR="002F4A30" w:rsidRPr="00B70B75" w:rsidRDefault="002F4A30" w:rsidP="002F4A30">
      <w:pPr>
        <w:pStyle w:val="ListParagraph"/>
        <w:numPr>
          <w:ilvl w:val="3"/>
          <w:numId w:val="54"/>
        </w:numPr>
        <w:spacing w:before="0" w:after="0"/>
        <w:ind w:left="567" w:hanging="283"/>
        <w:rPr>
          <w:sz w:val="23"/>
          <w:szCs w:val="23"/>
        </w:rPr>
      </w:pPr>
      <w:r w:rsidRPr="00B70B75">
        <w:rPr>
          <w:sz w:val="23"/>
          <w:szCs w:val="23"/>
        </w:rPr>
        <w:t>puudub selgus, kuidas otsuseid, sh rahastamisotsuseid tehakse,</w:t>
      </w:r>
    </w:p>
    <w:p w:rsidR="002F4A30" w:rsidRPr="00B70B75" w:rsidRDefault="002F4A30" w:rsidP="002F4A30">
      <w:pPr>
        <w:rPr>
          <w:sz w:val="23"/>
          <w:szCs w:val="23"/>
        </w:rPr>
      </w:pPr>
      <w:r w:rsidRPr="00B70B75">
        <w:rPr>
          <w:sz w:val="23"/>
          <w:szCs w:val="23"/>
        </w:rPr>
        <w:t>Lahenduseks on siin</w:t>
      </w:r>
      <w:r w:rsidRPr="00B70B75">
        <w:rPr>
          <w:b/>
          <w:sz w:val="23"/>
          <w:szCs w:val="23"/>
        </w:rPr>
        <w:t xml:space="preserve"> </w:t>
      </w:r>
      <w:r w:rsidRPr="00B70B75">
        <w:rPr>
          <w:sz w:val="23"/>
          <w:szCs w:val="23"/>
        </w:rPr>
        <w:t>juhtimissüsteemi parandamine, sh RKAS-i tegevuse tõhustamine.</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23" w:name="_Toc426060348"/>
      <w:r w:rsidRPr="005B2CCA">
        <w:rPr>
          <w:rFonts w:ascii="Times New Roman" w:hAnsi="Times New Roman" w:cs="Times New Roman"/>
          <w:b/>
          <w:sz w:val="23"/>
          <w:szCs w:val="23"/>
        </w:rPr>
        <w:t xml:space="preserve"> </w:t>
      </w:r>
      <w:bookmarkStart w:id="24" w:name="_Toc433915027"/>
      <w:bookmarkStart w:id="25" w:name="_Toc433980664"/>
      <w:r w:rsidRPr="005B2CCA">
        <w:rPr>
          <w:rFonts w:ascii="Times New Roman" w:hAnsi="Times New Roman" w:cs="Times New Roman"/>
          <w:b/>
          <w:sz w:val="23"/>
          <w:szCs w:val="23"/>
        </w:rPr>
        <w:t>Riigi hoonestatud kinnisvara andmete korrastamine ja infohalduse parandamine</w:t>
      </w:r>
      <w:bookmarkEnd w:id="23"/>
      <w:bookmarkEnd w:id="24"/>
      <w:bookmarkEnd w:id="25"/>
    </w:p>
    <w:p w:rsidR="002F4A30" w:rsidRPr="00B70B75" w:rsidRDefault="002F4A30" w:rsidP="002F4A30">
      <w:pPr>
        <w:rPr>
          <w:sz w:val="23"/>
          <w:szCs w:val="23"/>
        </w:rPr>
      </w:pPr>
      <w:r w:rsidRPr="00B70B75">
        <w:rPr>
          <w:sz w:val="23"/>
          <w:szCs w:val="23"/>
        </w:rPr>
        <w:t>Nimetatud ülesande täitmiseks viis Rahandusminis</w:t>
      </w:r>
      <w:r w:rsidR="000E5304">
        <w:rPr>
          <w:sz w:val="23"/>
          <w:szCs w:val="23"/>
        </w:rPr>
        <w:t xml:space="preserve">teerium 2014. aastal </w:t>
      </w:r>
      <w:r w:rsidRPr="00B70B75">
        <w:rPr>
          <w:sz w:val="23"/>
          <w:szCs w:val="23"/>
        </w:rPr>
        <w:t>koostöös ministeeriumite ja RKAS-</w:t>
      </w:r>
      <w:r>
        <w:rPr>
          <w:sz w:val="23"/>
          <w:szCs w:val="23"/>
        </w:rPr>
        <w:t>i</w:t>
      </w:r>
      <w:r w:rsidRPr="00B70B75">
        <w:rPr>
          <w:sz w:val="23"/>
          <w:szCs w:val="23"/>
        </w:rPr>
        <w:t xml:space="preserve">ga läbi andmekorje, mille positiivse kaasneva mõjuna toimus ka andmete korrastamine. </w:t>
      </w:r>
    </w:p>
    <w:p w:rsidR="002F4A30" w:rsidRPr="00B70B75" w:rsidRDefault="002F4A30" w:rsidP="002F4A30">
      <w:pPr>
        <w:rPr>
          <w:sz w:val="23"/>
          <w:szCs w:val="23"/>
        </w:rPr>
      </w:pPr>
      <w:r w:rsidRPr="00B70B75">
        <w:rPr>
          <w:sz w:val="23"/>
          <w:szCs w:val="23"/>
        </w:rPr>
        <w:t>Lisandus täiendav info ri</w:t>
      </w:r>
      <w:r w:rsidRPr="00B70B75">
        <w:rPr>
          <w:rFonts w:cs="Arial"/>
          <w:bCs/>
          <w:sz w:val="23"/>
          <w:szCs w:val="23"/>
        </w:rPr>
        <w:t>igi kinnisvararegistrisse (RKVR):</w:t>
      </w:r>
    </w:p>
    <w:p w:rsidR="002F4A30" w:rsidRPr="00B70B75" w:rsidRDefault="002F4A30" w:rsidP="002F4A30">
      <w:pPr>
        <w:pStyle w:val="ListParagraph"/>
        <w:numPr>
          <w:ilvl w:val="1"/>
          <w:numId w:val="55"/>
        </w:numPr>
        <w:spacing w:before="0" w:after="0"/>
        <w:rPr>
          <w:sz w:val="23"/>
          <w:szCs w:val="23"/>
        </w:rPr>
      </w:pPr>
      <w:r w:rsidRPr="00B70B75">
        <w:rPr>
          <w:sz w:val="23"/>
          <w:szCs w:val="23"/>
        </w:rPr>
        <w:t>70 000 m² riigi omandis oleva hoone pinna,</w:t>
      </w:r>
    </w:p>
    <w:p w:rsidR="002F4A30" w:rsidRPr="00B70B75" w:rsidRDefault="002F4A30" w:rsidP="002F4A30">
      <w:pPr>
        <w:pStyle w:val="ListParagraph"/>
        <w:numPr>
          <w:ilvl w:val="1"/>
          <w:numId w:val="55"/>
        </w:numPr>
        <w:spacing w:before="0" w:after="0"/>
        <w:rPr>
          <w:sz w:val="23"/>
          <w:szCs w:val="23"/>
        </w:rPr>
      </w:pPr>
      <w:r w:rsidRPr="00B70B75">
        <w:rPr>
          <w:sz w:val="23"/>
          <w:szCs w:val="23"/>
        </w:rPr>
        <w:t xml:space="preserve">100 000 m² ulatuses registreerimata üüripinna kohta. </w:t>
      </w:r>
    </w:p>
    <w:p w:rsidR="002F4A30" w:rsidRPr="00B70B75" w:rsidRDefault="002F4A30" w:rsidP="002F4A30">
      <w:pPr>
        <w:rPr>
          <w:sz w:val="23"/>
          <w:szCs w:val="23"/>
        </w:rPr>
      </w:pPr>
      <w:r w:rsidRPr="00B70B75">
        <w:rPr>
          <w:sz w:val="23"/>
          <w:szCs w:val="23"/>
        </w:rPr>
        <w:t>Loodi seoseid ehitisregistriga (EHR), mille tulemusena EHR-</w:t>
      </w:r>
      <w:r>
        <w:rPr>
          <w:sz w:val="23"/>
          <w:szCs w:val="23"/>
        </w:rPr>
        <w:t>i</w:t>
      </w:r>
      <w:r w:rsidRPr="00B70B75">
        <w:rPr>
          <w:sz w:val="23"/>
          <w:szCs w:val="23"/>
        </w:rPr>
        <w:t xml:space="preserve">s registreeritud hoonete osakaal kasvas oluliselt: </w:t>
      </w:r>
    </w:p>
    <w:p w:rsidR="002F4A30" w:rsidRPr="00B70B75" w:rsidRDefault="002F4A30" w:rsidP="002F4A30">
      <w:pPr>
        <w:pStyle w:val="ListParagraph"/>
        <w:numPr>
          <w:ilvl w:val="0"/>
          <w:numId w:val="56"/>
        </w:numPr>
        <w:spacing w:before="0" w:after="0"/>
        <w:rPr>
          <w:sz w:val="23"/>
          <w:szCs w:val="23"/>
        </w:rPr>
      </w:pPr>
      <w:r w:rsidRPr="00B70B75">
        <w:rPr>
          <w:sz w:val="23"/>
          <w:szCs w:val="23"/>
        </w:rPr>
        <w:t xml:space="preserve">eelmise koondaruande andmetel oli ehitisregistris registreeritud ca 2/3 kõigist RKVR-is registreeritud riigi omandis olevatest ja hoonestusõiguse alusel kasutatavatest hoonetest (58 % hoonete arvust, 66 % pindalast), </w:t>
      </w:r>
    </w:p>
    <w:p w:rsidR="002F4A30" w:rsidRPr="00B70B75" w:rsidRDefault="002F4A30" w:rsidP="002F4A30">
      <w:pPr>
        <w:pStyle w:val="ListParagraph"/>
        <w:numPr>
          <w:ilvl w:val="0"/>
          <w:numId w:val="56"/>
        </w:numPr>
        <w:spacing w:before="0" w:after="0"/>
        <w:rPr>
          <w:sz w:val="23"/>
          <w:szCs w:val="23"/>
        </w:rPr>
      </w:pPr>
      <w:r w:rsidRPr="00B70B75">
        <w:rPr>
          <w:sz w:val="23"/>
          <w:szCs w:val="23"/>
        </w:rPr>
        <w:t xml:space="preserve">2014. aasta lõpu seisuga ca 3/4 (73 % hoonete arvust, 84 % pindalast). </w:t>
      </w:r>
    </w:p>
    <w:p w:rsidR="002F4A30" w:rsidRPr="00B70B75" w:rsidRDefault="002F4A30" w:rsidP="0088490D">
      <w:pPr>
        <w:pStyle w:val="Loend1"/>
        <w:numPr>
          <w:ilvl w:val="0"/>
          <w:numId w:val="0"/>
        </w:numPr>
        <w:spacing w:before="240" w:after="0"/>
        <w:rPr>
          <w:rFonts w:ascii="Times New Roman" w:hAnsi="Times New Roman"/>
          <w:sz w:val="23"/>
          <w:szCs w:val="23"/>
        </w:rPr>
      </w:pPr>
      <w:r w:rsidRPr="00B70B75">
        <w:rPr>
          <w:rFonts w:ascii="Times New Roman" w:hAnsi="Times New Roman"/>
          <w:sz w:val="23"/>
          <w:szCs w:val="23"/>
        </w:rPr>
        <w:t xml:space="preserve">Lisaks on andmete korrastamisele kaasa aidanud üürilepingute RKVR-is registreerimise nõude seadmine eelarveotsuste eelduseks 2015. aasta kevadel RES 2016-2019 protsessis RKAS-iga sõlmitud rendimaksete prognoose analüüsides täienes RKVR-i andmestik märkimisväärselt. Näiteks registreeriti 2015. aasta I kvartalis RKVR-is 19 hoonestatud kinnisvara kasutamiseks võtmise lepingut hoonete pinnaga ca 10 000 m², mis olid registreerimise hetkeks kehtinud rohkem kui üks aasta. </w:t>
      </w:r>
    </w:p>
    <w:p w:rsidR="002F4A30" w:rsidRPr="00B70B75" w:rsidRDefault="002F4A30" w:rsidP="002F4A30">
      <w:pPr>
        <w:rPr>
          <w:b/>
          <w:iCs/>
          <w:sz w:val="23"/>
          <w:szCs w:val="23"/>
        </w:rPr>
      </w:pPr>
      <w:r w:rsidRPr="00B70B75">
        <w:rPr>
          <w:b/>
          <w:iCs/>
          <w:sz w:val="23"/>
          <w:szCs w:val="23"/>
        </w:rPr>
        <w:t>Hoonete andmete kvaliteet on paranenud, kuid andmete korrastamine ja infohalduse parandamine on jätkuvalt kinnisvarastrateegia võtmeküsimused.</w:t>
      </w:r>
    </w:p>
    <w:p w:rsidR="002F4A30" w:rsidRPr="00B70B75" w:rsidRDefault="002F4A30" w:rsidP="002F4A30">
      <w:pPr>
        <w:rPr>
          <w:rFonts w:cs="Arial"/>
          <w:bCs/>
          <w:kern w:val="32"/>
          <w:sz w:val="23"/>
          <w:szCs w:val="23"/>
        </w:rPr>
      </w:pPr>
      <w:r w:rsidRPr="00B70B75">
        <w:rPr>
          <w:sz w:val="23"/>
          <w:szCs w:val="23"/>
        </w:rPr>
        <w:t xml:space="preserve">Andmete korrastamine </w:t>
      </w:r>
      <w:r>
        <w:rPr>
          <w:sz w:val="23"/>
          <w:szCs w:val="23"/>
        </w:rPr>
        <w:t xml:space="preserve">on </w:t>
      </w:r>
      <w:r w:rsidRPr="00B70B75">
        <w:rPr>
          <w:sz w:val="23"/>
          <w:szCs w:val="23"/>
        </w:rPr>
        <w:t xml:space="preserve">jagatud tinglikult kaheks etapiks, </w:t>
      </w:r>
      <w:r w:rsidRPr="00B70B75">
        <w:rPr>
          <w:rFonts w:cs="Arial"/>
          <w:bCs/>
          <w:kern w:val="32"/>
          <w:sz w:val="23"/>
          <w:szCs w:val="23"/>
        </w:rPr>
        <w:t xml:space="preserve">mõlema etapiga on võimalik jõuda lõpptulemuseni 2020. aastaks. </w:t>
      </w:r>
    </w:p>
    <w:p w:rsidR="002F4A30" w:rsidRPr="00B70B75" w:rsidRDefault="002F4A30" w:rsidP="002F4A30">
      <w:pPr>
        <w:rPr>
          <w:rFonts w:cs="Arial"/>
          <w:bCs/>
          <w:kern w:val="32"/>
          <w:sz w:val="23"/>
          <w:szCs w:val="23"/>
        </w:rPr>
      </w:pPr>
      <w:r w:rsidRPr="00B70B75">
        <w:rPr>
          <w:rFonts w:cs="Arial"/>
          <w:bCs/>
          <w:kern w:val="32"/>
          <w:sz w:val="23"/>
          <w:szCs w:val="23"/>
          <w:u w:val="single"/>
        </w:rPr>
        <w:t>I etapp: Pinnaandmete ja energiatarbimise andmete korrastamine</w:t>
      </w:r>
      <w:r w:rsidRPr="00B70B75">
        <w:rPr>
          <w:rFonts w:cs="Arial"/>
          <w:bCs/>
          <w:kern w:val="32"/>
          <w:sz w:val="23"/>
          <w:szCs w:val="23"/>
        </w:rPr>
        <w:t>, mis tagab kõikide riigi hoonete andmete vastavuse riigivaraseaduse ja ehitusseaduse nõuetele ning loob eelduse II etapi andmete loomiseks. Tulemuseks:</w:t>
      </w:r>
    </w:p>
    <w:p w:rsidR="002F4A30" w:rsidRPr="00B70B75" w:rsidRDefault="002F4A30" w:rsidP="002F4A30">
      <w:pPr>
        <w:pStyle w:val="ListParagraph"/>
        <w:numPr>
          <w:ilvl w:val="0"/>
          <w:numId w:val="20"/>
        </w:numPr>
        <w:spacing w:before="0" w:after="0"/>
        <w:rPr>
          <w:sz w:val="23"/>
          <w:szCs w:val="23"/>
        </w:rPr>
      </w:pPr>
      <w:r>
        <w:rPr>
          <w:sz w:val="23"/>
          <w:szCs w:val="23"/>
        </w:rPr>
        <w:t>hooned</w:t>
      </w:r>
      <w:r w:rsidRPr="00B70B75">
        <w:rPr>
          <w:sz w:val="23"/>
          <w:szCs w:val="23"/>
        </w:rPr>
        <w:t xml:space="preserve"> on registreeritud ehitisregistris ning pinnaandmed ehitisregistris ja riigi kinnisvararegistris </w:t>
      </w:r>
      <w:r>
        <w:rPr>
          <w:sz w:val="23"/>
          <w:szCs w:val="23"/>
        </w:rPr>
        <w:t xml:space="preserve">on </w:t>
      </w:r>
      <w:r w:rsidRPr="00B70B75">
        <w:rPr>
          <w:sz w:val="23"/>
          <w:szCs w:val="23"/>
        </w:rPr>
        <w:t xml:space="preserve">õiged, </w:t>
      </w:r>
    </w:p>
    <w:p w:rsidR="002F4A30" w:rsidRPr="00B70B75" w:rsidRDefault="002F4A30" w:rsidP="002F4A30">
      <w:pPr>
        <w:pStyle w:val="ListParagraph"/>
        <w:numPr>
          <w:ilvl w:val="0"/>
          <w:numId w:val="20"/>
        </w:numPr>
        <w:spacing w:before="0" w:after="0"/>
        <w:rPr>
          <w:sz w:val="23"/>
          <w:szCs w:val="23"/>
        </w:rPr>
      </w:pPr>
      <w:r w:rsidRPr="00B70B75">
        <w:rPr>
          <w:sz w:val="23"/>
          <w:szCs w:val="23"/>
        </w:rPr>
        <w:t>ühtne süsteem hoonete energiatarbimise andmete regulaarseks kogumiseks ning energiamärgiste väljastamiseks,</w:t>
      </w:r>
    </w:p>
    <w:p w:rsidR="002F4A30" w:rsidRPr="00B70B75" w:rsidRDefault="002F4A30" w:rsidP="002F4A30">
      <w:pPr>
        <w:pStyle w:val="ListParagraph"/>
        <w:numPr>
          <w:ilvl w:val="0"/>
          <w:numId w:val="20"/>
        </w:numPr>
        <w:spacing w:before="0" w:after="0"/>
        <w:rPr>
          <w:sz w:val="23"/>
          <w:szCs w:val="23"/>
        </w:rPr>
      </w:pPr>
      <w:r w:rsidRPr="00B70B75">
        <w:rPr>
          <w:sz w:val="23"/>
          <w:szCs w:val="23"/>
        </w:rPr>
        <w:t xml:space="preserve">väljastatud energiamärgised igale sisekliima tagamisega </w:t>
      </w:r>
      <w:r>
        <w:rPr>
          <w:sz w:val="23"/>
          <w:szCs w:val="23"/>
        </w:rPr>
        <w:t xml:space="preserve">üle </w:t>
      </w:r>
      <w:r w:rsidRPr="00B70B75">
        <w:rPr>
          <w:sz w:val="23"/>
          <w:szCs w:val="23"/>
        </w:rPr>
        <w:t>50 m</w:t>
      </w:r>
      <w:r w:rsidRPr="00B70B75">
        <w:rPr>
          <w:rFonts w:ascii="Calibri" w:hAnsi="Calibri"/>
          <w:sz w:val="23"/>
          <w:szCs w:val="23"/>
        </w:rPr>
        <w:t>²</w:t>
      </w:r>
      <w:r w:rsidRPr="00B70B75">
        <w:rPr>
          <w:sz w:val="23"/>
          <w:szCs w:val="23"/>
        </w:rPr>
        <w:t xml:space="preserve"> suurusele hoonele (märge selle kohta ehitisregistris),</w:t>
      </w:r>
    </w:p>
    <w:p w:rsidR="002F4A30" w:rsidRPr="00B70B75" w:rsidRDefault="002F4A30" w:rsidP="002F4A30">
      <w:pPr>
        <w:pStyle w:val="ListParagraph"/>
        <w:numPr>
          <w:ilvl w:val="0"/>
          <w:numId w:val="20"/>
        </w:numPr>
        <w:spacing w:before="0" w:after="0"/>
        <w:rPr>
          <w:sz w:val="23"/>
          <w:szCs w:val="23"/>
        </w:rPr>
      </w:pPr>
      <w:r w:rsidRPr="00B70B75">
        <w:rPr>
          <w:sz w:val="23"/>
          <w:szCs w:val="23"/>
        </w:rPr>
        <w:t>paigaldatud energiamärgis igale sisekliima tagamisega üle 250 m</w:t>
      </w:r>
      <w:r w:rsidRPr="00B70B75">
        <w:rPr>
          <w:rFonts w:ascii="Calibri" w:hAnsi="Calibri"/>
          <w:sz w:val="23"/>
          <w:szCs w:val="23"/>
        </w:rPr>
        <w:t>²</w:t>
      </w:r>
      <w:r w:rsidRPr="00B70B75">
        <w:rPr>
          <w:sz w:val="23"/>
          <w:szCs w:val="23"/>
        </w:rPr>
        <w:t xml:space="preserve"> suurusele hoonele.</w:t>
      </w:r>
    </w:p>
    <w:p w:rsidR="002F4A30" w:rsidRPr="00B70B75" w:rsidRDefault="002F4A30" w:rsidP="002F4A30">
      <w:pPr>
        <w:pStyle w:val="ListParagraph"/>
        <w:numPr>
          <w:ilvl w:val="0"/>
          <w:numId w:val="20"/>
        </w:numPr>
        <w:spacing w:before="0" w:after="0"/>
        <w:rPr>
          <w:sz w:val="23"/>
          <w:szCs w:val="23"/>
        </w:rPr>
      </w:pPr>
      <w:r w:rsidRPr="00B70B75">
        <w:rPr>
          <w:sz w:val="23"/>
          <w:szCs w:val="23"/>
        </w:rPr>
        <w:t>mõõdistusjoonised, mis vastavad riigi poolt kehtestatud heale tavale (RKAS-i normdokument, mis kehtestatakse riigivaraseaduse alusel ministri määrusega) ja loovad eelduse II etapi ehk kasutuse- ja kuluandmete loomiseks).</w:t>
      </w:r>
    </w:p>
    <w:p w:rsidR="002F4A30" w:rsidRPr="00B70B75" w:rsidRDefault="002F4A30" w:rsidP="002F4A30">
      <w:pPr>
        <w:pStyle w:val="ListParagraph"/>
        <w:ind w:left="0"/>
        <w:rPr>
          <w:sz w:val="23"/>
          <w:szCs w:val="23"/>
        </w:rPr>
      </w:pPr>
      <w:r w:rsidRPr="00B70B75">
        <w:rPr>
          <w:sz w:val="23"/>
          <w:szCs w:val="23"/>
        </w:rPr>
        <w:t>RKAS-i prognoosi kohaselt on I etapi tegevused võimalik läbi viia 4 aastaga, tegevuse maksumuseks kujuneb 1,4-3,7 mln eurot. Tegevuse läbiviimine on otstarbekas korraldada keskselt RKAS-i kaudu peale hoonete üleandmist RKAS-</w:t>
      </w:r>
      <w:r>
        <w:rPr>
          <w:sz w:val="23"/>
          <w:szCs w:val="23"/>
        </w:rPr>
        <w:t>i</w:t>
      </w:r>
      <w:r w:rsidRPr="00B70B75">
        <w:rPr>
          <w:sz w:val="23"/>
          <w:szCs w:val="23"/>
        </w:rPr>
        <w:t>le, sellisel juhul riik teenuse eest eraldi maksma ei pea. Kui hoonete omandit ei anta RKAS-</w:t>
      </w:r>
      <w:r>
        <w:rPr>
          <w:sz w:val="23"/>
          <w:szCs w:val="23"/>
        </w:rPr>
        <w:t>i</w:t>
      </w:r>
      <w:r w:rsidRPr="00B70B75">
        <w:rPr>
          <w:sz w:val="23"/>
          <w:szCs w:val="23"/>
        </w:rPr>
        <w:t>le üle, on võimalik andmete korrastamine osta sisse tellimustööna RKAS-i poolt keskselt juhituna (korralduslikult vähem tõhusam kui üleandmisel korrastamine)</w:t>
      </w:r>
      <w:r w:rsidR="000E5304">
        <w:rPr>
          <w:sz w:val="23"/>
          <w:szCs w:val="23"/>
        </w:rPr>
        <w:t xml:space="preserve"> </w:t>
      </w:r>
      <w:r w:rsidRPr="00B70B75">
        <w:rPr>
          <w:sz w:val="23"/>
          <w:szCs w:val="23"/>
        </w:rPr>
        <w:t>või tuleb igal valitsejal endal vastavad tegevused korraldada (lisaks väiksemale tõhususele on suurem risk, et tulemus on ebaühtlase kvaliteediga).</w:t>
      </w:r>
    </w:p>
    <w:p w:rsidR="002F4A30" w:rsidRPr="00B70B75" w:rsidRDefault="002F4A30" w:rsidP="002F4A30">
      <w:pPr>
        <w:rPr>
          <w:rFonts w:cs="Arial"/>
          <w:bCs/>
          <w:kern w:val="32"/>
          <w:sz w:val="23"/>
          <w:szCs w:val="23"/>
        </w:rPr>
      </w:pPr>
      <w:r w:rsidRPr="00B70B75">
        <w:rPr>
          <w:rFonts w:cs="Arial"/>
          <w:bCs/>
          <w:kern w:val="32"/>
          <w:sz w:val="23"/>
          <w:szCs w:val="23"/>
          <w:u w:val="single"/>
        </w:rPr>
        <w:t>II etapp: Kasutus- ja kuluandmete korrastamine</w:t>
      </w:r>
      <w:r w:rsidRPr="00B70B75">
        <w:rPr>
          <w:rFonts w:cs="Arial"/>
          <w:bCs/>
          <w:kern w:val="32"/>
          <w:sz w:val="23"/>
          <w:szCs w:val="23"/>
        </w:rPr>
        <w:t>, mille tulemusena on kõikide riigiasutuste omandis ja kasutuses olevate hoonete kohta standardsed andmed kasutuse ja kulude kohta, mis on oluliseks sisendiks pinnakasutuse võrdlusanalüüsil ja optimeerimisel. Eelduseks on:</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I etapi läbiviimine ehk kaasaegsete mõõdistusjooniste olemasolu iga hoone kohta,</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 xml:space="preserve">kuluarvestussüsteemi loomine, </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erinevate registrite liidestamine.</w:t>
      </w:r>
    </w:p>
    <w:p w:rsidR="002F4A30" w:rsidRPr="00B70B75" w:rsidRDefault="002F4A30" w:rsidP="002F4A30">
      <w:pPr>
        <w:rPr>
          <w:sz w:val="23"/>
          <w:szCs w:val="23"/>
        </w:rPr>
      </w:pPr>
      <w:r w:rsidRPr="00B70B75">
        <w:rPr>
          <w:b/>
          <w:sz w:val="23"/>
          <w:szCs w:val="23"/>
        </w:rPr>
        <w:t>Riigi kinnisvara infohalduse tänasteks peamisteks probleemideks on</w:t>
      </w:r>
      <w:r w:rsidRPr="00B70B75">
        <w:rPr>
          <w:sz w:val="23"/>
          <w:szCs w:val="23"/>
        </w:rPr>
        <w:t xml:space="preserve">: </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andmekogude nõrk koosvõime (põhjusteks andmete koosseisu, kval</w:t>
      </w:r>
      <w:r>
        <w:rPr>
          <w:rFonts w:cs="Arial"/>
          <w:bCs/>
          <w:kern w:val="32"/>
          <w:sz w:val="23"/>
          <w:szCs w:val="23"/>
        </w:rPr>
        <w:t>iteedi ja semantika erinevused),</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vajalik info ei ole kättesaadav (puudulikud infomudelid ja p</w:t>
      </w:r>
      <w:r>
        <w:rPr>
          <w:rFonts w:cs="Arial"/>
          <w:bCs/>
          <w:kern w:val="32"/>
          <w:sz w:val="23"/>
          <w:szCs w:val="23"/>
        </w:rPr>
        <w:t>rotsessid, info halb kvaliteet),</w:t>
      </w:r>
    </w:p>
    <w:p w:rsidR="002F4A30" w:rsidRPr="00B70B75" w:rsidRDefault="002F4A30" w:rsidP="002F4A30">
      <w:pPr>
        <w:pStyle w:val="ListParagraph"/>
        <w:numPr>
          <w:ilvl w:val="0"/>
          <w:numId w:val="57"/>
        </w:numPr>
        <w:spacing w:before="0" w:after="0"/>
        <w:rPr>
          <w:rFonts w:cs="Arial"/>
          <w:bCs/>
          <w:kern w:val="32"/>
          <w:sz w:val="23"/>
          <w:szCs w:val="23"/>
        </w:rPr>
      </w:pPr>
      <w:r w:rsidRPr="00B70B75">
        <w:rPr>
          <w:rFonts w:cs="Arial"/>
          <w:bCs/>
          <w:kern w:val="32"/>
          <w:sz w:val="23"/>
          <w:szCs w:val="23"/>
        </w:rPr>
        <w:t>raiskamine info mitmekordsel taastootmisel.</w:t>
      </w:r>
    </w:p>
    <w:p w:rsidR="002F4A30" w:rsidRPr="00B70B75" w:rsidRDefault="002F4A30" w:rsidP="0088490D">
      <w:pPr>
        <w:pStyle w:val="Heading1"/>
        <w:keepLines w:val="0"/>
        <w:numPr>
          <w:ilvl w:val="0"/>
          <w:numId w:val="71"/>
        </w:numPr>
        <w:spacing w:before="360" w:after="0"/>
        <w:jc w:val="left"/>
        <w:rPr>
          <w:sz w:val="23"/>
          <w:szCs w:val="23"/>
          <w:u w:val="single"/>
        </w:rPr>
      </w:pPr>
      <w:bookmarkStart w:id="26" w:name="_Toc426060349"/>
      <w:bookmarkStart w:id="27" w:name="_Toc433915028"/>
      <w:bookmarkStart w:id="28" w:name="_Toc433980665"/>
      <w:r w:rsidRPr="00B70B75">
        <w:rPr>
          <w:sz w:val="23"/>
          <w:szCs w:val="23"/>
          <w:u w:val="single"/>
        </w:rPr>
        <w:t>Riigi hoonestatud kinnisvara rahastamine</w:t>
      </w:r>
      <w:bookmarkEnd w:id="26"/>
      <w:bookmarkEnd w:id="27"/>
      <w:bookmarkEnd w:id="28"/>
      <w:r w:rsidRPr="00B70B75">
        <w:rPr>
          <w:sz w:val="23"/>
          <w:szCs w:val="23"/>
          <w:u w:val="single"/>
        </w:rPr>
        <w:t xml:space="preserve"> </w:t>
      </w:r>
    </w:p>
    <w:p w:rsidR="002F4A30" w:rsidRPr="00B70B75" w:rsidRDefault="002F4A30" w:rsidP="002F4A30">
      <w:pPr>
        <w:rPr>
          <w:sz w:val="23"/>
          <w:szCs w:val="23"/>
        </w:rPr>
      </w:pPr>
      <w:r w:rsidRPr="00B70B75">
        <w:rPr>
          <w:sz w:val="23"/>
          <w:szCs w:val="23"/>
        </w:rPr>
        <w:t>Riigi kinnisvarakeskkonna kvaliteet on ebaühtlane. Uute heas korras hoonete kõrv</w:t>
      </w:r>
      <w:r>
        <w:rPr>
          <w:sz w:val="23"/>
          <w:szCs w:val="23"/>
        </w:rPr>
        <w:t>a</w:t>
      </w:r>
      <w:r w:rsidRPr="00B70B75">
        <w:rPr>
          <w:sz w:val="23"/>
          <w:szCs w:val="23"/>
        </w:rPr>
        <w:t xml:space="preserve">l on riigi kasutuses suurel hulgal hooneid, mis on halvas korras </w:t>
      </w:r>
      <w:r>
        <w:rPr>
          <w:sz w:val="23"/>
          <w:szCs w:val="23"/>
        </w:rPr>
        <w:t>ega</w:t>
      </w:r>
      <w:r w:rsidRPr="00B70B75">
        <w:rPr>
          <w:sz w:val="23"/>
          <w:szCs w:val="23"/>
        </w:rPr>
        <w:t xml:space="preserve"> vasta seadustes kehtestatud nõuetele. Hoonete seisukorra hoidmiseks ja parandamiseks tuleb otsida kokkuhoiukohti, võimalusi piiratud ressursside paremaks suunamiseks ja täiendavaid rahastamise võimalusi.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29" w:name="_Toc433915029"/>
      <w:bookmarkStart w:id="30" w:name="_Toc433980666"/>
      <w:r w:rsidRPr="005B2CCA">
        <w:rPr>
          <w:rFonts w:ascii="Times New Roman" w:hAnsi="Times New Roman" w:cs="Times New Roman"/>
          <w:b/>
          <w:sz w:val="23"/>
          <w:szCs w:val="23"/>
        </w:rPr>
        <w:t>Hoonestatud kinnisvara kulud</w:t>
      </w:r>
      <w:bookmarkEnd w:id="29"/>
      <w:bookmarkEnd w:id="30"/>
    </w:p>
    <w:p w:rsidR="002F4A30" w:rsidRPr="00B70B75" w:rsidRDefault="002F4A30" w:rsidP="002F4A30">
      <w:pPr>
        <w:rPr>
          <w:sz w:val="23"/>
          <w:szCs w:val="23"/>
        </w:rPr>
      </w:pPr>
      <w:r w:rsidRPr="00B70B75">
        <w:rPr>
          <w:sz w:val="23"/>
          <w:szCs w:val="23"/>
          <w:u w:val="single"/>
        </w:rPr>
        <w:t>Kinnisvara investeeringute</w:t>
      </w:r>
      <w:r w:rsidRPr="00B70B75">
        <w:rPr>
          <w:sz w:val="23"/>
          <w:szCs w:val="23"/>
        </w:rPr>
        <w:t xml:space="preserve"> rahastamisvõimalused ahenevad tulenevalt välisrahastuse mahtude vähenemisest. </w:t>
      </w:r>
    </w:p>
    <w:p w:rsidR="002F4A30" w:rsidRPr="00B70B75" w:rsidRDefault="002F4A30" w:rsidP="002F4A30">
      <w:pPr>
        <w:pStyle w:val="ListParagraph"/>
        <w:numPr>
          <w:ilvl w:val="0"/>
          <w:numId w:val="59"/>
        </w:numPr>
        <w:spacing w:before="0" w:after="0"/>
        <w:rPr>
          <w:b/>
          <w:sz w:val="23"/>
          <w:szCs w:val="23"/>
        </w:rPr>
      </w:pPr>
      <w:r w:rsidRPr="00B70B75">
        <w:rPr>
          <w:sz w:val="23"/>
          <w:szCs w:val="23"/>
        </w:rPr>
        <w:t xml:space="preserve">Perioodil 2010-2014 oli riigieelarveliste asutuste investeeringute mahust (ca 66,2 mln </w:t>
      </w:r>
      <w:r>
        <w:rPr>
          <w:sz w:val="23"/>
          <w:szCs w:val="23"/>
        </w:rPr>
        <w:t>eurot</w:t>
      </w:r>
      <w:r w:rsidRPr="00B70B75">
        <w:rPr>
          <w:sz w:val="23"/>
          <w:szCs w:val="23"/>
        </w:rPr>
        <w:t xml:space="preserve">) finantseeritud EL struktuurivahenditest hinnanguliselt 30 mln € aastas ja kvoodimüügi vahenditest 20 mln </w:t>
      </w:r>
      <w:r>
        <w:rPr>
          <w:sz w:val="23"/>
          <w:szCs w:val="23"/>
        </w:rPr>
        <w:t>eurot</w:t>
      </w:r>
      <w:r w:rsidRPr="00B70B75">
        <w:rPr>
          <w:sz w:val="23"/>
          <w:szCs w:val="23"/>
        </w:rPr>
        <w:t xml:space="preserve"> aastas ehk </w:t>
      </w:r>
      <w:r w:rsidRPr="00B70B75">
        <w:rPr>
          <w:b/>
          <w:sz w:val="23"/>
          <w:szCs w:val="23"/>
        </w:rPr>
        <w:t xml:space="preserve">välisvahendite osakaal oli ca 80%. </w:t>
      </w:r>
    </w:p>
    <w:p w:rsidR="002F4A30" w:rsidRPr="00B70B75" w:rsidRDefault="002F4A30" w:rsidP="002F4A30">
      <w:pPr>
        <w:pStyle w:val="ListParagraph"/>
        <w:numPr>
          <w:ilvl w:val="0"/>
          <w:numId w:val="59"/>
        </w:numPr>
        <w:spacing w:before="0" w:after="0"/>
        <w:rPr>
          <w:b/>
          <w:sz w:val="23"/>
          <w:szCs w:val="23"/>
        </w:rPr>
      </w:pPr>
      <w:r w:rsidRPr="00B70B75">
        <w:rPr>
          <w:sz w:val="23"/>
          <w:szCs w:val="23"/>
        </w:rPr>
        <w:t xml:space="preserve">Järgmisel EL rahastamise perioodil (2014-2020) väheneb hoonetesse suunatavate investeeringute maht vähemalt 1/3 võrra (ca 20 mln </w:t>
      </w:r>
      <w:r>
        <w:rPr>
          <w:sz w:val="23"/>
          <w:szCs w:val="23"/>
        </w:rPr>
        <w:t>euro</w:t>
      </w:r>
      <w:r w:rsidRPr="00B70B75">
        <w:rPr>
          <w:sz w:val="23"/>
          <w:szCs w:val="23"/>
        </w:rPr>
        <w:t xml:space="preserve">le aastas), sellele järgneval perioodil (2021-2027 aastas) veel 1/3 võrra (ca 10 mln </w:t>
      </w:r>
      <w:r>
        <w:rPr>
          <w:sz w:val="23"/>
          <w:szCs w:val="23"/>
        </w:rPr>
        <w:t>euro</w:t>
      </w:r>
      <w:r w:rsidRPr="00B70B75">
        <w:rPr>
          <w:sz w:val="23"/>
          <w:szCs w:val="23"/>
        </w:rPr>
        <w:t xml:space="preserve">le). </w:t>
      </w:r>
    </w:p>
    <w:p w:rsidR="002F4A30" w:rsidRPr="00B70B75" w:rsidRDefault="002F4A30" w:rsidP="002F4A30">
      <w:pPr>
        <w:pStyle w:val="ListParagraph"/>
        <w:numPr>
          <w:ilvl w:val="0"/>
          <w:numId w:val="59"/>
        </w:numPr>
        <w:spacing w:before="0" w:after="0"/>
        <w:rPr>
          <w:b/>
          <w:sz w:val="23"/>
          <w:szCs w:val="23"/>
        </w:rPr>
      </w:pPr>
      <w:r w:rsidRPr="00B70B75">
        <w:rPr>
          <w:sz w:val="23"/>
          <w:szCs w:val="23"/>
        </w:rPr>
        <w:t xml:space="preserve">Kvoodimüügi tuludest saame kuni aastani 2020 arvestada ca 10 mln </w:t>
      </w:r>
      <w:r>
        <w:rPr>
          <w:sz w:val="23"/>
          <w:szCs w:val="23"/>
        </w:rPr>
        <w:t>euro</w:t>
      </w:r>
      <w:r w:rsidRPr="00B70B75">
        <w:rPr>
          <w:sz w:val="23"/>
          <w:szCs w:val="23"/>
        </w:rPr>
        <w:t>ga aastas, edasisel perioodil  riigi hoonetel kvoodimüügi tuludega arvestada ei saa. Pikemas perspektiivis on võimalik arvestada vaid riigi omatuludega ning riigi tegevuskulude muutuse üldiste suundumistega arvestades üldist hindade kallinemist.</w:t>
      </w:r>
      <w:r w:rsidR="000E5304">
        <w:rPr>
          <w:sz w:val="23"/>
          <w:szCs w:val="23"/>
        </w:rPr>
        <w:t xml:space="preserve"> </w:t>
      </w:r>
    </w:p>
    <w:p w:rsidR="002F4A30" w:rsidRPr="00C54EFE" w:rsidRDefault="002F4A30" w:rsidP="002F4A30">
      <w:pPr>
        <w:rPr>
          <w:sz w:val="23"/>
          <w:szCs w:val="23"/>
        </w:rPr>
      </w:pPr>
      <w:r>
        <w:rPr>
          <w:sz w:val="23"/>
          <w:szCs w:val="23"/>
        </w:rPr>
        <w:t>R</w:t>
      </w:r>
      <w:r w:rsidRPr="00B70B75">
        <w:rPr>
          <w:sz w:val="23"/>
          <w:szCs w:val="23"/>
        </w:rPr>
        <w:t>iigieelarveliste asutus</w:t>
      </w:r>
      <w:r>
        <w:rPr>
          <w:sz w:val="23"/>
          <w:szCs w:val="23"/>
        </w:rPr>
        <w:t>t</w:t>
      </w:r>
      <w:r w:rsidRPr="00B70B75">
        <w:rPr>
          <w:sz w:val="23"/>
          <w:szCs w:val="23"/>
        </w:rPr>
        <w:t xml:space="preserve">e </w:t>
      </w:r>
      <w:r>
        <w:rPr>
          <w:sz w:val="23"/>
          <w:szCs w:val="23"/>
          <w:u w:val="single"/>
        </w:rPr>
        <w:t>k</w:t>
      </w:r>
      <w:r w:rsidRPr="00B70B75">
        <w:rPr>
          <w:sz w:val="23"/>
          <w:szCs w:val="23"/>
          <w:u w:val="single"/>
        </w:rPr>
        <w:t>innistute, hoonete ja ruumide majandamiskulud</w:t>
      </w:r>
      <w:r w:rsidRPr="00B70B75">
        <w:rPr>
          <w:sz w:val="23"/>
          <w:szCs w:val="23"/>
        </w:rPr>
        <w:t xml:space="preserve"> (ilma kapitalirendi põhiosa maksete ja intressideta, ei sisalda kinnisvara korrashoiuga tegeleva tugipersonali kulusid) 2014. aastal olid </w:t>
      </w:r>
      <w:r w:rsidRPr="00B70B75">
        <w:rPr>
          <w:b/>
          <w:sz w:val="23"/>
          <w:szCs w:val="23"/>
        </w:rPr>
        <w:t>114,2 mln</w:t>
      </w:r>
      <w:r w:rsidRPr="00B70B75">
        <w:rPr>
          <w:sz w:val="23"/>
          <w:szCs w:val="23"/>
        </w:rPr>
        <w:t xml:space="preserve"> eurot, mis moodustab 24% kogu valitussektori majandamiskuludest. 2014. aastal oli RKAS-</w:t>
      </w:r>
      <w:r>
        <w:rPr>
          <w:sz w:val="23"/>
          <w:szCs w:val="23"/>
        </w:rPr>
        <w:t>i</w:t>
      </w:r>
      <w:r w:rsidRPr="00B70B75">
        <w:rPr>
          <w:sz w:val="23"/>
          <w:szCs w:val="23"/>
        </w:rPr>
        <w:t xml:space="preserve">le makstav üüri ja majandamiskulud </w:t>
      </w:r>
      <w:r w:rsidRPr="00B70B75">
        <w:rPr>
          <w:b/>
          <w:sz w:val="23"/>
          <w:szCs w:val="23"/>
        </w:rPr>
        <w:t>6</w:t>
      </w:r>
      <w:r>
        <w:rPr>
          <w:b/>
          <w:sz w:val="23"/>
          <w:szCs w:val="23"/>
        </w:rPr>
        <w:t xml:space="preserve">2,6 </w:t>
      </w:r>
      <w:r w:rsidRPr="00B70B75">
        <w:rPr>
          <w:b/>
          <w:sz w:val="23"/>
          <w:szCs w:val="23"/>
        </w:rPr>
        <w:t>mln eurot</w:t>
      </w:r>
      <w:r>
        <w:rPr>
          <w:b/>
          <w:sz w:val="23"/>
          <w:szCs w:val="23"/>
        </w:rPr>
        <w:t xml:space="preserve">, </w:t>
      </w:r>
      <w:r w:rsidRPr="00C54EFE">
        <w:rPr>
          <w:sz w:val="23"/>
          <w:szCs w:val="23"/>
        </w:rPr>
        <w:t>lisaks kapitalirendi intress 4,2 mln eurot.</w:t>
      </w:r>
    </w:p>
    <w:p w:rsidR="002F4A30" w:rsidRPr="005B2CCA" w:rsidRDefault="002F4A30" w:rsidP="002F4A30">
      <w:pPr>
        <w:rPr>
          <w:rFonts w:asciiTheme="majorHAnsi" w:hAnsiTheme="majorHAnsi"/>
          <w:sz w:val="23"/>
          <w:szCs w:val="23"/>
        </w:rPr>
      </w:pPr>
      <w:r w:rsidRPr="002C4E0D">
        <w:rPr>
          <w:sz w:val="23"/>
          <w:szCs w:val="23"/>
        </w:rPr>
        <w:t>Kui Riigieelarveliste asutuste majandamiskulud näitavad üldiselt langustendentsi, RKAS-i üürilepingutega seotud kulud tõusevad: 2013. aastal tõusid RKAS-ile makstud üür ja</w:t>
      </w:r>
      <w:r w:rsidR="000E5304">
        <w:rPr>
          <w:sz w:val="23"/>
          <w:szCs w:val="23"/>
        </w:rPr>
        <w:t xml:space="preserve"> </w:t>
      </w:r>
      <w:r w:rsidRPr="002C4E0D">
        <w:rPr>
          <w:sz w:val="23"/>
          <w:szCs w:val="23"/>
        </w:rPr>
        <w:t>majandamiskulud eelmise aastaga võrreldes 18%, 2014. aastal 59%.</w:t>
      </w:r>
      <w:r w:rsidR="000E5304">
        <w:rPr>
          <w:sz w:val="23"/>
          <w:szCs w:val="23"/>
        </w:rPr>
        <w:t xml:space="preserve"> </w:t>
      </w:r>
      <w:r w:rsidRPr="002C4E0D">
        <w:rPr>
          <w:sz w:val="23"/>
          <w:szCs w:val="23"/>
        </w:rPr>
        <w:t xml:space="preserve">Prognooside alusel tõusevad 2015. aastal RKAS-i rendimaksete kulud 22%, 2016. aastal 9%. </w:t>
      </w:r>
      <w:r w:rsidRPr="005B2CCA">
        <w:rPr>
          <w:rFonts w:asciiTheme="majorHAnsi" w:hAnsiTheme="majorHAnsi"/>
          <w:sz w:val="23"/>
          <w:szCs w:val="23"/>
        </w:rPr>
        <w:t>Põhjused:</w:t>
      </w:r>
    </w:p>
    <w:p w:rsidR="002F4A30" w:rsidRPr="005B2CCA" w:rsidRDefault="002F4A30" w:rsidP="002F4A30">
      <w:pPr>
        <w:pStyle w:val="Loend1"/>
        <w:numPr>
          <w:ilvl w:val="1"/>
          <w:numId w:val="68"/>
        </w:numPr>
        <w:rPr>
          <w:rFonts w:asciiTheme="majorHAnsi" w:hAnsiTheme="majorHAnsi"/>
          <w:sz w:val="23"/>
          <w:szCs w:val="23"/>
        </w:rPr>
      </w:pPr>
      <w:r w:rsidRPr="005B2CCA">
        <w:rPr>
          <w:rFonts w:asciiTheme="majorHAnsi" w:hAnsiTheme="majorHAnsi"/>
          <w:sz w:val="23"/>
          <w:szCs w:val="23"/>
        </w:rPr>
        <w:t>lepingute lisandumine tulenevalt varade üleandmisest (kulud liiguvad RKAS-i reale);</w:t>
      </w:r>
    </w:p>
    <w:p w:rsidR="002F4A30" w:rsidRPr="005B2CCA" w:rsidRDefault="002F4A30" w:rsidP="002F4A30">
      <w:pPr>
        <w:pStyle w:val="Loend1"/>
        <w:numPr>
          <w:ilvl w:val="1"/>
          <w:numId w:val="68"/>
        </w:numPr>
        <w:rPr>
          <w:rFonts w:asciiTheme="majorHAnsi" w:hAnsiTheme="majorHAnsi"/>
          <w:sz w:val="23"/>
          <w:szCs w:val="23"/>
        </w:rPr>
      </w:pPr>
      <w:r w:rsidRPr="005B2CCA">
        <w:rPr>
          <w:rFonts w:asciiTheme="majorHAnsi" w:hAnsiTheme="majorHAnsi"/>
          <w:sz w:val="23"/>
          <w:szCs w:val="23"/>
        </w:rPr>
        <w:t>uute investeeringute mõju;</w:t>
      </w:r>
    </w:p>
    <w:p w:rsidR="002F4A30" w:rsidRPr="005B2CCA" w:rsidRDefault="002F4A30" w:rsidP="002F4A30">
      <w:pPr>
        <w:pStyle w:val="Loend1"/>
        <w:numPr>
          <w:ilvl w:val="1"/>
          <w:numId w:val="68"/>
        </w:numPr>
        <w:rPr>
          <w:rFonts w:asciiTheme="majorHAnsi" w:hAnsiTheme="majorHAnsi"/>
          <w:sz w:val="23"/>
          <w:szCs w:val="23"/>
        </w:rPr>
      </w:pPr>
      <w:r w:rsidRPr="005B2CCA">
        <w:rPr>
          <w:rFonts w:asciiTheme="majorHAnsi" w:hAnsiTheme="majorHAnsi"/>
          <w:sz w:val="23"/>
          <w:szCs w:val="23"/>
        </w:rPr>
        <w:t>üleminekuperioodi lõppemise mõju;</w:t>
      </w:r>
    </w:p>
    <w:p w:rsidR="002F4A30" w:rsidRPr="005B2CCA" w:rsidRDefault="002F4A30" w:rsidP="002F4A30">
      <w:pPr>
        <w:pStyle w:val="Loend1"/>
        <w:numPr>
          <w:ilvl w:val="1"/>
          <w:numId w:val="68"/>
        </w:numPr>
        <w:rPr>
          <w:rFonts w:asciiTheme="majorHAnsi" w:hAnsiTheme="majorHAnsi"/>
          <w:sz w:val="23"/>
          <w:szCs w:val="23"/>
        </w:rPr>
      </w:pPr>
      <w:r w:rsidRPr="005B2CCA">
        <w:rPr>
          <w:rFonts w:asciiTheme="majorHAnsi" w:hAnsiTheme="majorHAnsi"/>
          <w:sz w:val="23"/>
          <w:szCs w:val="23"/>
        </w:rPr>
        <w:t>teenuste hinnatõusu mõju.</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31" w:name="_Toc433915030"/>
      <w:bookmarkStart w:id="32" w:name="_Toc433980667"/>
      <w:r w:rsidRPr="005B2CCA">
        <w:rPr>
          <w:rFonts w:ascii="Times New Roman" w:hAnsi="Times New Roman" w:cs="Times New Roman"/>
          <w:b/>
          <w:sz w:val="23"/>
          <w:szCs w:val="23"/>
        </w:rPr>
        <w:t>Riigi hoonestatud kinnisvara rahastamise jätkusuutlikkus</w:t>
      </w:r>
      <w:bookmarkEnd w:id="31"/>
      <w:bookmarkEnd w:id="32"/>
    </w:p>
    <w:p w:rsidR="002F4A30" w:rsidRDefault="002F4A30" w:rsidP="002F4A30">
      <w:pPr>
        <w:rPr>
          <w:sz w:val="23"/>
          <w:szCs w:val="23"/>
        </w:rPr>
      </w:pPr>
      <w:r w:rsidRPr="00B70B75">
        <w:rPr>
          <w:sz w:val="23"/>
          <w:szCs w:val="23"/>
        </w:rPr>
        <w:t xml:space="preserve">Rahandusministeerium viis </w:t>
      </w:r>
      <w:r>
        <w:rPr>
          <w:sz w:val="23"/>
          <w:szCs w:val="23"/>
        </w:rPr>
        <w:t xml:space="preserve">aastatel </w:t>
      </w:r>
      <w:r w:rsidRPr="00B70B75">
        <w:rPr>
          <w:sz w:val="23"/>
          <w:szCs w:val="23"/>
        </w:rPr>
        <w:t xml:space="preserve">2014-2015 koostöös RKAS-i, advokaadibüroo Raidla Lejins &amp; Norcous (RL&amp;N) ja PwC Advisors (PwC) läbi mahuka analüüsi hindamaks riigi hoonestatud kinnisvara rahastamise jätkusuutlikkust. </w:t>
      </w:r>
    </w:p>
    <w:p w:rsidR="002F4A30" w:rsidRPr="00B70B75" w:rsidRDefault="002F4A30" w:rsidP="002F4A30">
      <w:pPr>
        <w:rPr>
          <w:sz w:val="23"/>
          <w:szCs w:val="23"/>
        </w:rPr>
      </w:pPr>
      <w:r w:rsidRPr="00B70B75">
        <w:rPr>
          <w:sz w:val="23"/>
          <w:szCs w:val="23"/>
        </w:rPr>
        <w:t xml:space="preserve">Analüüsiti </w:t>
      </w:r>
      <w:r w:rsidRPr="00B70B75">
        <w:rPr>
          <w:b/>
          <w:sz w:val="23"/>
          <w:szCs w:val="23"/>
        </w:rPr>
        <w:t>1 520 258 m</w:t>
      </w:r>
      <w:r w:rsidRPr="00B70B75">
        <w:rPr>
          <w:rFonts w:ascii="Calibri" w:hAnsi="Calibri"/>
          <w:b/>
          <w:sz w:val="23"/>
          <w:szCs w:val="23"/>
        </w:rPr>
        <w:t xml:space="preserve">² </w:t>
      </w:r>
      <w:r w:rsidRPr="00B70B75">
        <w:rPr>
          <w:sz w:val="23"/>
          <w:szCs w:val="23"/>
        </w:rPr>
        <w:t>suurust riigi</w:t>
      </w:r>
      <w:r w:rsidRPr="00B70B75">
        <w:rPr>
          <w:rFonts w:ascii="Calibri" w:hAnsi="Calibri"/>
          <w:b/>
          <w:sz w:val="23"/>
          <w:szCs w:val="23"/>
        </w:rPr>
        <w:t xml:space="preserve"> </w:t>
      </w:r>
      <w:r w:rsidRPr="00B70B75">
        <w:rPr>
          <w:sz w:val="23"/>
          <w:szCs w:val="23"/>
        </w:rPr>
        <w:t>hoonete portfelli (v.a Kaitseministeeriumi</w:t>
      </w:r>
      <w:r>
        <w:rPr>
          <w:sz w:val="23"/>
          <w:szCs w:val="23"/>
        </w:rPr>
        <w:t>, RMK</w:t>
      </w:r>
      <w:r w:rsidRPr="00B70B75">
        <w:rPr>
          <w:sz w:val="23"/>
          <w:szCs w:val="23"/>
        </w:rPr>
        <w:t xml:space="preserve"> ja eristaatusega hooned ning välismaal asuvad hooned) investeerimisvajadust ja anti</w:t>
      </w:r>
      <w:r w:rsidR="000E5304">
        <w:rPr>
          <w:sz w:val="23"/>
          <w:szCs w:val="23"/>
        </w:rPr>
        <w:t xml:space="preserve"> </w:t>
      </w:r>
      <w:r w:rsidRPr="00B70B75">
        <w:rPr>
          <w:sz w:val="23"/>
          <w:szCs w:val="23"/>
        </w:rPr>
        <w:t xml:space="preserve">hinnang selle kohta, milline tehing/tegevuskava oleks iga konkreetse hoone/hoonekompleksi suhtes sobivaim (arvestades neutraalset või positiivset mõju valitsussektori tasakaalule ja võlale) koos finantsmõjudega. </w:t>
      </w:r>
    </w:p>
    <w:p w:rsidR="002F4A30" w:rsidRPr="00B70B75" w:rsidRDefault="002F4A30" w:rsidP="002F4A30">
      <w:pPr>
        <w:pStyle w:val="ListParagraph"/>
        <w:ind w:left="0"/>
        <w:rPr>
          <w:sz w:val="23"/>
          <w:szCs w:val="23"/>
        </w:rPr>
      </w:pPr>
      <w:r w:rsidRPr="00B70B75">
        <w:rPr>
          <w:sz w:val="23"/>
          <w:szCs w:val="23"/>
        </w:rPr>
        <w:t xml:space="preserve">Analüüs viidi läbi </w:t>
      </w:r>
      <w:r w:rsidRPr="00B70B75">
        <w:rPr>
          <w:b/>
          <w:sz w:val="23"/>
          <w:szCs w:val="23"/>
        </w:rPr>
        <w:t>masshindamise meetodil</w:t>
      </w:r>
      <w:r>
        <w:rPr>
          <w:sz w:val="23"/>
          <w:szCs w:val="23"/>
        </w:rPr>
        <w:t xml:space="preserve">, </w:t>
      </w:r>
      <w:r w:rsidRPr="00B70B75">
        <w:rPr>
          <w:sz w:val="23"/>
          <w:szCs w:val="23"/>
        </w:rPr>
        <w:t xml:space="preserve">selle täpsus kõigub suurtes piirides. Analüüsi tulemus on kasutatav </w:t>
      </w:r>
      <w:r w:rsidRPr="00B70B75">
        <w:rPr>
          <w:b/>
          <w:sz w:val="23"/>
          <w:szCs w:val="23"/>
        </w:rPr>
        <w:t>üldiste järelduste tegemiseks</w:t>
      </w:r>
      <w:r w:rsidRPr="00B70B75">
        <w:rPr>
          <w:sz w:val="23"/>
          <w:szCs w:val="23"/>
        </w:rPr>
        <w:t xml:space="preserve"> ning eelvaliku aluseks leidmaks hoonekomplekse, mille osas algatada detailanalüüs eesmärgiga leida lõplik lahendus koos mõjudega. </w:t>
      </w:r>
    </w:p>
    <w:p w:rsidR="002F4A30" w:rsidRPr="00B70B75" w:rsidRDefault="002F4A30" w:rsidP="002F4A30">
      <w:pPr>
        <w:pStyle w:val="ListParagraph"/>
        <w:ind w:left="0"/>
        <w:rPr>
          <w:sz w:val="23"/>
          <w:szCs w:val="23"/>
        </w:rPr>
      </w:pPr>
      <w:r w:rsidRPr="00B70B75">
        <w:rPr>
          <w:sz w:val="23"/>
          <w:szCs w:val="23"/>
        </w:rPr>
        <w:t xml:space="preserve">Riigi hoonete (v.a Kaitseministeerium ja RMK, välismaal asuvad hooned) ühekordne investeerimisvajadus on konservatiivsete arvestuste järgi </w:t>
      </w:r>
      <w:r w:rsidRPr="00B70B75">
        <w:rPr>
          <w:b/>
          <w:sz w:val="23"/>
          <w:szCs w:val="23"/>
        </w:rPr>
        <w:t xml:space="preserve">226 mln eurot, </w:t>
      </w:r>
      <w:r w:rsidRPr="00B70B75">
        <w:rPr>
          <w:sz w:val="23"/>
          <w:szCs w:val="23"/>
        </w:rPr>
        <w:t>sellega saaks viia kõik hooned rahuldavasse seisukorda (tuleohutus-, tervisekaitse- jm nõuetele vastav, kuid "värskendamist" vajav hoone), erandiks on põhiseaduslike institutsioonide hooned, mis viiakse heasse seisukorda</w:t>
      </w:r>
      <w:r>
        <w:rPr>
          <w:sz w:val="23"/>
          <w:szCs w:val="23"/>
        </w:rPr>
        <w:t xml:space="preserve"> (kaasaegsetele nõuetele vastav</w:t>
      </w:r>
      <w:r w:rsidRPr="00B70B75">
        <w:rPr>
          <w:sz w:val="23"/>
          <w:szCs w:val="23"/>
        </w:rPr>
        <w:t xml:space="preserve"> rekonstrueeritud ehitis). Võttes eesmärgiks viia kõik hooned heale tasemele, oleks vajalik investeeringumaht </w:t>
      </w:r>
      <w:r w:rsidRPr="00B70B75">
        <w:rPr>
          <w:b/>
          <w:sz w:val="23"/>
          <w:szCs w:val="23"/>
        </w:rPr>
        <w:t>465 mln eurot</w:t>
      </w:r>
      <w:r w:rsidRPr="00B70B75">
        <w:rPr>
          <w:sz w:val="23"/>
          <w:szCs w:val="23"/>
        </w:rPr>
        <w:t>.</w:t>
      </w:r>
    </w:p>
    <w:p w:rsidR="002F4A30" w:rsidRDefault="002F4A30" w:rsidP="002F4A30">
      <w:pPr>
        <w:rPr>
          <w:sz w:val="23"/>
          <w:szCs w:val="23"/>
        </w:rPr>
      </w:pPr>
      <w:r w:rsidRPr="00B70B75">
        <w:rPr>
          <w:b/>
          <w:sz w:val="23"/>
          <w:szCs w:val="23"/>
        </w:rPr>
        <w:t>Riigi rahastamise võimaluste prognoosimiseks</w:t>
      </w:r>
      <w:r w:rsidRPr="00B70B75">
        <w:rPr>
          <w:sz w:val="23"/>
          <w:szCs w:val="23"/>
        </w:rPr>
        <w:t xml:space="preserve"> koostati 3 prognoosi rahandusministeeriumi fiskaalpoliitika osakonna THI ja SKP 2015-2045 prognoosi alusel: </w:t>
      </w:r>
    </w:p>
    <w:p w:rsidR="002F4A30" w:rsidRPr="00B70B75" w:rsidRDefault="002F4A30" w:rsidP="002F4A30">
      <w:pPr>
        <w:pStyle w:val="ListParagraph"/>
        <w:numPr>
          <w:ilvl w:val="0"/>
          <w:numId w:val="29"/>
        </w:numPr>
        <w:spacing w:before="0" w:after="0"/>
        <w:rPr>
          <w:sz w:val="23"/>
          <w:szCs w:val="23"/>
        </w:rPr>
      </w:pPr>
      <w:r w:rsidRPr="00B70B75">
        <w:rPr>
          <w:sz w:val="23"/>
          <w:szCs w:val="23"/>
        </w:rPr>
        <w:t>pessimistlik prognoos - ekstrapoleerides seniseid kinnisvarakulusid tarbijahinnaindeksi (THI) prognoosiga;</w:t>
      </w:r>
    </w:p>
    <w:p w:rsidR="002F4A30" w:rsidRPr="00B70B75" w:rsidRDefault="002F4A30" w:rsidP="002F4A30">
      <w:pPr>
        <w:pStyle w:val="ListParagraph"/>
        <w:numPr>
          <w:ilvl w:val="0"/>
          <w:numId w:val="19"/>
        </w:numPr>
        <w:spacing w:before="0" w:after="0"/>
        <w:rPr>
          <w:sz w:val="23"/>
          <w:szCs w:val="23"/>
        </w:rPr>
      </w:pPr>
      <w:r w:rsidRPr="00B70B75">
        <w:rPr>
          <w:sz w:val="23"/>
          <w:szCs w:val="23"/>
        </w:rPr>
        <w:t xml:space="preserve">optimistlik prognoos - analüüsides kinnisvarakulude keskmist suhet SKP prognoosi; </w:t>
      </w:r>
    </w:p>
    <w:p w:rsidR="002F4A30" w:rsidRPr="00B70B75" w:rsidRDefault="002F4A30" w:rsidP="002F4A30">
      <w:pPr>
        <w:pStyle w:val="ListParagraph"/>
        <w:numPr>
          <w:ilvl w:val="0"/>
          <w:numId w:val="19"/>
        </w:numPr>
        <w:spacing w:before="0" w:after="0"/>
        <w:rPr>
          <w:sz w:val="23"/>
          <w:szCs w:val="23"/>
        </w:rPr>
      </w:pPr>
      <w:r w:rsidRPr="00B70B75">
        <w:rPr>
          <w:sz w:val="23"/>
          <w:szCs w:val="23"/>
        </w:rPr>
        <w:t xml:space="preserve">keskmine prognoos - kahe prognoosi keskmine. </w:t>
      </w:r>
    </w:p>
    <w:p w:rsidR="002F4A30" w:rsidRPr="00B70B75" w:rsidRDefault="002F4A30" w:rsidP="002F4A30">
      <w:pPr>
        <w:rPr>
          <w:sz w:val="23"/>
          <w:szCs w:val="23"/>
        </w:rPr>
      </w:pPr>
      <w:r w:rsidRPr="00A06A86">
        <w:rPr>
          <w:noProof/>
          <w:sz w:val="23"/>
          <w:szCs w:val="23"/>
          <w:lang w:eastAsia="et-EE"/>
        </w:rPr>
        <w:drawing>
          <wp:inline distT="0" distB="0" distL="0" distR="0">
            <wp:extent cx="5210737" cy="3171265"/>
            <wp:effectExtent l="0" t="0" r="8963"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F4A30" w:rsidRPr="00B70B75" w:rsidRDefault="002F4A30" w:rsidP="002F4A30">
      <w:pPr>
        <w:rPr>
          <w:b/>
          <w:sz w:val="23"/>
          <w:szCs w:val="23"/>
        </w:rPr>
      </w:pPr>
      <w:r w:rsidRPr="00D23044">
        <w:rPr>
          <w:sz w:val="23"/>
          <w:szCs w:val="23"/>
        </w:rPr>
        <w:t>Võttes aluseks toodud eelarveprognoosid analüüsiti kehtiva riigi kinnisvarategevuse strateegiat</w:t>
      </w:r>
      <w:r>
        <w:rPr>
          <w:sz w:val="23"/>
          <w:szCs w:val="23"/>
        </w:rPr>
        <w:t>,</w:t>
      </w:r>
      <w:r w:rsidRPr="00D23044">
        <w:rPr>
          <w:sz w:val="23"/>
          <w:szCs w:val="23"/>
        </w:rPr>
        <w:t xml:space="preserve"> mille tulemus on esitatud alljärgneval joonisel:</w:t>
      </w:r>
      <w:r>
        <w:rPr>
          <w:b/>
          <w:sz w:val="23"/>
          <w:szCs w:val="23"/>
        </w:rPr>
        <w:t xml:space="preserve"> </w:t>
      </w:r>
    </w:p>
    <w:p w:rsidR="002F4A30" w:rsidRPr="00B70B75" w:rsidRDefault="002F4A30" w:rsidP="002F4A30">
      <w:pPr>
        <w:rPr>
          <w:sz w:val="23"/>
          <w:szCs w:val="23"/>
        </w:rPr>
      </w:pPr>
      <w:r w:rsidRPr="00B70B75">
        <w:rPr>
          <w:noProof/>
          <w:sz w:val="23"/>
          <w:szCs w:val="23"/>
          <w:lang w:eastAsia="et-EE"/>
        </w:rPr>
        <w:drawing>
          <wp:inline distT="0" distB="0" distL="0" distR="0">
            <wp:extent cx="5648327" cy="3200400"/>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B70B75" w:rsidDel="0072543C">
        <w:rPr>
          <w:sz w:val="23"/>
          <w:szCs w:val="23"/>
        </w:rPr>
        <w:t xml:space="preserve"> </w:t>
      </w:r>
    </w:p>
    <w:p w:rsidR="002F4A30" w:rsidRPr="00B70B75" w:rsidRDefault="002F4A30" w:rsidP="002F4A30">
      <w:pPr>
        <w:rPr>
          <w:b/>
          <w:sz w:val="23"/>
          <w:szCs w:val="23"/>
        </w:rPr>
      </w:pPr>
      <w:r w:rsidRPr="00B70B75">
        <w:rPr>
          <w:sz w:val="23"/>
          <w:szCs w:val="23"/>
        </w:rPr>
        <w:t xml:space="preserve">Jooniselt nähtub, et </w:t>
      </w:r>
    </w:p>
    <w:p w:rsidR="002F4A30" w:rsidRPr="00B70B75" w:rsidRDefault="002F4A30" w:rsidP="002F4A30">
      <w:pPr>
        <w:pStyle w:val="ListParagraph"/>
        <w:numPr>
          <w:ilvl w:val="0"/>
          <w:numId w:val="60"/>
        </w:numPr>
        <w:spacing w:before="0" w:after="0"/>
        <w:jc w:val="left"/>
        <w:rPr>
          <w:sz w:val="23"/>
          <w:szCs w:val="23"/>
        </w:rPr>
      </w:pPr>
      <w:r w:rsidRPr="00B70B75">
        <w:rPr>
          <w:sz w:val="23"/>
          <w:szCs w:val="23"/>
        </w:rPr>
        <w:t>rakendatav strateegia ei ole rahaliselt jätkusuutlik esimesel 15 aastal mitte ühegi eelarve prognoosi korral,</w:t>
      </w:r>
    </w:p>
    <w:p w:rsidR="002F4A30" w:rsidRPr="00633FEC" w:rsidRDefault="002F4A30" w:rsidP="002F4A30">
      <w:pPr>
        <w:pStyle w:val="ListParagraph"/>
        <w:numPr>
          <w:ilvl w:val="0"/>
          <w:numId w:val="60"/>
        </w:numPr>
        <w:spacing w:before="0" w:after="0"/>
        <w:jc w:val="left"/>
        <w:rPr>
          <w:b/>
          <w:sz w:val="23"/>
          <w:szCs w:val="23"/>
        </w:rPr>
      </w:pPr>
      <w:r w:rsidRPr="00B70B75">
        <w:rPr>
          <w:sz w:val="23"/>
          <w:szCs w:val="23"/>
        </w:rPr>
        <w:t>ainult optimistliku prognoosi puhul on eelarve jääk positiivne pärast aastat 2030.</w:t>
      </w:r>
      <w:r>
        <w:rPr>
          <w:sz w:val="23"/>
          <w:szCs w:val="23"/>
        </w:rPr>
        <w:t xml:space="preserve"> </w:t>
      </w:r>
    </w:p>
    <w:p w:rsidR="002F4A30" w:rsidRPr="00633FEC" w:rsidRDefault="002F4A30" w:rsidP="002F4A30">
      <w:pPr>
        <w:rPr>
          <w:b/>
          <w:sz w:val="23"/>
          <w:szCs w:val="23"/>
        </w:rPr>
      </w:pPr>
      <w:r w:rsidRPr="00633FEC">
        <w:rPr>
          <w:b/>
          <w:sz w:val="23"/>
          <w:szCs w:val="23"/>
        </w:rPr>
        <w:t>Kehtiva riigi kinnisvarategevuse strateegia elluviimine rahastamisega ainult riigieelarvest</w:t>
      </w:r>
      <w:r w:rsidR="000E5304">
        <w:rPr>
          <w:b/>
          <w:sz w:val="23"/>
          <w:szCs w:val="23"/>
        </w:rPr>
        <w:t xml:space="preserve"> </w:t>
      </w:r>
      <w:r w:rsidRPr="00633FEC">
        <w:rPr>
          <w:b/>
          <w:sz w:val="23"/>
          <w:szCs w:val="23"/>
        </w:rPr>
        <w:t>RKAS-i kaudu ei ole rahaliselt jätkusuutlik (eelarve jääk perioodi lõpus positiivne), tuleb otsida alternatiivseid strateegilisi lahendusi.</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33" w:name="_Toc433915031"/>
      <w:bookmarkStart w:id="34" w:name="_Toc433980668"/>
      <w:r w:rsidRPr="005B2CCA">
        <w:rPr>
          <w:rFonts w:ascii="Times New Roman" w:hAnsi="Times New Roman" w:cs="Times New Roman"/>
          <w:b/>
          <w:sz w:val="23"/>
          <w:szCs w:val="23"/>
        </w:rPr>
        <w:t>Alternatiivsed strateegiad</w:t>
      </w:r>
      <w:bookmarkEnd w:id="33"/>
      <w:bookmarkEnd w:id="34"/>
      <w:r w:rsidRPr="005B2CCA">
        <w:rPr>
          <w:rFonts w:ascii="Times New Roman" w:hAnsi="Times New Roman" w:cs="Times New Roman"/>
          <w:b/>
          <w:sz w:val="23"/>
          <w:szCs w:val="23"/>
        </w:rPr>
        <w:t xml:space="preserve"> </w:t>
      </w:r>
    </w:p>
    <w:p w:rsidR="002F4A30" w:rsidRDefault="002F4A30" w:rsidP="002F4A30">
      <w:r w:rsidRPr="00B70B75">
        <w:rPr>
          <w:sz w:val="23"/>
          <w:szCs w:val="23"/>
        </w:rPr>
        <w:t>Võttes arvesse ka teisi probleeme kinnisvarastrateegia elluviimisel, mida on kirjeldatud aruande teises peatükis ja süvenevaid kõhklusi riigi kinnisvarastrateegia elluviimisel, analüü</w:t>
      </w:r>
      <w:r>
        <w:rPr>
          <w:sz w:val="23"/>
          <w:szCs w:val="23"/>
        </w:rPr>
        <w:t xml:space="preserve">siti alternatiivseid võimalusi ja valitsussektori väliste investeeringute tegemise võimalusi, milleks on </w:t>
      </w:r>
      <w:r w:rsidRPr="00EE5B87">
        <w:t>kasutusrent ja PPP</w:t>
      </w:r>
      <w:r>
        <w:t xml:space="preserve">, mis kajastatakse kasutusrendi tingimustel: </w:t>
      </w:r>
    </w:p>
    <w:p w:rsidR="002F4A30" w:rsidRPr="00725BCB" w:rsidRDefault="002F4A30" w:rsidP="002F4A30">
      <w:r w:rsidRPr="00725BCB">
        <w:rPr>
          <w:b/>
          <w:bCs/>
        </w:rPr>
        <w:t>Kasutusrent</w:t>
      </w:r>
    </w:p>
    <w:p w:rsidR="002F4A30" w:rsidRPr="005B2CCA" w:rsidRDefault="002F4A30" w:rsidP="002F4A30">
      <w:pPr>
        <w:numPr>
          <w:ilvl w:val="0"/>
          <w:numId w:val="37"/>
        </w:numPr>
        <w:spacing w:before="0"/>
        <w:rPr>
          <w:sz w:val="23"/>
          <w:szCs w:val="23"/>
        </w:rPr>
      </w:pPr>
      <w:r w:rsidRPr="005B2CCA">
        <w:rPr>
          <w:sz w:val="23"/>
          <w:szCs w:val="23"/>
        </w:rPr>
        <w:t>Kasutusrendi objektiks on vara (nt büroohoone), mida riik soovib järgnevatel aastatel kasutada, aga ei soovi olla selle pikaajaline omanik.</w:t>
      </w:r>
    </w:p>
    <w:p w:rsidR="002F4A30" w:rsidRPr="005B2CCA" w:rsidRDefault="002F4A30" w:rsidP="002F4A30">
      <w:pPr>
        <w:numPr>
          <w:ilvl w:val="0"/>
          <w:numId w:val="37"/>
        </w:numPr>
        <w:spacing w:before="0"/>
        <w:rPr>
          <w:sz w:val="23"/>
          <w:szCs w:val="23"/>
        </w:rPr>
      </w:pPr>
      <w:r w:rsidRPr="005B2CCA">
        <w:rPr>
          <w:sz w:val="23"/>
          <w:szCs w:val="23"/>
        </w:rPr>
        <w:t>Vara peab olema piisava atraktiivsusega ka muule kui riigile suunatud turule.</w:t>
      </w:r>
    </w:p>
    <w:p w:rsidR="002F4A30" w:rsidRPr="005B2CCA" w:rsidRDefault="002F4A30" w:rsidP="002F4A30">
      <w:pPr>
        <w:numPr>
          <w:ilvl w:val="0"/>
          <w:numId w:val="37"/>
        </w:numPr>
        <w:spacing w:before="0"/>
        <w:rPr>
          <w:sz w:val="23"/>
          <w:szCs w:val="23"/>
        </w:rPr>
      </w:pPr>
      <w:r w:rsidRPr="005B2CCA">
        <w:rPr>
          <w:sz w:val="23"/>
          <w:szCs w:val="23"/>
        </w:rPr>
        <w:t>Tehingu struktuuri järgselt müüb riik tehingu alguses vara turuhinnaga erapartnerile (erasektori osapoolele), eesmärgiga see tagasi rentida.</w:t>
      </w:r>
    </w:p>
    <w:p w:rsidR="002F4A30" w:rsidRPr="005B2CCA" w:rsidRDefault="002F4A30" w:rsidP="002F4A30">
      <w:pPr>
        <w:numPr>
          <w:ilvl w:val="0"/>
          <w:numId w:val="37"/>
        </w:numPr>
        <w:spacing w:before="0"/>
        <w:rPr>
          <w:sz w:val="23"/>
          <w:szCs w:val="23"/>
        </w:rPr>
      </w:pPr>
      <w:r w:rsidRPr="005B2CCA">
        <w:rPr>
          <w:sz w:val="23"/>
          <w:szCs w:val="23"/>
        </w:rPr>
        <w:t>Rendileandja (erapartner) peab teostama vajalikud investeeringud.</w:t>
      </w:r>
    </w:p>
    <w:p w:rsidR="002F4A30" w:rsidRPr="005B2CCA" w:rsidRDefault="002F4A30" w:rsidP="002F4A30">
      <w:pPr>
        <w:numPr>
          <w:ilvl w:val="0"/>
          <w:numId w:val="37"/>
        </w:numPr>
        <w:spacing w:before="0"/>
        <w:rPr>
          <w:sz w:val="23"/>
          <w:szCs w:val="23"/>
        </w:rPr>
      </w:pPr>
      <w:r w:rsidRPr="005B2CCA">
        <w:rPr>
          <w:sz w:val="23"/>
          <w:szCs w:val="23"/>
        </w:rPr>
        <w:t>Rendimaksed vara kasutamise eest on turutingimustel.</w:t>
      </w:r>
    </w:p>
    <w:p w:rsidR="002F4A30" w:rsidRPr="005B2CCA" w:rsidRDefault="002F4A30" w:rsidP="002F4A30">
      <w:pPr>
        <w:numPr>
          <w:ilvl w:val="0"/>
          <w:numId w:val="37"/>
        </w:numPr>
        <w:spacing w:before="0"/>
        <w:rPr>
          <w:sz w:val="23"/>
          <w:szCs w:val="23"/>
        </w:rPr>
      </w:pPr>
      <w:r w:rsidRPr="005B2CCA">
        <w:rPr>
          <w:sz w:val="23"/>
          <w:szCs w:val="23"/>
        </w:rPr>
        <w:t>Peamised varaga kaasnevad riskid on rendileandja kanda.</w:t>
      </w:r>
    </w:p>
    <w:p w:rsidR="002F4A30" w:rsidRPr="005B2CCA" w:rsidRDefault="002F4A30" w:rsidP="002F4A30">
      <w:pPr>
        <w:numPr>
          <w:ilvl w:val="0"/>
          <w:numId w:val="37"/>
        </w:numPr>
        <w:spacing w:before="0"/>
        <w:rPr>
          <w:sz w:val="23"/>
          <w:szCs w:val="23"/>
        </w:rPr>
      </w:pPr>
      <w:r w:rsidRPr="005B2CCA">
        <w:rPr>
          <w:sz w:val="23"/>
          <w:szCs w:val="23"/>
        </w:rPr>
        <w:t>Tehingu lepingu pikkus on kuni 20 aastat.</w:t>
      </w:r>
    </w:p>
    <w:p w:rsidR="002F4A30" w:rsidRPr="003E51C3" w:rsidRDefault="002F4A30" w:rsidP="002F4A30">
      <w:pPr>
        <w:rPr>
          <w:b/>
        </w:rPr>
      </w:pPr>
      <w:r w:rsidRPr="003E51C3">
        <w:rPr>
          <w:b/>
          <w:bCs/>
        </w:rPr>
        <w:t xml:space="preserve">PPP, </w:t>
      </w:r>
      <w:r w:rsidRPr="003E51C3">
        <w:rPr>
          <w:b/>
        </w:rPr>
        <w:t>mis kajastatakse kasutusrendi tingimustel</w:t>
      </w:r>
    </w:p>
    <w:p w:rsidR="002F4A30" w:rsidRPr="005B2CCA" w:rsidRDefault="002F4A30" w:rsidP="002F4A30">
      <w:pPr>
        <w:numPr>
          <w:ilvl w:val="0"/>
          <w:numId w:val="38"/>
        </w:numPr>
        <w:spacing w:before="0"/>
        <w:rPr>
          <w:sz w:val="23"/>
          <w:szCs w:val="23"/>
        </w:rPr>
      </w:pPr>
      <w:r w:rsidRPr="005B2CCA">
        <w:rPr>
          <w:sz w:val="23"/>
          <w:szCs w:val="23"/>
        </w:rPr>
        <w:t>PPP objektiks on vara, mille pikaajaliseks optimaalseks omanikuks on riik.</w:t>
      </w:r>
    </w:p>
    <w:p w:rsidR="002F4A30" w:rsidRPr="005B2CCA" w:rsidRDefault="002F4A30" w:rsidP="002F4A30">
      <w:pPr>
        <w:numPr>
          <w:ilvl w:val="0"/>
          <w:numId w:val="38"/>
        </w:numPr>
        <w:spacing w:before="0"/>
        <w:rPr>
          <w:sz w:val="23"/>
          <w:szCs w:val="23"/>
        </w:rPr>
      </w:pPr>
      <w:r w:rsidRPr="005B2CCA">
        <w:rPr>
          <w:sz w:val="23"/>
          <w:szCs w:val="23"/>
        </w:rPr>
        <w:t>Vara iseloom on enamasti kas avalike teenuste osutamine (nt päästeteenused) või ei võimalda kaasnevad tingimused (nt atraktiivsus turu jaoks) kasutusrendi tehingut sõlmida.</w:t>
      </w:r>
    </w:p>
    <w:p w:rsidR="002F4A30" w:rsidRPr="005B2CCA" w:rsidRDefault="002F4A30" w:rsidP="002F4A30">
      <w:pPr>
        <w:numPr>
          <w:ilvl w:val="0"/>
          <w:numId w:val="38"/>
        </w:numPr>
        <w:spacing w:before="0"/>
        <w:rPr>
          <w:sz w:val="23"/>
          <w:szCs w:val="23"/>
        </w:rPr>
      </w:pPr>
      <w:r w:rsidRPr="005B2CCA">
        <w:rPr>
          <w:sz w:val="23"/>
          <w:szCs w:val="23"/>
        </w:rPr>
        <w:t>Tehingu aluseks oleva vara loomiseks/korda tegemiseks vajalik investeering ületab 50% selle vara tulevasest kogumaksumusest.</w:t>
      </w:r>
    </w:p>
    <w:p w:rsidR="002F4A30" w:rsidRPr="005B2CCA" w:rsidRDefault="002F4A30" w:rsidP="002F4A30">
      <w:pPr>
        <w:numPr>
          <w:ilvl w:val="0"/>
          <w:numId w:val="38"/>
        </w:numPr>
        <w:spacing w:before="0"/>
        <w:rPr>
          <w:sz w:val="23"/>
          <w:szCs w:val="23"/>
        </w:rPr>
      </w:pPr>
      <w:r w:rsidRPr="005B2CCA">
        <w:rPr>
          <w:sz w:val="23"/>
          <w:szCs w:val="23"/>
        </w:rPr>
        <w:t>Varaga seotud peamised riskid (nt ehitusrisk, kasutusvalmidusrisk, finantseerimisrisk, lõppväärtuse risk jne) on erapartneri kanda.</w:t>
      </w:r>
    </w:p>
    <w:p w:rsidR="002F4A30" w:rsidRPr="005B2CCA" w:rsidRDefault="002F4A30" w:rsidP="002F4A30">
      <w:pPr>
        <w:numPr>
          <w:ilvl w:val="0"/>
          <w:numId w:val="38"/>
        </w:numPr>
        <w:spacing w:before="0"/>
        <w:rPr>
          <w:sz w:val="23"/>
          <w:szCs w:val="23"/>
        </w:rPr>
      </w:pPr>
      <w:r w:rsidRPr="005B2CCA">
        <w:rPr>
          <w:sz w:val="23"/>
          <w:szCs w:val="23"/>
        </w:rPr>
        <w:t>Lepingu pikkuseks on eeldatud</w:t>
      </w:r>
      <w:r w:rsidR="000E5304" w:rsidRPr="005B2CCA">
        <w:rPr>
          <w:sz w:val="23"/>
          <w:szCs w:val="23"/>
        </w:rPr>
        <w:t xml:space="preserve"> </w:t>
      </w:r>
      <w:r w:rsidRPr="005B2CCA">
        <w:rPr>
          <w:sz w:val="23"/>
          <w:szCs w:val="23"/>
        </w:rPr>
        <w:t>30 aastat.</w:t>
      </w:r>
    </w:p>
    <w:p w:rsidR="002F4A30" w:rsidRPr="005B2CCA" w:rsidRDefault="002F4A30" w:rsidP="002F4A30">
      <w:pPr>
        <w:numPr>
          <w:ilvl w:val="0"/>
          <w:numId w:val="38"/>
        </w:numPr>
        <w:spacing w:before="0"/>
        <w:rPr>
          <w:sz w:val="23"/>
          <w:szCs w:val="23"/>
        </w:rPr>
      </w:pPr>
      <w:r w:rsidRPr="005B2CCA">
        <w:rPr>
          <w:sz w:val="23"/>
          <w:szCs w:val="23"/>
        </w:rPr>
        <w:t xml:space="preserve">Lepinguperioodi lõppedes läheb vara ilma täiendava makseta riigi omandisse. </w:t>
      </w:r>
    </w:p>
    <w:p w:rsidR="002F4A30" w:rsidRDefault="002F4A30" w:rsidP="002F4A30">
      <w:pPr>
        <w:rPr>
          <w:sz w:val="23"/>
          <w:szCs w:val="23"/>
        </w:rPr>
      </w:pPr>
      <w:r w:rsidRPr="00B70B75">
        <w:rPr>
          <w:sz w:val="23"/>
          <w:szCs w:val="23"/>
        </w:rPr>
        <w:t xml:space="preserve">Alternatiivsed strateegilised valikud: </w:t>
      </w:r>
    </w:p>
    <w:p w:rsidR="002F4A30" w:rsidRPr="00B70B75" w:rsidRDefault="002F4A30" w:rsidP="002F4A30">
      <w:pPr>
        <w:pStyle w:val="ListParagraph"/>
        <w:numPr>
          <w:ilvl w:val="0"/>
          <w:numId w:val="30"/>
        </w:numPr>
        <w:rPr>
          <w:sz w:val="23"/>
          <w:szCs w:val="23"/>
        </w:rPr>
      </w:pPr>
      <w:r w:rsidRPr="00B70B75">
        <w:rPr>
          <w:b/>
          <w:sz w:val="23"/>
          <w:szCs w:val="23"/>
        </w:rPr>
        <w:t>Detsentraliseeritud korraldus</w:t>
      </w:r>
      <w:r w:rsidRPr="00B70B75">
        <w:rPr>
          <w:sz w:val="23"/>
          <w:szCs w:val="23"/>
        </w:rPr>
        <w:t>,</w:t>
      </w:r>
      <w:r w:rsidRPr="00B70B75">
        <w:rPr>
          <w:b/>
          <w:sz w:val="23"/>
          <w:szCs w:val="23"/>
        </w:rPr>
        <w:t xml:space="preserve"> mille kohaselt külmutatakse riigi kinnisvarastrateegia elluviimine:</w:t>
      </w:r>
      <w:r w:rsidR="000E5304">
        <w:rPr>
          <w:b/>
          <w:sz w:val="23"/>
          <w:szCs w:val="23"/>
        </w:rPr>
        <w:t xml:space="preserve"> </w:t>
      </w:r>
      <w:r w:rsidRPr="00B70B75">
        <w:rPr>
          <w:sz w:val="23"/>
          <w:szCs w:val="23"/>
        </w:rPr>
        <w:t>riigile kuuluvad hooned antakse üle RKAS-</w:t>
      </w:r>
      <w:r>
        <w:rPr>
          <w:sz w:val="23"/>
          <w:szCs w:val="23"/>
        </w:rPr>
        <w:t>i</w:t>
      </w:r>
      <w:r w:rsidRPr="00B70B75">
        <w:rPr>
          <w:sz w:val="23"/>
          <w:szCs w:val="23"/>
        </w:rPr>
        <w:t>le ainult selles mahus, nagu valitsejad selleks soovi on avaldanud.</w:t>
      </w:r>
      <w:r w:rsidR="000E5304">
        <w:rPr>
          <w:sz w:val="23"/>
          <w:szCs w:val="23"/>
        </w:rPr>
        <w:t xml:space="preserve"> </w:t>
      </w:r>
      <w:r w:rsidRPr="00B70B75">
        <w:rPr>
          <w:sz w:val="23"/>
          <w:szCs w:val="23"/>
        </w:rPr>
        <w:t>Riigi kinnisvara portfelli korraldamine jaguneb kaheks. Sõltuvalt hoone omandist, korraldab kumbki (RKAS ja valitsejad) oma hoonete portfelli. Kuna RKAS</w:t>
      </w:r>
      <w:r>
        <w:rPr>
          <w:sz w:val="23"/>
          <w:szCs w:val="23"/>
        </w:rPr>
        <w:t>-</w:t>
      </w:r>
      <w:r w:rsidRPr="00B70B75">
        <w:rPr>
          <w:sz w:val="23"/>
          <w:szCs w:val="23"/>
        </w:rPr>
        <w:t>i portfelli maht jääb selle alternatiiviga tagasihoidlikuks, kaasatakse erasektori</w:t>
      </w:r>
      <w:r>
        <w:rPr>
          <w:sz w:val="23"/>
          <w:szCs w:val="23"/>
        </w:rPr>
        <w:t>t</w:t>
      </w:r>
      <w:r w:rsidRPr="00B70B75">
        <w:rPr>
          <w:sz w:val="23"/>
          <w:szCs w:val="23"/>
        </w:rPr>
        <w:t xml:space="preserve"> ainult kasutusrendi tehingute (ainult büroohooned Tallinnas ja Tartus) kaudu. PPP tehinguid ei tehta</w:t>
      </w:r>
      <w:r>
        <w:rPr>
          <w:sz w:val="23"/>
          <w:szCs w:val="23"/>
        </w:rPr>
        <w:t>, mistõttu investeeringute maht on tagasihoidlik</w:t>
      </w:r>
      <w:r w:rsidRPr="00B70B75">
        <w:rPr>
          <w:sz w:val="23"/>
          <w:szCs w:val="23"/>
        </w:rPr>
        <w:t>.</w:t>
      </w:r>
    </w:p>
    <w:p w:rsidR="002F4A30" w:rsidRPr="00B70B75" w:rsidRDefault="002F4A30" w:rsidP="002F4A30">
      <w:pPr>
        <w:pStyle w:val="ListParagraph"/>
        <w:numPr>
          <w:ilvl w:val="0"/>
          <w:numId w:val="30"/>
        </w:numPr>
        <w:rPr>
          <w:sz w:val="23"/>
          <w:szCs w:val="23"/>
        </w:rPr>
      </w:pPr>
      <w:r w:rsidRPr="00B70B75">
        <w:rPr>
          <w:b/>
          <w:sz w:val="23"/>
          <w:szCs w:val="23"/>
        </w:rPr>
        <w:t>Tsentraliseeritud korraldus, millega jätkatakse riigi kinnisvara strateegia elluviimist mahus 200 000 m</w:t>
      </w:r>
      <w:r w:rsidRPr="00B70B75">
        <w:rPr>
          <w:b/>
          <w:sz w:val="23"/>
          <w:szCs w:val="23"/>
          <w:vertAlign w:val="superscript"/>
        </w:rPr>
        <w:t>2</w:t>
      </w:r>
      <w:r w:rsidRPr="00B70B75">
        <w:rPr>
          <w:b/>
          <w:sz w:val="23"/>
          <w:szCs w:val="23"/>
        </w:rPr>
        <w:t xml:space="preserve"> aastas suurendades oluliselt erasektori kaasatust:</w:t>
      </w:r>
      <w:r w:rsidR="000E5304">
        <w:rPr>
          <w:sz w:val="23"/>
          <w:szCs w:val="23"/>
        </w:rPr>
        <w:t xml:space="preserve"> </w:t>
      </w:r>
      <w:r w:rsidRPr="00B70B75">
        <w:rPr>
          <w:sz w:val="23"/>
          <w:szCs w:val="23"/>
        </w:rPr>
        <w:t>riigile kuuluvad hooned antakse üle RKAS-</w:t>
      </w:r>
      <w:r>
        <w:rPr>
          <w:sz w:val="23"/>
          <w:szCs w:val="23"/>
        </w:rPr>
        <w:t>i</w:t>
      </w:r>
      <w:r w:rsidRPr="00B70B75">
        <w:rPr>
          <w:sz w:val="23"/>
          <w:szCs w:val="23"/>
        </w:rPr>
        <w:t>le, kes edaspidi jääb korraldama kogu riigi hoonete portfelli, erasektori investeeringuid (mis ei mõjuta valitsussektori tasakaalu ega võlga) kaasatakse võimalikult suures ulatuses, rakendades kasutusrendi ja PPP tehingutest tulenevaid võimalusi.</w:t>
      </w:r>
    </w:p>
    <w:p w:rsidR="002F4A30" w:rsidRPr="00B70B75" w:rsidRDefault="002F4A30" w:rsidP="0088490D">
      <w:pPr>
        <w:pStyle w:val="ListParagraph"/>
        <w:numPr>
          <w:ilvl w:val="0"/>
          <w:numId w:val="0"/>
        </w:numPr>
        <w:rPr>
          <w:sz w:val="23"/>
          <w:szCs w:val="23"/>
        </w:rPr>
      </w:pPr>
      <w:r w:rsidRPr="00B70B75">
        <w:rPr>
          <w:noProof/>
          <w:sz w:val="23"/>
          <w:szCs w:val="23"/>
        </w:rPr>
        <w:drawing>
          <wp:inline distT="0" distB="0" distL="0" distR="0">
            <wp:extent cx="4572000" cy="2743200"/>
            <wp:effectExtent l="0" t="0" r="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4A30" w:rsidRPr="005B2CCA" w:rsidRDefault="002F4A30" w:rsidP="002F4A30">
      <w:pPr>
        <w:rPr>
          <w:sz w:val="23"/>
          <w:szCs w:val="23"/>
        </w:rPr>
      </w:pPr>
      <w:r w:rsidRPr="005B2CCA">
        <w:rPr>
          <w:sz w:val="23"/>
          <w:szCs w:val="23"/>
        </w:rPr>
        <w:t xml:space="preserve">Rahastamisvõimaluste analüüsiks koostati 6 stsenaariumi, mille kavandamisel lähtuti eeldusest, et kaks kõige määramatut tegurit on: </w:t>
      </w:r>
    </w:p>
    <w:p w:rsidR="002F4A30" w:rsidRPr="005B2CCA" w:rsidRDefault="002F4A30" w:rsidP="0088490D">
      <w:pPr>
        <w:numPr>
          <w:ilvl w:val="0"/>
          <w:numId w:val="37"/>
        </w:numPr>
        <w:spacing w:before="0"/>
        <w:rPr>
          <w:sz w:val="23"/>
          <w:szCs w:val="23"/>
        </w:rPr>
      </w:pPr>
      <w:r w:rsidRPr="005B2CCA">
        <w:rPr>
          <w:sz w:val="23"/>
          <w:szCs w:val="23"/>
        </w:rPr>
        <w:t>Riigieelarve mahu prognoosid: pessimistlik, optimistlik ja keskmine prognoos;</w:t>
      </w:r>
    </w:p>
    <w:p w:rsidR="002F4A30" w:rsidRPr="005B2CCA" w:rsidRDefault="002F4A30" w:rsidP="0088490D">
      <w:pPr>
        <w:numPr>
          <w:ilvl w:val="0"/>
          <w:numId w:val="37"/>
        </w:numPr>
        <w:spacing w:before="0"/>
        <w:rPr>
          <w:sz w:val="23"/>
          <w:szCs w:val="23"/>
        </w:rPr>
      </w:pPr>
      <w:r w:rsidRPr="005B2CCA">
        <w:rPr>
          <w:sz w:val="23"/>
          <w:szCs w:val="23"/>
        </w:rPr>
        <w:t>Riigi kinnisvarastrateegiaga jätkamine: tsentraliseeritud ja</w:t>
      </w:r>
      <w:r w:rsidR="000E5304" w:rsidRPr="005B2CCA">
        <w:rPr>
          <w:sz w:val="23"/>
          <w:szCs w:val="23"/>
        </w:rPr>
        <w:t xml:space="preserve"> </w:t>
      </w:r>
      <w:r w:rsidRPr="005B2CCA">
        <w:rPr>
          <w:sz w:val="23"/>
          <w:szCs w:val="23"/>
        </w:rPr>
        <w:t>detsentraliseeritud korraldus.</w:t>
      </w:r>
    </w:p>
    <w:p w:rsidR="002F4A30" w:rsidRPr="005B2CCA" w:rsidRDefault="002F4A30" w:rsidP="002F4A30">
      <w:pPr>
        <w:rPr>
          <w:sz w:val="23"/>
          <w:szCs w:val="23"/>
        </w:rPr>
      </w:pPr>
      <w:r w:rsidRPr="005B2CCA">
        <w:rPr>
          <w:sz w:val="23"/>
          <w:szCs w:val="23"/>
        </w:rPr>
        <w:t>Iga stsenaariumi puhul võeti eesmärgiks perioodile 2015-2045:</w:t>
      </w:r>
    </w:p>
    <w:p w:rsidR="002F4A30" w:rsidRPr="005B2CCA" w:rsidRDefault="002F4A30" w:rsidP="0088490D">
      <w:pPr>
        <w:numPr>
          <w:ilvl w:val="0"/>
          <w:numId w:val="37"/>
        </w:numPr>
        <w:spacing w:before="0"/>
        <w:rPr>
          <w:sz w:val="23"/>
          <w:szCs w:val="23"/>
        </w:rPr>
      </w:pPr>
      <w:r w:rsidRPr="005B2CCA">
        <w:rPr>
          <w:sz w:val="23"/>
          <w:szCs w:val="23"/>
        </w:rPr>
        <w:t>Maksimeerida vajadustele vastavat pinna hulka (prioriteetsed valdkonnad eelkõige)</w:t>
      </w:r>
      <w:r w:rsidR="0088490D" w:rsidRPr="005B2CCA">
        <w:rPr>
          <w:sz w:val="23"/>
          <w:szCs w:val="23"/>
        </w:rPr>
        <w:t>;</w:t>
      </w:r>
    </w:p>
    <w:p w:rsidR="002F4A30" w:rsidRPr="005B2CCA" w:rsidRDefault="002F4A30" w:rsidP="0088490D">
      <w:pPr>
        <w:numPr>
          <w:ilvl w:val="0"/>
          <w:numId w:val="37"/>
        </w:numPr>
        <w:spacing w:before="0"/>
        <w:rPr>
          <w:sz w:val="23"/>
          <w:szCs w:val="23"/>
        </w:rPr>
      </w:pPr>
      <w:r w:rsidRPr="005B2CCA">
        <w:rPr>
          <w:sz w:val="23"/>
          <w:szCs w:val="23"/>
        </w:rPr>
        <w:t>Hoida eelarve jääk iga aasta lõpus positiivne (v.a. algusaasta)</w:t>
      </w:r>
      <w:r w:rsidR="0088490D" w:rsidRPr="005B2CCA">
        <w:rPr>
          <w:sz w:val="23"/>
          <w:szCs w:val="23"/>
        </w:rPr>
        <w:t>.</w:t>
      </w:r>
    </w:p>
    <w:p w:rsidR="002F4A30" w:rsidRDefault="002F4A30" w:rsidP="002F4A30">
      <w:pPr>
        <w:pStyle w:val="Caption"/>
        <w:jc w:val="center"/>
        <w:rPr>
          <w:rFonts w:ascii="Times New Roman" w:hAnsi="Times New Roman" w:cs="Times New Roman"/>
          <w:color w:val="auto"/>
          <w:sz w:val="23"/>
          <w:szCs w:val="23"/>
        </w:rPr>
      </w:pPr>
      <w:r w:rsidRPr="00B70B75">
        <w:rPr>
          <w:rFonts w:ascii="Times New Roman" w:hAnsi="Times New Roman" w:cs="Times New Roman"/>
          <w:color w:val="auto"/>
          <w:sz w:val="23"/>
          <w:szCs w:val="23"/>
        </w:rPr>
        <w:t>Rahastamisvõimaluste stsenaariumi tulemuste võrdlus</w:t>
      </w:r>
    </w:p>
    <w:p w:rsidR="002F4A30" w:rsidRPr="00B70B75" w:rsidRDefault="002F4A30" w:rsidP="002F4A30">
      <w:pPr>
        <w:pStyle w:val="Caption"/>
        <w:jc w:val="center"/>
        <w:rPr>
          <w:rFonts w:ascii="Times New Roman" w:hAnsi="Times New Roman" w:cs="Times New Roman"/>
          <w:color w:val="auto"/>
          <w:sz w:val="23"/>
          <w:szCs w:val="23"/>
        </w:rPr>
      </w:pPr>
    </w:p>
    <w:p w:rsidR="002F4A30" w:rsidRPr="0088490D" w:rsidRDefault="00A85FDC" w:rsidP="0088490D">
      <w:pPr>
        <w:ind w:left="1080"/>
        <w:jc w:val="center"/>
        <w:rPr>
          <w:b/>
          <w:sz w:val="23"/>
          <w:szCs w:val="23"/>
        </w:rPr>
      </w:pPr>
      <w:r w:rsidRPr="00A85FDC">
        <w:rPr>
          <w:noProof/>
        </w:rPr>
        <w:pict>
          <v:shapetype id="_x0000_t202" coordsize="21600,21600" o:spt="202" path="m,l,21600r21600,l21600,xe">
            <v:stroke joinstyle="miter"/>
            <v:path gradientshapeok="t" o:connecttype="rect"/>
          </v:shapetype>
          <v:shape id="_x0000_s1031" type="#_x0000_t202" style="position:absolute;left:0;text-align:left;margin-left:230.1pt;margin-top:194.35pt;width:109.85pt;height:75.5pt;z-index:251665408;mso-width-relative:margin;mso-height-relative:margin" stroked="f">
            <v:fill opacity="0"/>
            <v:textbox style="mso-next-textbox:#_x0000_s1031">
              <w:txbxContent>
                <w:p w:rsidR="008D1276" w:rsidRPr="00EB01FC" w:rsidRDefault="008D1276" w:rsidP="002F4A30">
                  <w:pPr>
                    <w:jc w:val="center"/>
                    <w:rPr>
                      <w:b/>
                      <w:color w:val="FF0000"/>
                      <w:sz w:val="20"/>
                      <w:szCs w:val="20"/>
                    </w:rPr>
                  </w:pPr>
                  <w:r w:rsidRPr="00EB01FC">
                    <w:rPr>
                      <w:b/>
                      <w:color w:val="FF0000"/>
                      <w:sz w:val="20"/>
                      <w:szCs w:val="20"/>
                    </w:rPr>
                    <w:t xml:space="preserve">Abiks ikka </w:t>
                  </w:r>
                </w:p>
                <w:p w:rsidR="008D1276" w:rsidRPr="00EB01FC" w:rsidRDefault="008D1276" w:rsidP="002F4A30">
                  <w:pPr>
                    <w:jc w:val="center"/>
                    <w:rPr>
                      <w:color w:val="FF0000"/>
                    </w:rPr>
                  </w:pPr>
                  <w:r w:rsidRPr="00EB01FC">
                    <w:rPr>
                      <w:color w:val="FF0000"/>
                      <w:sz w:val="20"/>
                      <w:szCs w:val="20"/>
                    </w:rPr>
                    <w:t>(vajadusele vastava pinna osakaal keskmiselt 67%</w:t>
                  </w:r>
                  <w:r w:rsidRPr="00EB01FC">
                    <w:rPr>
                      <w:color w:val="FF0000"/>
                    </w:rPr>
                    <w:t>)</w:t>
                  </w:r>
                </w:p>
              </w:txbxContent>
            </v:textbox>
          </v:shape>
        </w:pict>
      </w:r>
      <w:r w:rsidRPr="00A85FDC">
        <w:rPr>
          <w:noProof/>
        </w:rPr>
        <w:pict>
          <v:shape id="_x0000_s1027" type="#_x0000_t202" style="position:absolute;left:0;text-align:left;margin-left:73.2pt;margin-top:197.45pt;width:109.85pt;height:98.3pt;z-index:251661312;mso-width-relative:margin;mso-height-relative:margin" filled="f" stroked="f">
            <v:textbox style="mso-next-textbox:#_x0000_s1027">
              <w:txbxContent>
                <w:p w:rsidR="008D1276" w:rsidRPr="00EB01FC" w:rsidRDefault="008D1276" w:rsidP="002F4A30">
                  <w:pPr>
                    <w:rPr>
                      <w:b/>
                      <w:color w:val="FF0000"/>
                      <w:sz w:val="20"/>
                      <w:szCs w:val="20"/>
                    </w:rPr>
                  </w:pPr>
                  <w:r w:rsidRPr="00EB01FC">
                    <w:rPr>
                      <w:b/>
                      <w:color w:val="FF0000"/>
                      <w:sz w:val="20"/>
                      <w:szCs w:val="20"/>
                    </w:rPr>
                    <w:t>Lõputu õudus</w:t>
                  </w:r>
                </w:p>
                <w:p w:rsidR="008D1276" w:rsidRPr="00EB01FC" w:rsidRDefault="008D1276" w:rsidP="002F4A30">
                  <w:pPr>
                    <w:rPr>
                      <w:color w:val="FF0000"/>
                    </w:rPr>
                  </w:pPr>
                  <w:r w:rsidRPr="00EB01FC">
                    <w:rPr>
                      <w:color w:val="FF0000"/>
                      <w:sz w:val="20"/>
                      <w:szCs w:val="20"/>
                    </w:rPr>
                    <w:t>(kaotatakse ka saavutatud kvaliteet, vajadusele vastava pinna osakaal keskmiselt 29%</w:t>
                  </w:r>
                  <w:r w:rsidRPr="00EB01FC">
                    <w:rPr>
                      <w:color w:val="FF0000"/>
                    </w:rPr>
                    <w:t>)</w:t>
                  </w:r>
                </w:p>
              </w:txbxContent>
            </v:textbox>
          </v:shape>
        </w:pict>
      </w:r>
      <w:r w:rsidRPr="00A85FDC">
        <w:rPr>
          <w:noProof/>
          <w:lang w:val="en-US" w:eastAsia="zh-TW"/>
        </w:rPr>
        <w:pict>
          <v:shape id="_x0000_s1026" type="#_x0000_t202" style="position:absolute;left:0;text-align:left;margin-left:73.2pt;margin-top:55.85pt;width:114.3pt;height:72.5pt;z-index:251660288;mso-width-relative:margin;mso-height-relative:margin" stroked="f">
            <v:textbox style="mso-next-textbox:#_x0000_s1026">
              <w:txbxContent>
                <w:p w:rsidR="008D1276" w:rsidRPr="00EB01FC" w:rsidRDefault="008D1276" w:rsidP="002F4A30">
                  <w:pPr>
                    <w:rPr>
                      <w:b/>
                      <w:color w:val="FF0000"/>
                      <w:sz w:val="20"/>
                      <w:szCs w:val="20"/>
                    </w:rPr>
                  </w:pPr>
                  <w:r w:rsidRPr="00EB01FC">
                    <w:rPr>
                      <w:b/>
                      <w:color w:val="FF0000"/>
                      <w:sz w:val="20"/>
                      <w:szCs w:val="20"/>
                    </w:rPr>
                    <w:t xml:space="preserve">Võimatu missioon </w:t>
                  </w:r>
                </w:p>
                <w:p w:rsidR="008D1276" w:rsidRPr="00EB01FC" w:rsidRDefault="008D1276" w:rsidP="002F4A30">
                  <w:pPr>
                    <w:rPr>
                      <w:color w:val="FF0000"/>
                    </w:rPr>
                  </w:pPr>
                  <w:r w:rsidRPr="00EB01FC">
                    <w:rPr>
                      <w:color w:val="FF0000"/>
                      <w:sz w:val="20"/>
                      <w:szCs w:val="20"/>
                    </w:rPr>
                    <w:t xml:space="preserve">(raha </w:t>
                  </w:r>
                  <w:r w:rsidRPr="00EB01FC">
                    <w:rPr>
                      <w:color w:val="FF0000"/>
                      <w:sz w:val="20"/>
                    </w:rPr>
                    <w:t>ei ole piisavalt</w:t>
                  </w:r>
                  <w:r w:rsidRPr="00EB01FC">
                    <w:rPr>
                      <w:color w:val="FF0000"/>
                    </w:rPr>
                    <w:t>)</w:t>
                  </w:r>
                </w:p>
              </w:txbxContent>
            </v:textbox>
          </v:shape>
        </w:pict>
      </w:r>
      <w:r w:rsidRPr="00A85FDC">
        <w:rPr>
          <w:noProof/>
        </w:rPr>
        <w:pict>
          <v:shape id="_x0000_s1029" type="#_x0000_t202" style="position:absolute;left:0;text-align:left;margin-left:375pt;margin-top:53.25pt;width:109.85pt;height:78.65pt;z-index:251663360;mso-width-relative:margin;mso-height-relative:margin" stroked="f">
            <v:textbox style="mso-next-textbox:#_x0000_s1029">
              <w:txbxContent>
                <w:p w:rsidR="008D1276" w:rsidRPr="00EB01FC" w:rsidRDefault="008D1276" w:rsidP="002F4A30">
                  <w:pPr>
                    <w:jc w:val="right"/>
                    <w:rPr>
                      <w:b/>
                      <w:color w:val="FF0000"/>
                      <w:sz w:val="20"/>
                      <w:szCs w:val="20"/>
                    </w:rPr>
                  </w:pPr>
                  <w:r w:rsidRPr="00EB01FC">
                    <w:rPr>
                      <w:b/>
                      <w:color w:val="FF0000"/>
                      <w:sz w:val="20"/>
                      <w:szCs w:val="20"/>
                    </w:rPr>
                    <w:t xml:space="preserve">Uus </w:t>
                  </w:r>
                  <w:r>
                    <w:rPr>
                      <w:b/>
                      <w:color w:val="FF0000"/>
                      <w:sz w:val="20"/>
                      <w:szCs w:val="20"/>
                    </w:rPr>
                    <w:t>E</w:t>
                  </w:r>
                  <w:r w:rsidRPr="00EB01FC">
                    <w:rPr>
                      <w:b/>
                      <w:color w:val="FF0000"/>
                      <w:sz w:val="20"/>
                      <w:szCs w:val="20"/>
                    </w:rPr>
                    <w:t xml:space="preserve">eden </w:t>
                  </w:r>
                </w:p>
                <w:p w:rsidR="008D1276" w:rsidRPr="00EB01FC" w:rsidRDefault="008D1276" w:rsidP="002F4A30">
                  <w:pPr>
                    <w:jc w:val="right"/>
                    <w:rPr>
                      <w:color w:val="FF0000"/>
                    </w:rPr>
                  </w:pPr>
                  <w:r w:rsidRPr="00EB01FC">
                    <w:rPr>
                      <w:color w:val="FF0000"/>
                      <w:sz w:val="20"/>
                      <w:szCs w:val="20"/>
                    </w:rPr>
                    <w:t>(vajadusele vastava pinna osakaal keskmiselt 98%</w:t>
                  </w:r>
                  <w:r w:rsidRPr="00EB01FC">
                    <w:rPr>
                      <w:color w:val="FF0000"/>
                    </w:rPr>
                    <w:t>)</w:t>
                  </w:r>
                </w:p>
              </w:txbxContent>
            </v:textbox>
          </v:shape>
        </w:pict>
      </w:r>
      <w:r w:rsidRPr="00A85FDC">
        <w:rPr>
          <w:noProof/>
        </w:rPr>
        <w:pict>
          <v:shape id="_x0000_s1028" type="#_x0000_t202" style="position:absolute;left:0;text-align:left;margin-left:364.55pt;margin-top:217.45pt;width:109.85pt;height:71.1pt;z-index:251662336;mso-width-relative:margin;mso-height-relative:margin" stroked="f">
            <v:textbox style="mso-next-textbox:#_x0000_s1028">
              <w:txbxContent>
                <w:p w:rsidR="008D1276" w:rsidRPr="00EB01FC" w:rsidRDefault="008D1276" w:rsidP="002F4A30">
                  <w:pPr>
                    <w:jc w:val="right"/>
                    <w:rPr>
                      <w:b/>
                      <w:color w:val="FF0000"/>
                      <w:sz w:val="20"/>
                      <w:szCs w:val="20"/>
                    </w:rPr>
                  </w:pPr>
                  <w:r w:rsidRPr="00EB01FC">
                    <w:rPr>
                      <w:b/>
                      <w:color w:val="FF0000"/>
                      <w:sz w:val="20"/>
                      <w:szCs w:val="20"/>
                    </w:rPr>
                    <w:t>Mõisa köis</w:t>
                  </w:r>
                </w:p>
                <w:p w:rsidR="008D1276" w:rsidRPr="00EB01FC" w:rsidRDefault="008D1276" w:rsidP="002F4A30">
                  <w:pPr>
                    <w:jc w:val="right"/>
                    <w:rPr>
                      <w:color w:val="FF0000"/>
                    </w:rPr>
                  </w:pPr>
                  <w:r w:rsidRPr="00EB01FC">
                    <w:rPr>
                      <w:color w:val="FF0000"/>
                      <w:sz w:val="20"/>
                      <w:szCs w:val="20"/>
                    </w:rPr>
                    <w:t>(vajadusele vastava pinna osakaal keskmiselt 71%</w:t>
                  </w:r>
                  <w:r w:rsidRPr="00EB01FC">
                    <w:rPr>
                      <w:color w:val="FF0000"/>
                    </w:rPr>
                    <w:t>)</w:t>
                  </w:r>
                </w:p>
              </w:txbxContent>
            </v:textbox>
          </v:shape>
        </w:pict>
      </w:r>
      <w:r w:rsidRPr="00A85FDC">
        <w:rPr>
          <w:noProof/>
        </w:rPr>
        <w:pict>
          <v:shape id="_x0000_s1030" type="#_x0000_t202" style="position:absolute;left:0;text-align:left;margin-left:190.85pt;margin-top:53.25pt;width:109.85pt;height:75.1pt;z-index:251664384;mso-width-relative:margin;mso-height-relative:margin" stroked="f">
            <v:fill opacity="0"/>
            <v:textbox style="mso-next-textbox:#_x0000_s1030">
              <w:txbxContent>
                <w:p w:rsidR="008D1276" w:rsidRPr="00EB01FC" w:rsidRDefault="008D1276" w:rsidP="002F4A30">
                  <w:pPr>
                    <w:jc w:val="center"/>
                    <w:rPr>
                      <w:b/>
                      <w:color w:val="FF0000"/>
                      <w:sz w:val="20"/>
                      <w:szCs w:val="20"/>
                    </w:rPr>
                  </w:pPr>
                  <w:r w:rsidRPr="00EB01FC">
                    <w:rPr>
                      <w:b/>
                      <w:color w:val="FF0000"/>
                      <w:sz w:val="20"/>
                      <w:szCs w:val="20"/>
                    </w:rPr>
                    <w:t xml:space="preserve">Parim võimalik </w:t>
                  </w:r>
                </w:p>
                <w:p w:rsidR="008D1276" w:rsidRPr="00EB01FC" w:rsidRDefault="008D1276" w:rsidP="002F4A30">
                  <w:pPr>
                    <w:jc w:val="center"/>
                    <w:rPr>
                      <w:color w:val="FF0000"/>
                    </w:rPr>
                  </w:pPr>
                  <w:r w:rsidRPr="00EB01FC">
                    <w:rPr>
                      <w:color w:val="FF0000"/>
                      <w:sz w:val="20"/>
                      <w:szCs w:val="20"/>
                    </w:rPr>
                    <w:t>(vajadusele vastava pinna osakaal keskmiselt 90%</w:t>
                  </w:r>
                  <w:r w:rsidRPr="00EB01FC">
                    <w:rPr>
                      <w:color w:val="FF0000"/>
                    </w:rPr>
                    <w:t>)</w:t>
                  </w:r>
                </w:p>
              </w:txbxContent>
            </v:textbox>
          </v:shape>
        </w:pict>
      </w:r>
      <w:r w:rsidR="002F4A30" w:rsidRPr="00B70B75">
        <w:rPr>
          <w:noProof/>
          <w:lang w:eastAsia="et-EE"/>
        </w:rPr>
        <w:drawing>
          <wp:inline distT="0" distB="0" distL="0" distR="0">
            <wp:extent cx="5780342" cy="4023360"/>
            <wp:effectExtent l="19050" t="0" r="0" b="0"/>
            <wp:docPr id="39" name="Picture 0" descr="ST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16.png"/>
                    <pic:cNvPicPr/>
                  </pic:nvPicPr>
                  <pic:blipFill>
                    <a:blip r:embed="rId12" cstate="print"/>
                    <a:stretch>
                      <a:fillRect/>
                    </a:stretch>
                  </pic:blipFill>
                  <pic:spPr>
                    <a:xfrm>
                      <a:off x="0" y="0"/>
                      <a:ext cx="5780342" cy="4023360"/>
                    </a:xfrm>
                    <a:prstGeom prst="rect">
                      <a:avLst/>
                    </a:prstGeom>
                  </pic:spPr>
                </pic:pic>
              </a:graphicData>
            </a:graphic>
          </wp:inline>
        </w:drawing>
      </w:r>
    </w:p>
    <w:p w:rsidR="002F4A30" w:rsidRPr="00B70B75" w:rsidRDefault="002F4A30" w:rsidP="002F4A30">
      <w:pPr>
        <w:rPr>
          <w:sz w:val="23"/>
          <w:szCs w:val="23"/>
          <w:u w:val="single"/>
        </w:rPr>
      </w:pPr>
      <w:r w:rsidRPr="00B70B75">
        <w:rPr>
          <w:sz w:val="23"/>
          <w:szCs w:val="23"/>
          <w:u w:val="single"/>
        </w:rPr>
        <w:t xml:space="preserve">Olulisemad analüüsi järeldused: </w:t>
      </w:r>
    </w:p>
    <w:p w:rsidR="002F4A30" w:rsidRPr="00B70B75" w:rsidRDefault="002F4A30" w:rsidP="002F4A30">
      <w:pPr>
        <w:pStyle w:val="ListParagraph"/>
        <w:numPr>
          <w:ilvl w:val="2"/>
          <w:numId w:val="46"/>
        </w:numPr>
        <w:tabs>
          <w:tab w:val="num" w:pos="0"/>
        </w:tabs>
        <w:spacing w:after="0"/>
        <w:ind w:left="0" w:firstLine="0"/>
        <w:rPr>
          <w:sz w:val="23"/>
          <w:szCs w:val="23"/>
        </w:rPr>
      </w:pPr>
      <w:r w:rsidRPr="00B70B75">
        <w:rPr>
          <w:bCs/>
          <w:sz w:val="23"/>
          <w:szCs w:val="23"/>
        </w:rPr>
        <w:t>Pessimistliku rahastamisprognoosi korral ei ole võimalik</w:t>
      </w:r>
      <w:r w:rsidR="000E5304">
        <w:rPr>
          <w:bCs/>
          <w:sz w:val="23"/>
          <w:szCs w:val="23"/>
        </w:rPr>
        <w:t xml:space="preserve"> </w:t>
      </w:r>
      <w:r w:rsidRPr="00B70B75">
        <w:rPr>
          <w:bCs/>
          <w:sz w:val="23"/>
          <w:szCs w:val="23"/>
        </w:rPr>
        <w:t>leida soovitud lahendust sõltumata strateegilistest otsustest:</w:t>
      </w:r>
      <w:r w:rsidRPr="00B70B75">
        <w:rPr>
          <w:bCs/>
          <w:color w:val="1F497D"/>
          <w:sz w:val="23"/>
          <w:szCs w:val="23"/>
        </w:rPr>
        <w:t xml:space="preserve"> </w:t>
      </w:r>
    </w:p>
    <w:p w:rsidR="002F4A30" w:rsidRPr="00B70B75" w:rsidRDefault="002F4A30" w:rsidP="002F4A30">
      <w:pPr>
        <w:pStyle w:val="ListParagraph"/>
        <w:numPr>
          <w:ilvl w:val="0"/>
          <w:numId w:val="66"/>
        </w:numPr>
        <w:spacing w:before="0" w:after="0"/>
        <w:rPr>
          <w:sz w:val="23"/>
          <w:szCs w:val="23"/>
        </w:rPr>
      </w:pPr>
      <w:r w:rsidRPr="00B70B75">
        <w:rPr>
          <w:sz w:val="23"/>
          <w:szCs w:val="23"/>
        </w:rPr>
        <w:t>Tsentraliseeritud valitsemise jätkamine ei ole võimalik, sest rahastamisvõimalused ei ole piisavad.</w:t>
      </w:r>
    </w:p>
    <w:p w:rsidR="002F4A30" w:rsidRPr="00B70B75" w:rsidRDefault="002F4A30" w:rsidP="002F4A30">
      <w:pPr>
        <w:pStyle w:val="ListParagraph"/>
        <w:numPr>
          <w:ilvl w:val="0"/>
          <w:numId w:val="66"/>
        </w:numPr>
        <w:spacing w:before="0" w:after="0"/>
        <w:rPr>
          <w:sz w:val="23"/>
          <w:szCs w:val="23"/>
        </w:rPr>
      </w:pPr>
      <w:r w:rsidRPr="00B70B75">
        <w:rPr>
          <w:sz w:val="23"/>
          <w:szCs w:val="23"/>
          <w:u w:val="single"/>
        </w:rPr>
        <w:t>Detsentraliseeritud valitsemise jätkumisel kaotame ka senised edusammud:</w:t>
      </w:r>
      <w:r w:rsidRPr="00B70B75">
        <w:rPr>
          <w:sz w:val="23"/>
          <w:szCs w:val="23"/>
        </w:rPr>
        <w:t xml:space="preserve"> kui praegu vastab vajadustele 76% pinnast, siis 5 aastaga langeks näitaja 53%-le,</w:t>
      </w:r>
      <w:r w:rsidR="000E5304">
        <w:rPr>
          <w:sz w:val="23"/>
          <w:szCs w:val="23"/>
        </w:rPr>
        <w:t xml:space="preserve"> </w:t>
      </w:r>
      <w:r w:rsidRPr="00B70B75">
        <w:rPr>
          <w:sz w:val="23"/>
          <w:szCs w:val="23"/>
        </w:rPr>
        <w:t xml:space="preserve">11 aastaga (aastaks 2026) 11%-le. </w:t>
      </w:r>
    </w:p>
    <w:p w:rsidR="002F4A30" w:rsidRPr="00B70B75" w:rsidRDefault="002F4A30" w:rsidP="002F4A30">
      <w:pPr>
        <w:pStyle w:val="ListParagraph"/>
        <w:numPr>
          <w:ilvl w:val="0"/>
          <w:numId w:val="20"/>
        </w:numPr>
        <w:spacing w:before="0" w:after="0"/>
        <w:rPr>
          <w:bCs/>
          <w:sz w:val="23"/>
          <w:szCs w:val="23"/>
        </w:rPr>
      </w:pPr>
      <w:r w:rsidRPr="00B70B75">
        <w:rPr>
          <w:bCs/>
          <w:sz w:val="23"/>
          <w:szCs w:val="23"/>
        </w:rPr>
        <w:t>Keskmise (ja optimistliku) rahastamisprognoosi realiseerumisel annab tsentraliseeritud korraldus märgatavalt parema tulemuse võrreldes detsentraliseeritud korraldusega:</w:t>
      </w:r>
      <w:r w:rsidR="000E5304">
        <w:rPr>
          <w:bCs/>
          <w:sz w:val="23"/>
          <w:szCs w:val="23"/>
        </w:rPr>
        <w:t xml:space="preserve"> </w:t>
      </w:r>
    </w:p>
    <w:p w:rsidR="002F4A30" w:rsidRPr="00B70B75" w:rsidRDefault="002F4A30" w:rsidP="002F4A30">
      <w:pPr>
        <w:pStyle w:val="ListParagraph"/>
        <w:numPr>
          <w:ilvl w:val="0"/>
          <w:numId w:val="67"/>
        </w:numPr>
        <w:spacing w:before="0" w:after="0"/>
        <w:rPr>
          <w:sz w:val="23"/>
          <w:szCs w:val="23"/>
          <w:u w:val="single"/>
        </w:rPr>
      </w:pPr>
      <w:r w:rsidRPr="00B70B75">
        <w:rPr>
          <w:sz w:val="23"/>
          <w:szCs w:val="23"/>
          <w:u w:val="single"/>
        </w:rPr>
        <w:t xml:space="preserve">Tsentraliseeritud lahendusega saavutataks 90% pinna vastavus vajadustele vaadeldud perioodi kestel. </w:t>
      </w:r>
    </w:p>
    <w:p w:rsidR="002F4A30" w:rsidRPr="00B70B75" w:rsidRDefault="002F4A30" w:rsidP="002F4A30">
      <w:pPr>
        <w:pStyle w:val="ListParagraph"/>
        <w:numPr>
          <w:ilvl w:val="0"/>
          <w:numId w:val="67"/>
        </w:numPr>
        <w:spacing w:before="0" w:after="0"/>
        <w:rPr>
          <w:sz w:val="23"/>
          <w:szCs w:val="23"/>
        </w:rPr>
      </w:pPr>
      <w:r w:rsidRPr="00B70B75">
        <w:rPr>
          <w:sz w:val="23"/>
          <w:szCs w:val="23"/>
        </w:rPr>
        <w:t>Detsentraliseeritu</w:t>
      </w:r>
      <w:r>
        <w:rPr>
          <w:sz w:val="23"/>
          <w:szCs w:val="23"/>
        </w:rPr>
        <w:t>lt</w:t>
      </w:r>
      <w:r w:rsidRPr="00B70B75">
        <w:rPr>
          <w:sz w:val="23"/>
          <w:szCs w:val="23"/>
        </w:rPr>
        <w:t xml:space="preserve"> saavutataks 67% pinna vastavus vajadustele vaadeldud perioodi kestel.</w:t>
      </w:r>
    </w:p>
    <w:p w:rsidR="002F4A30" w:rsidRPr="00B70B75" w:rsidRDefault="002F4A30" w:rsidP="002F4A30">
      <w:pPr>
        <w:pStyle w:val="ListParagraph"/>
        <w:numPr>
          <w:ilvl w:val="0"/>
          <w:numId w:val="20"/>
        </w:numPr>
        <w:spacing w:before="0" w:after="0"/>
        <w:rPr>
          <w:bCs/>
          <w:sz w:val="23"/>
          <w:szCs w:val="23"/>
        </w:rPr>
      </w:pPr>
      <w:r w:rsidRPr="00B70B75">
        <w:rPr>
          <w:bCs/>
          <w:sz w:val="23"/>
          <w:szCs w:val="23"/>
        </w:rPr>
        <w:t>Detsentraliseeritud valitsemise jätkamine ei ole jätkusuutlik,</w:t>
      </w:r>
      <w:r w:rsidR="000E5304">
        <w:rPr>
          <w:bCs/>
          <w:sz w:val="23"/>
          <w:szCs w:val="23"/>
        </w:rPr>
        <w:t xml:space="preserve"> </w:t>
      </w:r>
      <w:r w:rsidRPr="00B70B75">
        <w:rPr>
          <w:bCs/>
          <w:sz w:val="23"/>
          <w:szCs w:val="23"/>
        </w:rPr>
        <w:t>tsentraliseerimisega tuleb edasi minna süsteemi parandades ja säästlikumaid lahendusi otsides (optimeerimine, täpsemad rahastamisotsused, müügitulude kasvatamine).</w:t>
      </w:r>
    </w:p>
    <w:p w:rsidR="002F4A30" w:rsidRPr="00B70B75" w:rsidRDefault="002F4A30" w:rsidP="002F4A30">
      <w:pPr>
        <w:pStyle w:val="ListParagraph"/>
        <w:numPr>
          <w:ilvl w:val="0"/>
          <w:numId w:val="20"/>
        </w:numPr>
        <w:spacing w:before="0" w:after="0"/>
        <w:rPr>
          <w:bCs/>
          <w:sz w:val="23"/>
          <w:szCs w:val="23"/>
        </w:rPr>
      </w:pPr>
      <w:r w:rsidRPr="00B70B75">
        <w:rPr>
          <w:bCs/>
          <w:sz w:val="23"/>
          <w:szCs w:val="23"/>
        </w:rPr>
        <w:t>Erasektoriga koostöö võimaluste analüüsiga tuleb edasi minna, sest sama rahastamismahu korral võimaldab see tagada suurema hulga vajadustele vastavaid pindu.</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35" w:name="_Toc433915032"/>
      <w:bookmarkStart w:id="36" w:name="_Toc433980669"/>
      <w:r w:rsidRPr="005B2CCA">
        <w:rPr>
          <w:rFonts w:ascii="Times New Roman" w:hAnsi="Times New Roman" w:cs="Times New Roman"/>
          <w:b/>
          <w:sz w:val="23"/>
          <w:szCs w:val="23"/>
        </w:rPr>
        <w:t>Täiendav kasu ja riskid erasektoriga koostöös</w:t>
      </w:r>
      <w:bookmarkEnd w:id="35"/>
      <w:bookmarkEnd w:id="36"/>
    </w:p>
    <w:p w:rsidR="002F4A30" w:rsidRPr="00B70B75" w:rsidRDefault="002F4A30" w:rsidP="002F4A30">
      <w:pPr>
        <w:rPr>
          <w:sz w:val="23"/>
          <w:szCs w:val="23"/>
        </w:rPr>
      </w:pPr>
      <w:r w:rsidRPr="00B70B75">
        <w:rPr>
          <w:sz w:val="23"/>
          <w:szCs w:val="23"/>
        </w:rPr>
        <w:t>Täiendav kasu erasektoriga koostööst:</w:t>
      </w:r>
    </w:p>
    <w:p w:rsidR="002F4A30" w:rsidRPr="00B70B75" w:rsidRDefault="002F4A30" w:rsidP="002F4A30">
      <w:pPr>
        <w:pStyle w:val="ListParagraph"/>
        <w:numPr>
          <w:ilvl w:val="0"/>
          <w:numId w:val="46"/>
        </w:numPr>
        <w:spacing w:before="0" w:after="0"/>
        <w:rPr>
          <w:sz w:val="23"/>
          <w:szCs w:val="23"/>
        </w:rPr>
      </w:pPr>
      <w:r w:rsidRPr="00B70B75">
        <w:rPr>
          <w:b/>
          <w:sz w:val="23"/>
          <w:szCs w:val="23"/>
        </w:rPr>
        <w:t>Riigi orienteeritus põhitegevusele</w:t>
      </w:r>
      <w:r w:rsidRPr="00B70B75">
        <w:rPr>
          <w:sz w:val="23"/>
          <w:szCs w:val="23"/>
        </w:rPr>
        <w:t xml:space="preserve"> – riigi põhitegevuseks pole tugitegevuse osaks oleva kinnisvaraga tegelemine. Funktsiooni delegeerimine RKAS-</w:t>
      </w:r>
      <w:r>
        <w:rPr>
          <w:sz w:val="23"/>
          <w:szCs w:val="23"/>
        </w:rPr>
        <w:t>i</w:t>
      </w:r>
      <w:r w:rsidRPr="00B70B75">
        <w:rPr>
          <w:sz w:val="23"/>
          <w:szCs w:val="23"/>
        </w:rPr>
        <w:t>le vabastab asutuse ressursse põhitegevuseks (NB! targa tellija roll peab asutuses säilima). Stsenaarium 6 puhul antaks</w:t>
      </w:r>
      <w:r>
        <w:rPr>
          <w:sz w:val="23"/>
          <w:szCs w:val="23"/>
        </w:rPr>
        <w:t>e</w:t>
      </w:r>
      <w:r w:rsidRPr="00B70B75">
        <w:rPr>
          <w:sz w:val="23"/>
          <w:szCs w:val="23"/>
        </w:rPr>
        <w:t xml:space="preserve"> üle ca 790 000 m</w:t>
      </w:r>
      <w:r>
        <w:rPr>
          <w:rFonts w:ascii="Calibri" w:hAnsi="Calibri"/>
          <w:sz w:val="23"/>
          <w:szCs w:val="23"/>
        </w:rPr>
        <w:t>²</w:t>
      </w:r>
      <w:r w:rsidRPr="00B70B75">
        <w:rPr>
          <w:sz w:val="23"/>
          <w:szCs w:val="23"/>
        </w:rPr>
        <w:t xml:space="preserve"> vajalikku pinda, </w:t>
      </w:r>
      <w:r>
        <w:rPr>
          <w:sz w:val="23"/>
          <w:szCs w:val="23"/>
        </w:rPr>
        <w:t>mille haldamise ja korrashoiu tegevustest asutus vabaneb.</w:t>
      </w:r>
      <w:r w:rsidR="000E5304">
        <w:rPr>
          <w:sz w:val="23"/>
          <w:szCs w:val="23"/>
        </w:rPr>
        <w:t xml:space="preserve"> </w:t>
      </w:r>
    </w:p>
    <w:p w:rsidR="002F4A30" w:rsidRPr="00B70B75" w:rsidRDefault="002F4A30" w:rsidP="002F4A30">
      <w:pPr>
        <w:pStyle w:val="ListParagraph"/>
        <w:numPr>
          <w:ilvl w:val="0"/>
          <w:numId w:val="46"/>
        </w:numPr>
        <w:spacing w:before="0" w:after="0"/>
        <w:rPr>
          <w:sz w:val="23"/>
          <w:szCs w:val="23"/>
        </w:rPr>
      </w:pPr>
      <w:r w:rsidRPr="00B70B75">
        <w:rPr>
          <w:b/>
          <w:sz w:val="23"/>
          <w:szCs w:val="23"/>
        </w:rPr>
        <w:t xml:space="preserve">RKAS kui kompetentsikeskus riigile – </w:t>
      </w:r>
      <w:r w:rsidRPr="00B70B75">
        <w:rPr>
          <w:sz w:val="23"/>
          <w:szCs w:val="23"/>
        </w:rPr>
        <w:t>Riigil on üks partner, kelle rolliks on leida parimaid lahendusi pinnavajaduste rahuldamisel ja täita sõlmitud lepingute tingimusi. Ühe partneri olemasolu võimaldab saavutada sünergiat ehk võitu lisandväärtuses sh efektiivsuses muuhulgas läbi integreeritud juhtimissüsteemi ja selle osaks olevate protsesside. Täiendavad võimalused avalduvad paindlikkuses, mida pakub RKAS</w:t>
      </w:r>
      <w:r>
        <w:rPr>
          <w:sz w:val="23"/>
          <w:szCs w:val="23"/>
        </w:rPr>
        <w:t>-</w:t>
      </w:r>
      <w:r w:rsidRPr="00B70B75">
        <w:rPr>
          <w:sz w:val="23"/>
          <w:szCs w:val="23"/>
        </w:rPr>
        <w:t>i hoonete ja lepingute portfell (võimaldab riigiasutustel pindade lihtsat vahetamist) ja õppimiskõvera (oskused tõusevad kumuleeruvalt aja möödudes) efekti toimimises (nt ühe kooli ehitamisest/haldamisest saadud kogemust on võimalik rakendada kiirelt kogu koolide portfelli ulatuses).</w:t>
      </w:r>
    </w:p>
    <w:p w:rsidR="002F4A30" w:rsidRPr="00B70B75" w:rsidRDefault="002F4A30" w:rsidP="002F4A30">
      <w:pPr>
        <w:pStyle w:val="ListParagraph"/>
        <w:numPr>
          <w:ilvl w:val="0"/>
          <w:numId w:val="46"/>
        </w:numPr>
        <w:spacing w:before="0" w:after="0"/>
        <w:rPr>
          <w:sz w:val="23"/>
          <w:szCs w:val="23"/>
        </w:rPr>
      </w:pPr>
      <w:r w:rsidRPr="00B70B75">
        <w:rPr>
          <w:b/>
          <w:sz w:val="23"/>
          <w:szCs w:val="23"/>
        </w:rPr>
        <w:t>Erasektori kaasamisest tulenev efektiivsusvõit</w:t>
      </w:r>
      <w:r w:rsidRPr="00B70B75">
        <w:rPr>
          <w:sz w:val="23"/>
          <w:szCs w:val="23"/>
        </w:rPr>
        <w:t xml:space="preserve"> – erasektor pakub suuremat kinnisvara korraldamise juhtimiskogemust ja pädevust, millest tuleneb omakorda suurem efektiivsus varade korraldamisel. See väljendub otseselt konkurentsisituatsioonis kujunenud rendihinnas.</w:t>
      </w:r>
    </w:p>
    <w:p w:rsidR="002F4A30" w:rsidRPr="00B70B75" w:rsidRDefault="002F4A30" w:rsidP="002F4A30">
      <w:pPr>
        <w:pStyle w:val="ListParagraph"/>
        <w:numPr>
          <w:ilvl w:val="0"/>
          <w:numId w:val="46"/>
        </w:numPr>
        <w:spacing w:before="0" w:after="0"/>
        <w:rPr>
          <w:sz w:val="23"/>
          <w:szCs w:val="23"/>
        </w:rPr>
      </w:pPr>
      <w:r w:rsidRPr="00B70B75">
        <w:rPr>
          <w:b/>
          <w:sz w:val="23"/>
          <w:szCs w:val="23"/>
        </w:rPr>
        <w:t xml:space="preserve">PPP tehingutest tulenevad võimalused – </w:t>
      </w:r>
      <w:r w:rsidRPr="00B70B75">
        <w:rPr>
          <w:sz w:val="23"/>
          <w:szCs w:val="23"/>
        </w:rPr>
        <w:t>Lisaks kapitali kaasamisele võimaldab PPP vähendada RKAS</w:t>
      </w:r>
      <w:r>
        <w:rPr>
          <w:sz w:val="23"/>
          <w:szCs w:val="23"/>
        </w:rPr>
        <w:t>-</w:t>
      </w:r>
      <w:r w:rsidRPr="00B70B75">
        <w:rPr>
          <w:sz w:val="23"/>
          <w:szCs w:val="23"/>
        </w:rPr>
        <w:t>i ja riigi halduskoormust (kui tehingusse haarata võimalikult palju täiendavaid teenuseid nt haldus, hooldusteenused ja erinevad tugiteenused). Lisaks on PPP positiivsete aspektidena välja toodud projektide (investeeringute) kiiremat elluviimist ja seeläbi kiiremat avalike teenuste levikut; keskendumist hoone elukaare kuludele, mitte ehitusmaksumusele; sobilikumat riskide jaotust era ja avaliku sektori vahel ning teenuste kvaliteedi tõusu.</w:t>
      </w:r>
    </w:p>
    <w:p w:rsidR="002F4A30" w:rsidRPr="00B70B75" w:rsidRDefault="002F4A30" w:rsidP="002F4A30">
      <w:pPr>
        <w:pStyle w:val="ListParagraph"/>
        <w:numPr>
          <w:ilvl w:val="0"/>
          <w:numId w:val="46"/>
        </w:numPr>
        <w:spacing w:before="0" w:after="0"/>
        <w:rPr>
          <w:b/>
          <w:sz w:val="23"/>
          <w:szCs w:val="23"/>
        </w:rPr>
      </w:pPr>
      <w:r w:rsidRPr="00B70B75">
        <w:rPr>
          <w:b/>
          <w:sz w:val="23"/>
          <w:szCs w:val="23"/>
        </w:rPr>
        <w:t>Mõju majanduse elavdamisele</w:t>
      </w:r>
      <w:r w:rsidRPr="00B70B75">
        <w:rPr>
          <w:sz w:val="23"/>
          <w:szCs w:val="23"/>
        </w:rPr>
        <w:t xml:space="preserve"> – erasektori laiem kaasatus elavdab majandust läbi kinnisvaraturu, investeerimisturu elavdamise (uued tooted). Lisaks suurendatakse raha ringlust majanduses ja rakendatakse raha multiplikaatori efekti.</w:t>
      </w:r>
    </w:p>
    <w:p w:rsidR="002F4A30" w:rsidRPr="00B70B75" w:rsidRDefault="002F4A30" w:rsidP="002F4A30">
      <w:pPr>
        <w:spacing w:after="200" w:line="276" w:lineRule="auto"/>
        <w:rPr>
          <w:sz w:val="23"/>
          <w:szCs w:val="23"/>
        </w:rPr>
      </w:pPr>
      <w:r w:rsidRPr="00B70B75">
        <w:rPr>
          <w:b/>
          <w:sz w:val="23"/>
          <w:szCs w:val="23"/>
        </w:rPr>
        <w:t xml:space="preserve">Senine praktika avaliku ja erasektori koostööprojektidest on saanud palju kriitikat, mh </w:t>
      </w:r>
      <w:r w:rsidRPr="00B70B75">
        <w:rPr>
          <w:b/>
          <w:bCs/>
          <w:sz w:val="23"/>
          <w:szCs w:val="23"/>
        </w:rPr>
        <w:t>Riigikontrollilt,</w:t>
      </w:r>
      <w:r w:rsidRPr="00B70B75">
        <w:rPr>
          <w:bCs/>
          <w:sz w:val="23"/>
          <w:szCs w:val="23"/>
        </w:rPr>
        <w:t xml:space="preserve"> kes on viidanud avaliku sektori ebapiisavale kompetentsile, puudulikule analüüsile ja vähesele läbipaistvusele. Senise praktika jätkamisel on suur risk, et tehtavate </w:t>
      </w:r>
      <w:r w:rsidRPr="00B70B75">
        <w:rPr>
          <w:sz w:val="23"/>
          <w:szCs w:val="23"/>
        </w:rPr>
        <w:t xml:space="preserve">PPP tehingute finantstingimused osutuvad ebamõistlikult kalliks võrrelduna alternatiividega (laen, kapitalirent, omafinantseering) või osutub PPP tehing muudes tingimustes ebamõistlikuks. </w:t>
      </w:r>
    </w:p>
    <w:p w:rsidR="002F4A30" w:rsidRPr="00B70B75" w:rsidRDefault="002F4A30" w:rsidP="002F4A30">
      <w:pPr>
        <w:rPr>
          <w:sz w:val="23"/>
          <w:szCs w:val="23"/>
        </w:rPr>
      </w:pPr>
      <w:r w:rsidRPr="00B70B75">
        <w:rPr>
          <w:sz w:val="23"/>
          <w:szCs w:val="23"/>
        </w:rPr>
        <w:t>Eeltoodust ei tohi teha järeldust, et PPP tehingud ongi ebamõistlikud ja riigile kahjulikud. PWC analüüsis erasektoriga tehingute majanduslikku mõju riigile võrreldes kolme võimaliku stsenaariumi rahavoogude nüüdispuhasväärtust (NPV, soodsaim on madalaima negatiivse NPV-ga stsenaarium) ning sai tulemuseks, et:</w:t>
      </w:r>
    </w:p>
    <w:p w:rsidR="002F4A30" w:rsidRPr="00B70B75" w:rsidRDefault="002F4A30" w:rsidP="002F4A30">
      <w:pPr>
        <w:pStyle w:val="ListParagraph"/>
        <w:numPr>
          <w:ilvl w:val="0"/>
          <w:numId w:val="24"/>
        </w:numPr>
        <w:spacing w:before="0" w:after="0"/>
        <w:ind w:left="567"/>
        <w:rPr>
          <w:sz w:val="23"/>
          <w:szCs w:val="23"/>
        </w:rPr>
      </w:pPr>
      <w:r w:rsidRPr="00B70B75">
        <w:rPr>
          <w:sz w:val="23"/>
          <w:szCs w:val="23"/>
        </w:rPr>
        <w:t xml:space="preserve">Ainult riigi omavahenditest portfelli kordategemisel oleks NPV 1773,2 mln </w:t>
      </w:r>
      <w:r>
        <w:rPr>
          <w:sz w:val="23"/>
          <w:szCs w:val="23"/>
        </w:rPr>
        <w:t>eurot</w:t>
      </w:r>
      <w:r w:rsidRPr="00B70B75">
        <w:rPr>
          <w:sz w:val="23"/>
          <w:szCs w:val="23"/>
        </w:rPr>
        <w:t>.</w:t>
      </w:r>
    </w:p>
    <w:p w:rsidR="002F4A30" w:rsidRPr="00B70B75" w:rsidRDefault="002F4A30" w:rsidP="002F4A30">
      <w:pPr>
        <w:pStyle w:val="ListParagraph"/>
        <w:numPr>
          <w:ilvl w:val="0"/>
          <w:numId w:val="24"/>
        </w:numPr>
        <w:spacing w:before="0" w:after="0"/>
        <w:ind w:left="567"/>
        <w:rPr>
          <w:sz w:val="23"/>
          <w:szCs w:val="23"/>
        </w:rPr>
      </w:pPr>
      <w:r w:rsidRPr="00B70B75">
        <w:rPr>
          <w:sz w:val="23"/>
          <w:szCs w:val="23"/>
        </w:rPr>
        <w:t>Rakendades erasektoriga koostööd vaid Tallinna ja Tartu büroodel</w:t>
      </w:r>
      <w:r w:rsidR="000E5304">
        <w:rPr>
          <w:sz w:val="23"/>
          <w:szCs w:val="23"/>
        </w:rPr>
        <w:t xml:space="preserve"> </w:t>
      </w:r>
      <w:r w:rsidRPr="00B70B75">
        <w:rPr>
          <w:sz w:val="23"/>
          <w:szCs w:val="23"/>
        </w:rPr>
        <w:t xml:space="preserve">kasutusrendi tehingutena oleks NPV 1827,3 mln </w:t>
      </w:r>
      <w:r>
        <w:rPr>
          <w:sz w:val="23"/>
          <w:szCs w:val="23"/>
        </w:rPr>
        <w:t>eurot</w:t>
      </w:r>
      <w:r w:rsidRPr="00B70B75">
        <w:rPr>
          <w:sz w:val="23"/>
          <w:szCs w:val="23"/>
        </w:rPr>
        <w:t>.</w:t>
      </w:r>
    </w:p>
    <w:p w:rsidR="002F4A30" w:rsidRPr="00B70B75" w:rsidRDefault="002F4A30" w:rsidP="002F4A30">
      <w:pPr>
        <w:pStyle w:val="ListParagraph"/>
        <w:numPr>
          <w:ilvl w:val="0"/>
          <w:numId w:val="24"/>
        </w:numPr>
        <w:spacing w:before="0" w:after="0"/>
        <w:ind w:left="567"/>
        <w:rPr>
          <w:sz w:val="23"/>
          <w:szCs w:val="23"/>
        </w:rPr>
      </w:pPr>
      <w:r w:rsidRPr="00B70B75">
        <w:rPr>
          <w:sz w:val="23"/>
          <w:szCs w:val="23"/>
        </w:rPr>
        <w:t xml:space="preserve">Kaasates lisaks ka PPP tehingud varadel, kus on mõistlik ja võimalik oleks NPV 1853,9 mln </w:t>
      </w:r>
      <w:r>
        <w:rPr>
          <w:sz w:val="23"/>
          <w:szCs w:val="23"/>
        </w:rPr>
        <w:t>eurot</w:t>
      </w:r>
      <w:r w:rsidRPr="00B70B75">
        <w:rPr>
          <w:sz w:val="23"/>
          <w:szCs w:val="23"/>
        </w:rPr>
        <w:t xml:space="preserve">. </w:t>
      </w:r>
    </w:p>
    <w:p w:rsidR="002F4A30" w:rsidRDefault="002F4A30" w:rsidP="002F4A30">
      <w:pPr>
        <w:rPr>
          <w:sz w:val="23"/>
          <w:szCs w:val="23"/>
        </w:rPr>
      </w:pPr>
      <w:r w:rsidRPr="00B70B75">
        <w:rPr>
          <w:sz w:val="23"/>
          <w:szCs w:val="23"/>
        </w:rPr>
        <w:t xml:space="preserve">Rahandusministeeriumi hinnangul on erinevused stsenaariumite NPV-des ehk erasektori kaasamisest tulenev lisakulu (alla 5%) väiksem kui sellest tulenev võimalik kasu. </w:t>
      </w:r>
    </w:p>
    <w:p w:rsidR="002F4A30" w:rsidRPr="00B70B75" w:rsidRDefault="002F4A30" w:rsidP="002F4A30">
      <w:pPr>
        <w:rPr>
          <w:sz w:val="23"/>
          <w:szCs w:val="23"/>
        </w:rPr>
      </w:pPr>
      <w:r w:rsidRPr="00B70B75">
        <w:rPr>
          <w:sz w:val="23"/>
          <w:szCs w:val="23"/>
        </w:rPr>
        <w:t xml:space="preserve">Erasektoriga ulatuslikus mahus tehingute korraldamine hõlmab endas tõepoolest riske, millest mitmed on ka varasemates avaliku sektori tehtud tehingutes realiseerunud. Neid </w:t>
      </w:r>
      <w:r w:rsidRPr="00B70B75">
        <w:rPr>
          <w:b/>
          <w:sz w:val="23"/>
          <w:szCs w:val="23"/>
        </w:rPr>
        <w:t>riske saab maandada</w:t>
      </w:r>
      <w:r w:rsidRPr="00B70B75">
        <w:rPr>
          <w:sz w:val="23"/>
          <w:szCs w:val="23"/>
        </w:rPr>
        <w:t xml:space="preserve"> </w:t>
      </w:r>
      <w:r w:rsidRPr="00B70B75">
        <w:rPr>
          <w:sz w:val="23"/>
          <w:szCs w:val="23"/>
          <w:u w:val="single"/>
        </w:rPr>
        <w:t>täpsemate analüüside koostamisega</w:t>
      </w:r>
      <w:r w:rsidRPr="00B70B75">
        <w:rPr>
          <w:sz w:val="23"/>
          <w:szCs w:val="23"/>
        </w:rPr>
        <w:t xml:space="preserve"> tehingute detailsemaks struktureerimiseks. Põhjalikult ettevalmistamata tehingud võivad omada negatiivset efekti läbi </w:t>
      </w:r>
      <w:r w:rsidRPr="00B70B75">
        <w:rPr>
          <w:bCs/>
          <w:sz w:val="23"/>
          <w:szCs w:val="23"/>
        </w:rPr>
        <w:t xml:space="preserve">ebamõistlikult kõrge rahakulu </w:t>
      </w:r>
      <w:r w:rsidRPr="00B70B75">
        <w:rPr>
          <w:sz w:val="23"/>
          <w:szCs w:val="23"/>
        </w:rPr>
        <w:t xml:space="preserve">või ka läbi </w:t>
      </w:r>
      <w:r w:rsidRPr="00B70B75">
        <w:rPr>
          <w:bCs/>
          <w:sz w:val="23"/>
          <w:szCs w:val="23"/>
        </w:rPr>
        <w:t xml:space="preserve">avalike teenuste piiratuse </w:t>
      </w:r>
      <w:r w:rsidRPr="00B70B75">
        <w:rPr>
          <w:sz w:val="23"/>
          <w:szCs w:val="23"/>
        </w:rPr>
        <w:t xml:space="preserve">tulevikus. Samuti võivad kaasneda kaudsed negatiivsed efektid majandusele </w:t>
      </w:r>
      <w:r w:rsidRPr="00B70B75">
        <w:rPr>
          <w:bCs/>
          <w:sz w:val="23"/>
          <w:szCs w:val="23"/>
        </w:rPr>
        <w:t xml:space="preserve">vabaturu </w:t>
      </w:r>
      <w:r w:rsidRPr="00B70B75">
        <w:rPr>
          <w:sz w:val="23"/>
          <w:szCs w:val="23"/>
        </w:rPr>
        <w:t xml:space="preserve">tahtmatu </w:t>
      </w:r>
      <w:r w:rsidRPr="00B70B75">
        <w:rPr>
          <w:bCs/>
          <w:sz w:val="23"/>
          <w:szCs w:val="23"/>
        </w:rPr>
        <w:t>moonutamisega</w:t>
      </w:r>
      <w:r w:rsidRPr="00B70B75">
        <w:rPr>
          <w:sz w:val="23"/>
          <w:szCs w:val="23"/>
        </w:rPr>
        <w:t xml:space="preserve">. Selleks, et võimalikke negatiivseid efekte minimeerida tuleks riigil </w:t>
      </w:r>
      <w:r w:rsidRPr="00B70B75">
        <w:rPr>
          <w:sz w:val="23"/>
          <w:szCs w:val="23"/>
          <w:u w:val="single"/>
        </w:rPr>
        <w:t>alustada eelkõige lihtsamatest tehingutest</w:t>
      </w:r>
      <w:r w:rsidRPr="00B70B75">
        <w:rPr>
          <w:sz w:val="23"/>
          <w:szCs w:val="23"/>
        </w:rPr>
        <w:t>. Praktika väljakujunemisel tuleks seda kohandada keerulisematesse valdkondadesse ning võimalusel üle kanda väiksematesse tehingutesse (positiivsete mõjude maksimeerimiseks), mida üksikult tehingu halduskoormuse tõttu ei ole mõistlik teostada.</w:t>
      </w:r>
    </w:p>
    <w:p w:rsidR="002F4A30" w:rsidRPr="00B70B75" w:rsidRDefault="002F4A30" w:rsidP="002F4A30">
      <w:pPr>
        <w:rPr>
          <w:sz w:val="23"/>
          <w:szCs w:val="23"/>
        </w:rPr>
      </w:pPr>
      <w:r w:rsidRPr="00B70B75">
        <w:rPr>
          <w:sz w:val="23"/>
          <w:szCs w:val="23"/>
        </w:rPr>
        <w:t>Siinjuures on mõistlik koondada riigis tekkiv vastav teadmine ja kogemus ühte kohta.</w:t>
      </w:r>
    </w:p>
    <w:p w:rsidR="002F4A30" w:rsidRPr="00B70B75" w:rsidRDefault="002F4A30" w:rsidP="002F4A30">
      <w:pPr>
        <w:rPr>
          <w:sz w:val="23"/>
          <w:szCs w:val="23"/>
        </w:rPr>
      </w:pPr>
      <w:r w:rsidRPr="00B70B75">
        <w:rPr>
          <w:sz w:val="23"/>
          <w:szCs w:val="23"/>
        </w:rPr>
        <w:t xml:space="preserve">Tänane PPP õiguslik ja praktiline baas ei toeta soodsa maksumuse kujunemist. Odavamate ja riskivabamate PPP tehingute saavutamine on võimalik luues keskkonna (muudatused õigusaktides, standardne leping, pikaajaline programm), mis vastab enam riigi ja erasektori vajadustele. </w:t>
      </w:r>
      <w:r w:rsidRPr="00B70B75">
        <w:rPr>
          <w:sz w:val="23"/>
          <w:szCs w:val="23"/>
          <w:u w:val="single"/>
        </w:rPr>
        <w:t>Enne PPP rakendamiseks vajaliku keskkonna valmimist PPP tehinguid ei tehta.</w:t>
      </w:r>
      <w:r w:rsidR="000E5304">
        <w:rPr>
          <w:sz w:val="23"/>
          <w:szCs w:val="23"/>
        </w:rPr>
        <w:t xml:space="preserve"> </w:t>
      </w:r>
      <w:r w:rsidRPr="00B70B75">
        <w:rPr>
          <w:sz w:val="23"/>
          <w:szCs w:val="23"/>
        </w:rPr>
        <w:t>Keskkonna kujundamine võtab vähemalt kaks aastat. Ka peale selle valmimist võib PPP tehingusse minna ainult siis, kui see vastab valitseja vajadustele ning on finantsiliselt mõistlikel tingimustel.</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37" w:name="_Toc433915033"/>
      <w:bookmarkStart w:id="38" w:name="_Toc433980670"/>
      <w:r w:rsidRPr="005B2CCA">
        <w:rPr>
          <w:rFonts w:ascii="Times New Roman" w:hAnsi="Times New Roman" w:cs="Times New Roman"/>
          <w:b/>
          <w:sz w:val="23"/>
          <w:szCs w:val="23"/>
        </w:rPr>
        <w:t>KKK (korduvalt küsitud küsimused) rahastamise võimaluste kohta</w:t>
      </w:r>
      <w:bookmarkEnd w:id="37"/>
      <w:bookmarkEnd w:id="38"/>
    </w:p>
    <w:p w:rsidR="002F4A30" w:rsidRPr="00B70B75" w:rsidRDefault="002F4A30" w:rsidP="002F4A30">
      <w:pPr>
        <w:rPr>
          <w:b/>
          <w:sz w:val="23"/>
          <w:szCs w:val="23"/>
        </w:rPr>
      </w:pPr>
      <w:r w:rsidRPr="00B70B75">
        <w:rPr>
          <w:b/>
          <w:sz w:val="23"/>
          <w:szCs w:val="23"/>
        </w:rPr>
        <w:t xml:space="preserve">1. Miks ei kasutata investeerimisel odavat riigilaenu? </w:t>
      </w:r>
    </w:p>
    <w:p w:rsidR="002F4A30" w:rsidRPr="00B70B75" w:rsidRDefault="002F4A30" w:rsidP="002F4A30">
      <w:pPr>
        <w:rPr>
          <w:sz w:val="23"/>
          <w:szCs w:val="23"/>
        </w:rPr>
      </w:pPr>
      <w:r w:rsidRPr="00B70B75">
        <w:rPr>
          <w:sz w:val="23"/>
          <w:szCs w:val="23"/>
        </w:rPr>
        <w:t>Riigirahanduse põhieesmärk on hoida valitsussektori tasakaalu ja vältida valitsussektori võlakoormuse kasvu. Riigilaenuga tehtud investeeringud mõjutavad mõlemat, see tähendab, et laenu võtmine ei lahenda ka nn tasakaalu probleemi ja ikkagi piirab investeeringute mahtu.</w:t>
      </w:r>
      <w:r w:rsidR="000E5304">
        <w:rPr>
          <w:sz w:val="23"/>
          <w:szCs w:val="23"/>
        </w:rPr>
        <w:t xml:space="preserve"> </w:t>
      </w:r>
    </w:p>
    <w:p w:rsidR="002F4A30" w:rsidRPr="00B70B75" w:rsidRDefault="002F4A30" w:rsidP="002F4A30">
      <w:pPr>
        <w:rPr>
          <w:b/>
          <w:sz w:val="23"/>
          <w:szCs w:val="23"/>
        </w:rPr>
      </w:pPr>
      <w:r w:rsidRPr="00B70B75">
        <w:rPr>
          <w:b/>
          <w:sz w:val="23"/>
          <w:szCs w:val="23"/>
        </w:rPr>
        <w:t>2.</w:t>
      </w:r>
      <w:r w:rsidRPr="00B70B75">
        <w:rPr>
          <w:sz w:val="23"/>
          <w:szCs w:val="23"/>
        </w:rPr>
        <w:t xml:space="preserve"> </w:t>
      </w:r>
      <w:r w:rsidRPr="00B70B75">
        <w:rPr>
          <w:b/>
          <w:sz w:val="23"/>
          <w:szCs w:val="23"/>
        </w:rPr>
        <w:t>Miks eeldatakse, et kui hoone jääb riigi omandisse, siis valitseja ei tee hoonetele remonti ja kasutab neid kapitaalremondist-kapitaalremonti?</w:t>
      </w:r>
    </w:p>
    <w:p w:rsidR="002F4A30" w:rsidRPr="00B70B75" w:rsidRDefault="002F4A30" w:rsidP="002F4A30">
      <w:pPr>
        <w:rPr>
          <w:sz w:val="23"/>
          <w:szCs w:val="23"/>
        </w:rPr>
      </w:pPr>
      <w:r w:rsidRPr="00B70B75">
        <w:rPr>
          <w:sz w:val="23"/>
          <w:szCs w:val="23"/>
        </w:rPr>
        <w:t>Praktikas on see väga tõenäoline. Üks põhjuseid, miks RKAS loodi, oli muuta olukorda, kus peale hoone valmimist unustati igapäevane korrashoid ja lisavahendid suunati palkadeks või investeeringuteks, mis ei olnud seotud hoone seisundi säilitamisega. Kahjuks ka täna on tavaline, et valitsejad püüavad RKAS</w:t>
      </w:r>
      <w:r>
        <w:rPr>
          <w:sz w:val="23"/>
          <w:szCs w:val="23"/>
        </w:rPr>
        <w:t>-</w:t>
      </w:r>
      <w:r w:rsidRPr="00B70B75">
        <w:rPr>
          <w:sz w:val="23"/>
          <w:szCs w:val="23"/>
        </w:rPr>
        <w:t xml:space="preserve">i remondivahendeid suunata uute hoonete investeeringuteks vms. </w:t>
      </w:r>
    </w:p>
    <w:p w:rsidR="002F4A30" w:rsidRPr="00B70B75" w:rsidRDefault="002F4A30" w:rsidP="002F4A30">
      <w:pPr>
        <w:rPr>
          <w:b/>
          <w:sz w:val="23"/>
          <w:szCs w:val="23"/>
        </w:rPr>
      </w:pPr>
      <w:r w:rsidRPr="00B70B75">
        <w:rPr>
          <w:b/>
          <w:sz w:val="23"/>
          <w:szCs w:val="23"/>
        </w:rPr>
        <w:t>3. Miks valitseja peab PPP jt tehinguid tegema RKAS-i kaudu, miks mitte ise teha?</w:t>
      </w:r>
    </w:p>
    <w:p w:rsidR="002F4A30" w:rsidRDefault="002F4A30" w:rsidP="002F4A30">
      <w:pPr>
        <w:rPr>
          <w:sz w:val="23"/>
          <w:szCs w:val="23"/>
        </w:rPr>
      </w:pPr>
      <w:r w:rsidRPr="00B70B75">
        <w:rPr>
          <w:sz w:val="23"/>
          <w:szCs w:val="23"/>
        </w:rPr>
        <w:t xml:space="preserve">PPP tehingud on ja jäävad keerulisteks ning pidevat praktikat nõudvateks tehinguteks. Ei ole otstarbekas pidada üleval mitut PPP kompetentsikeskust. RKAS-i kaasamise ulatust ja selle alternatiive tuleb kindlasti veel detailsemalt analüüsida. Teiseks oluliseks aspektiks on erinevate varade koondamine sobivateks ja riigile maksimaalset lisaväärtust loovateks portfellideks. </w:t>
      </w:r>
    </w:p>
    <w:p w:rsidR="002F4A30" w:rsidRPr="00B70B75" w:rsidRDefault="002F4A30" w:rsidP="002F4A30">
      <w:pPr>
        <w:rPr>
          <w:b/>
          <w:sz w:val="23"/>
          <w:szCs w:val="23"/>
        </w:rPr>
      </w:pPr>
      <w:r w:rsidRPr="00B70B75">
        <w:rPr>
          <w:b/>
          <w:sz w:val="23"/>
          <w:szCs w:val="23"/>
        </w:rPr>
        <w:t>4.</w:t>
      </w:r>
      <w:r w:rsidRPr="00B70B75">
        <w:rPr>
          <w:sz w:val="23"/>
          <w:szCs w:val="23"/>
        </w:rPr>
        <w:t xml:space="preserve"> </w:t>
      </w:r>
      <w:r w:rsidRPr="00B70B75">
        <w:rPr>
          <w:b/>
          <w:sz w:val="23"/>
          <w:szCs w:val="23"/>
        </w:rPr>
        <w:t>Mis on risk, et valitsussektori tasakaalu mittemõjutavad tehingud kunagi hiljem ikkagi tasakaaluarvestuses üles võetakse?</w:t>
      </w:r>
    </w:p>
    <w:p w:rsidR="002F4A30" w:rsidRPr="00B70B75" w:rsidRDefault="002F4A30" w:rsidP="002F4A30">
      <w:pPr>
        <w:rPr>
          <w:sz w:val="23"/>
          <w:szCs w:val="23"/>
        </w:rPr>
      </w:pPr>
      <w:r w:rsidRPr="00B70B75">
        <w:rPr>
          <w:sz w:val="23"/>
          <w:szCs w:val="23"/>
        </w:rPr>
        <w:t>Riski vältimiseks tuleb teha lepingud kooskõlas ESA 2010 juhenditega. Olulisematele lepingutele saab küsida Statistikaameti mittesiduvat eelhinnangut. Statistikaamet annab lõpphinnangu pärast lepingu sõlmimist. Vaatamata sellele on olemas väike tõenäosus, et ESA hindab hiljem lepingud ümber või muutub vastav ESA regulatsioon.</w:t>
      </w:r>
      <w:r w:rsidR="000E5304">
        <w:rPr>
          <w:sz w:val="23"/>
          <w:szCs w:val="23"/>
        </w:rPr>
        <w:t xml:space="preserve"> </w:t>
      </w:r>
    </w:p>
    <w:p w:rsidR="002F4A30" w:rsidRPr="00B70B75" w:rsidRDefault="002F4A30" w:rsidP="002F4A30">
      <w:pPr>
        <w:rPr>
          <w:b/>
          <w:sz w:val="23"/>
          <w:szCs w:val="23"/>
        </w:rPr>
      </w:pPr>
      <w:r w:rsidRPr="00B70B75">
        <w:rPr>
          <w:b/>
          <w:sz w:val="23"/>
          <w:szCs w:val="23"/>
        </w:rPr>
        <w:t xml:space="preserve">5. Kas RKAS on vaja ümber kujundada? </w:t>
      </w:r>
    </w:p>
    <w:p w:rsidR="002F4A30" w:rsidRPr="00B70B75" w:rsidRDefault="002F4A30" w:rsidP="002F4A30">
      <w:pPr>
        <w:rPr>
          <w:sz w:val="23"/>
          <w:szCs w:val="23"/>
        </w:rPr>
      </w:pPr>
      <w:r w:rsidRPr="00B70B75">
        <w:rPr>
          <w:sz w:val="23"/>
          <w:szCs w:val="23"/>
        </w:rPr>
        <w:t>RKAS-i võimaliku ümberkujundamisega kaasnevate võimaluste analüüsi viis läbi PWC, kes võttis aluseks advokaadibüroo Raidla Lejins &amp; Norcus (RLN) vastavas analüüsis esitatud struktuurid, mis vähemalt teoreetiliselt tooksid kaasa ümberkujundatud üksuste kajastamise tasakaaluarvestuse väliselt. PWC jõudis järeldusele, et ükski struktuur ei anna olulisi argumente nendega edasi liikumisel, mistõttu soovitati sellistest kavadest loobuda.</w:t>
      </w:r>
    </w:p>
    <w:p w:rsidR="002F4A30" w:rsidRPr="00B70B75" w:rsidRDefault="002F4A30" w:rsidP="0088490D">
      <w:pPr>
        <w:pStyle w:val="Heading1"/>
        <w:keepLines w:val="0"/>
        <w:numPr>
          <w:ilvl w:val="0"/>
          <w:numId w:val="71"/>
        </w:numPr>
        <w:spacing w:before="360" w:after="0"/>
        <w:jc w:val="left"/>
        <w:rPr>
          <w:sz w:val="23"/>
          <w:szCs w:val="23"/>
          <w:u w:val="single"/>
        </w:rPr>
      </w:pPr>
      <w:bookmarkStart w:id="39" w:name="_Toc426060350"/>
      <w:bookmarkStart w:id="40" w:name="_Toc433915034"/>
      <w:bookmarkStart w:id="41" w:name="_Toc433980671"/>
      <w:r w:rsidRPr="00B70B75">
        <w:rPr>
          <w:sz w:val="23"/>
          <w:szCs w:val="23"/>
          <w:u w:val="single"/>
        </w:rPr>
        <w:t>Edasised tegevused riigi hoonestatud kinnisvara valitsemise parendamiseks</w:t>
      </w:r>
      <w:bookmarkEnd w:id="39"/>
      <w:bookmarkEnd w:id="40"/>
      <w:bookmarkEnd w:id="41"/>
      <w:r w:rsidRPr="00B70B75">
        <w:rPr>
          <w:sz w:val="23"/>
          <w:szCs w:val="23"/>
          <w:u w:val="single"/>
        </w:rPr>
        <w:t xml:space="preserv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42" w:name="_Toc426060351"/>
      <w:bookmarkStart w:id="43" w:name="_Toc433915035"/>
      <w:bookmarkStart w:id="44" w:name="_Toc433980672"/>
      <w:r w:rsidRPr="005B2CCA">
        <w:rPr>
          <w:rFonts w:ascii="Times New Roman" w:hAnsi="Times New Roman" w:cs="Times New Roman"/>
          <w:b/>
          <w:sz w:val="23"/>
          <w:szCs w:val="23"/>
        </w:rPr>
        <w:t>Riigi hoonestatud kinnisvarakeskkonna strateegia</w:t>
      </w:r>
      <w:r w:rsidR="000E5304" w:rsidRPr="005B2CCA">
        <w:rPr>
          <w:rFonts w:ascii="Times New Roman" w:hAnsi="Times New Roman" w:cs="Times New Roman"/>
          <w:b/>
          <w:sz w:val="23"/>
          <w:szCs w:val="23"/>
        </w:rPr>
        <w:t xml:space="preserve"> </w:t>
      </w:r>
      <w:r w:rsidRPr="005B2CCA">
        <w:rPr>
          <w:rFonts w:ascii="Times New Roman" w:hAnsi="Times New Roman" w:cs="Times New Roman"/>
          <w:b/>
          <w:sz w:val="23"/>
          <w:szCs w:val="23"/>
        </w:rPr>
        <w:t>uuendamine</w:t>
      </w:r>
      <w:bookmarkEnd w:id="42"/>
      <w:bookmarkEnd w:id="43"/>
      <w:bookmarkEnd w:id="44"/>
    </w:p>
    <w:p w:rsidR="002F4A30" w:rsidRDefault="002F4A30" w:rsidP="002F4A30">
      <w:pPr>
        <w:rPr>
          <w:b/>
          <w:sz w:val="23"/>
          <w:szCs w:val="23"/>
        </w:rPr>
      </w:pPr>
      <w:r w:rsidRPr="009D4D1A">
        <w:rPr>
          <w:sz w:val="23"/>
          <w:szCs w:val="23"/>
        </w:rPr>
        <w:t xml:space="preserve">Riigi kinnisvarategevuse strateegia nimi loob ootused, et tegemist on ulatusliku ja kogu riigi (avaliku sektori) kinnisvaraga seotud tegevusi hõlmava strateegiaga, kuid sisuliselt on siiski tegemist oluliselt kitsama strateegiaga: </w:t>
      </w:r>
      <w:r w:rsidRPr="009D4D1A">
        <w:rPr>
          <w:b/>
          <w:sz w:val="23"/>
          <w:szCs w:val="23"/>
        </w:rPr>
        <w:t xml:space="preserve">riigiasutuste põhitegevuseks vajalike hoonete juhtimise strateegiaga, sedagi eelkõige riigi kui kinnisvara kasutaja, mitte omaniku vaatenurgast. </w:t>
      </w:r>
    </w:p>
    <w:p w:rsidR="002F4A30" w:rsidRPr="009D4D1A" w:rsidRDefault="002F4A30" w:rsidP="002F4A30">
      <w:pPr>
        <w:rPr>
          <w:sz w:val="23"/>
          <w:szCs w:val="23"/>
        </w:rPr>
      </w:pPr>
      <w:r>
        <w:rPr>
          <w:rFonts w:eastAsia="Microsoft YaHei"/>
          <w:sz w:val="23"/>
          <w:szCs w:val="23"/>
        </w:rPr>
        <w:t>Riigi kinnisvaras</w:t>
      </w:r>
      <w:r w:rsidRPr="009D4D1A">
        <w:rPr>
          <w:rFonts w:eastAsia="Microsoft YaHei"/>
          <w:sz w:val="23"/>
          <w:szCs w:val="23"/>
        </w:rPr>
        <w:t>trateegia ei erista riigi kui kinnisvara omaniku ja riigi kui kinnisvara kasutaja erinevaid eesmärke</w:t>
      </w:r>
      <w:r w:rsidRPr="009D4D1A">
        <w:rPr>
          <w:sz w:val="23"/>
          <w:szCs w:val="23"/>
        </w:rPr>
        <w:t>: strateegia küll märgib omaniku ja kasutaja erinevaid huvisid (</w:t>
      </w:r>
      <w:r w:rsidRPr="009D4D1A">
        <w:rPr>
          <w:rFonts w:eastAsia="Microsoft YaHei"/>
          <w:sz w:val="23"/>
          <w:szCs w:val="23"/>
        </w:rPr>
        <w:t>omanik</w:t>
      </w:r>
      <w:r w:rsidRPr="009D4D1A">
        <w:rPr>
          <w:sz w:val="23"/>
          <w:szCs w:val="23"/>
        </w:rPr>
        <w:t xml:space="preserve">u huvi </w:t>
      </w:r>
      <w:r w:rsidRPr="009D4D1A">
        <w:rPr>
          <w:rFonts w:eastAsia="Microsoft YaHei"/>
          <w:sz w:val="23"/>
          <w:szCs w:val="23"/>
        </w:rPr>
        <w:t>– teenida kasumit, hoida väärtust ja kasutaja rahulolu</w:t>
      </w:r>
      <w:r w:rsidRPr="009D4D1A">
        <w:rPr>
          <w:sz w:val="23"/>
          <w:szCs w:val="23"/>
        </w:rPr>
        <w:t xml:space="preserve">, kasutaja huvi – saada </w:t>
      </w:r>
      <w:r w:rsidRPr="009D4D1A">
        <w:rPr>
          <w:rFonts w:eastAsia="Microsoft YaHei"/>
          <w:sz w:val="23"/>
          <w:szCs w:val="23"/>
        </w:rPr>
        <w:t>optimaalne ruum soodsa hinnaga</w:t>
      </w:r>
      <w:r w:rsidRPr="009D4D1A">
        <w:rPr>
          <w:sz w:val="23"/>
          <w:szCs w:val="23"/>
        </w:rPr>
        <w:t xml:space="preserve">), kuid ta ei sea neile eraldi eesmärke, mistõttu on strateegiasse sisse kirjutatud mitmeid huvide konflikte. </w:t>
      </w:r>
    </w:p>
    <w:p w:rsidR="002F4A30" w:rsidRPr="009D4D1A" w:rsidRDefault="002F4A30" w:rsidP="002F4A30">
      <w:pPr>
        <w:pStyle w:val="Loend1"/>
        <w:rPr>
          <w:rFonts w:ascii="Times New Roman" w:hAnsi="Times New Roman"/>
          <w:sz w:val="23"/>
          <w:szCs w:val="23"/>
        </w:rPr>
      </w:pPr>
      <w:r w:rsidRPr="009D4D1A">
        <w:rPr>
          <w:rFonts w:ascii="Times New Roman" w:hAnsi="Times New Roman"/>
          <w:sz w:val="23"/>
          <w:szCs w:val="23"/>
        </w:rPr>
        <w:t>RKAS kui kinnisvara omanik ei saa olla üheaegselt turul konkureeriv kinnisvarateenuste pakkuja ja riigi kui üürniku huve kaitsev nõustaja.</w:t>
      </w:r>
    </w:p>
    <w:p w:rsidR="002F4A30" w:rsidRPr="009D4D1A" w:rsidRDefault="002F4A30" w:rsidP="002F4A30">
      <w:pPr>
        <w:pStyle w:val="Loend1"/>
        <w:rPr>
          <w:rFonts w:ascii="Times New Roman" w:hAnsi="Times New Roman"/>
          <w:b/>
          <w:sz w:val="23"/>
          <w:szCs w:val="23"/>
        </w:rPr>
      </w:pPr>
      <w:r w:rsidRPr="009D4D1A">
        <w:rPr>
          <w:rFonts w:ascii="Times New Roman" w:hAnsi="Times New Roman"/>
          <w:sz w:val="23"/>
          <w:szCs w:val="23"/>
        </w:rPr>
        <w:t xml:space="preserve">Riigil on keerukas hoida kokku eelarvekulusid, samal ajal kaitstes muinsuskaitselist pärandit, millega kaasnevad lisakulude tegemise vajadused ja järgides EL rahastamise reegleid, mis on reeglina suunatud ühe või teise valdkondliku eesmärgi tõhusale täitmisele. </w:t>
      </w:r>
    </w:p>
    <w:p w:rsidR="002F4A30" w:rsidRPr="009D4D1A" w:rsidRDefault="002F4A30" w:rsidP="002F4A30">
      <w:pPr>
        <w:pStyle w:val="Loend1"/>
        <w:numPr>
          <w:ilvl w:val="0"/>
          <w:numId w:val="0"/>
        </w:numPr>
        <w:rPr>
          <w:rFonts w:ascii="Times New Roman" w:hAnsi="Times New Roman"/>
          <w:sz w:val="23"/>
          <w:szCs w:val="23"/>
        </w:rPr>
      </w:pPr>
      <w:r w:rsidRPr="009D4D1A">
        <w:rPr>
          <w:rFonts w:ascii="Times New Roman" w:hAnsi="Times New Roman"/>
          <w:sz w:val="23"/>
          <w:szCs w:val="23"/>
        </w:rPr>
        <w:t>Riigi kinnisvarastrateegia ei ole piisavalt tihedalt seostatud teiste oluliste poliitikatega, senisest tihedama sünergia loomine oleks vajalik:</w:t>
      </w:r>
    </w:p>
    <w:p w:rsidR="002F4A30" w:rsidRPr="009D4D1A" w:rsidRDefault="002F4A30" w:rsidP="002F4A30">
      <w:pPr>
        <w:pStyle w:val="Loend1"/>
        <w:ind w:left="717" w:hanging="360"/>
        <w:rPr>
          <w:rFonts w:ascii="Times New Roman" w:hAnsi="Times New Roman"/>
          <w:sz w:val="23"/>
          <w:szCs w:val="23"/>
        </w:rPr>
      </w:pPr>
      <w:r w:rsidRPr="009D4D1A">
        <w:rPr>
          <w:rFonts w:ascii="Times New Roman" w:hAnsi="Times New Roman"/>
          <w:sz w:val="23"/>
          <w:szCs w:val="23"/>
        </w:rPr>
        <w:t xml:space="preserve">riigi arhitektuuripoliitikaga ja riigi muinsuskaitsepoliitikaga, </w:t>
      </w:r>
    </w:p>
    <w:p w:rsidR="002F4A30" w:rsidRPr="009D4D1A" w:rsidRDefault="002F4A30" w:rsidP="002F4A30">
      <w:pPr>
        <w:pStyle w:val="Loend1"/>
        <w:ind w:left="717" w:hanging="360"/>
        <w:rPr>
          <w:rFonts w:ascii="Times New Roman" w:hAnsi="Times New Roman"/>
          <w:sz w:val="23"/>
          <w:szCs w:val="23"/>
        </w:rPr>
      </w:pPr>
      <w:r w:rsidRPr="009D4D1A">
        <w:rPr>
          <w:rFonts w:ascii="Times New Roman" w:hAnsi="Times New Roman"/>
          <w:sz w:val="23"/>
          <w:szCs w:val="23"/>
        </w:rPr>
        <w:t>riigi eelarvepoliitika ja riigi tugitegevuste poliitikaga,</w:t>
      </w:r>
    </w:p>
    <w:p w:rsidR="002F4A30" w:rsidRPr="009D4D1A" w:rsidRDefault="002F4A30" w:rsidP="002F4A30">
      <w:pPr>
        <w:pStyle w:val="Loend1"/>
        <w:ind w:left="717" w:hanging="360"/>
        <w:rPr>
          <w:rFonts w:ascii="Times New Roman" w:hAnsi="Times New Roman"/>
          <w:sz w:val="23"/>
          <w:szCs w:val="23"/>
        </w:rPr>
      </w:pPr>
      <w:r w:rsidRPr="009D4D1A">
        <w:rPr>
          <w:rFonts w:ascii="Times New Roman" w:hAnsi="Times New Roman"/>
          <w:sz w:val="23"/>
          <w:szCs w:val="23"/>
        </w:rPr>
        <w:t xml:space="preserve">riigihalduse ja regionaalpoliitikaga (riigireformiga). </w:t>
      </w:r>
    </w:p>
    <w:p w:rsidR="002F4A30" w:rsidRPr="00B70B75" w:rsidRDefault="002F4A30" w:rsidP="002F4A30">
      <w:pPr>
        <w:rPr>
          <w:sz w:val="23"/>
          <w:szCs w:val="23"/>
        </w:rPr>
      </w:pPr>
      <w:r w:rsidRPr="00B70B75">
        <w:rPr>
          <w:sz w:val="23"/>
          <w:szCs w:val="23"/>
        </w:rPr>
        <w:t xml:space="preserve">Riigi hoonestatud kinnisvara strateegia seoseid regionaalpoliitikaga ja riigihalduse poliitika saab tugevdada. Seoses valdkondade koondamisega riigihalduse ministri vastutusele on täna selleks paremad võimalused kui varem. </w:t>
      </w:r>
    </w:p>
    <w:p w:rsidR="002F4A30" w:rsidRPr="00B70B75" w:rsidRDefault="002F4A30" w:rsidP="002F4A30">
      <w:pPr>
        <w:rPr>
          <w:sz w:val="23"/>
          <w:szCs w:val="23"/>
        </w:rPr>
      </w:pPr>
      <w:r w:rsidRPr="00B70B75">
        <w:rPr>
          <w:sz w:val="23"/>
          <w:szCs w:val="23"/>
        </w:rPr>
        <w:t xml:space="preserve">Riigiasutuste paiknemisel puudub täna ühtne regionaalne lähenemine, kuid riigi tööjõuressursside ja kinnisvarakasutuse seisukohast oleks see vajalik. Riigimajade rajamine ja regionaalsete kohahaldusüksuste loomine peaks toimuma koordineeritult ja keskselt, see oleks otstarbekas alles peale regionaalsete haldusotsuste tegemist. </w:t>
      </w:r>
    </w:p>
    <w:p w:rsidR="002F4A30" w:rsidRPr="00B70B75" w:rsidRDefault="002F4A30" w:rsidP="002F4A30">
      <w:pPr>
        <w:rPr>
          <w:sz w:val="23"/>
          <w:szCs w:val="23"/>
        </w:rPr>
      </w:pPr>
      <w:r>
        <w:rPr>
          <w:sz w:val="23"/>
          <w:szCs w:val="23"/>
        </w:rPr>
        <w:t>U</w:t>
      </w:r>
      <w:r w:rsidRPr="00B70B75">
        <w:rPr>
          <w:sz w:val="23"/>
          <w:szCs w:val="23"/>
        </w:rPr>
        <w:t>mbes poolte maavalitsuste hooned RKAS-</w:t>
      </w:r>
      <w:r>
        <w:rPr>
          <w:sz w:val="23"/>
          <w:szCs w:val="23"/>
        </w:rPr>
        <w:t>i</w:t>
      </w:r>
      <w:r w:rsidRPr="00B70B75">
        <w:rPr>
          <w:sz w:val="23"/>
          <w:szCs w:val="23"/>
        </w:rPr>
        <w:t xml:space="preserve">le üle andmata, hoonete pinnakasutus on ebaefektiivne, samas on riigiasutuste töökeskkonna probleemid samas asukohas lahendamata. Nimetatud tegevuse tulemus on väga oluliseks sisendiks ka riigi hoonestatud kinnisvarareformi läbiviimisel ja riigi büroopindade optimeerimisel. </w:t>
      </w:r>
    </w:p>
    <w:p w:rsidR="002F4A30" w:rsidRPr="00B70B75" w:rsidRDefault="002F4A30" w:rsidP="002F4A30">
      <w:pPr>
        <w:spacing w:before="120" w:after="120"/>
        <w:rPr>
          <w:sz w:val="23"/>
          <w:szCs w:val="23"/>
        </w:rPr>
      </w:pPr>
      <w:r w:rsidRPr="00B70B75">
        <w:rPr>
          <w:sz w:val="23"/>
          <w:szCs w:val="23"/>
        </w:rPr>
        <w:t>Ilma kinnisvarareformi läbi viimiseta ei ole võimalik täita ka kõiki riigireformi eesmärke, samas tuleb riigi valitsemise ümberkorraldamisest oluline sisend kinnisvara optimeerimiskavade koostamiseks (riigi vajadused) näiteks allolevatest valitsuse tegevusprogrammis olevates ülesannetest:</w:t>
      </w:r>
    </w:p>
    <w:p w:rsidR="002F4A30" w:rsidRPr="00B70B75" w:rsidRDefault="002F4A30" w:rsidP="002F4A30">
      <w:pPr>
        <w:pStyle w:val="ListParagraph"/>
        <w:numPr>
          <w:ilvl w:val="1"/>
          <w:numId w:val="64"/>
        </w:numPr>
        <w:rPr>
          <w:sz w:val="23"/>
          <w:szCs w:val="23"/>
        </w:rPr>
      </w:pPr>
      <w:r w:rsidRPr="00B70B75">
        <w:rPr>
          <w:sz w:val="23"/>
          <w:szCs w:val="23"/>
        </w:rPr>
        <w:t>Rahandusministeeriumil koostöös valdkonna ministeeriumitega viia läbi valitsussektori asutuste ülesannete analüüs, sh käsitleda sihtasutusi ning välisvahendeid ja siseriiklikke toetusi jagavaid asutusi ja esitada ettepanekud struktuurseteks ümberkorraldusteks mais 2016. VVTP tegevus 4.5</w:t>
      </w:r>
    </w:p>
    <w:p w:rsidR="002F4A30" w:rsidRPr="00B70B75" w:rsidRDefault="002F4A30" w:rsidP="002F4A30">
      <w:pPr>
        <w:pStyle w:val="ListParagraph"/>
        <w:numPr>
          <w:ilvl w:val="1"/>
          <w:numId w:val="64"/>
        </w:numPr>
        <w:rPr>
          <w:sz w:val="23"/>
          <w:szCs w:val="23"/>
        </w:rPr>
      </w:pPr>
      <w:r w:rsidRPr="00B70B75">
        <w:rPr>
          <w:sz w:val="23"/>
          <w:szCs w:val="23"/>
        </w:rPr>
        <w:t>Ministeeriumitel analüüsida oma haldusalas kaugtöö korraldamisest saadavat majanduslikku ja regionaalpoliitilist kasu ning korraldada oma haldusalas kaugtöö võimalus hiljemalt 2016. VVTP tegevus 5.16</w:t>
      </w:r>
    </w:p>
    <w:p w:rsidR="002F4A30" w:rsidRPr="00B70B75" w:rsidRDefault="002F4A30" w:rsidP="002F4A30">
      <w:pPr>
        <w:pStyle w:val="ListParagraph"/>
        <w:numPr>
          <w:ilvl w:val="1"/>
          <w:numId w:val="64"/>
        </w:numPr>
        <w:rPr>
          <w:sz w:val="23"/>
          <w:szCs w:val="23"/>
        </w:rPr>
      </w:pPr>
      <w:r w:rsidRPr="00B70B75">
        <w:rPr>
          <w:sz w:val="23"/>
          <w:szCs w:val="23"/>
        </w:rPr>
        <w:t>Rahandusministeeriumil ja Majandus- ja Kommunikatsiooniministeeriumil koostöös valdkonna ministeeriumitega kaardistada riigi poolt pakutavad avalikud teenused ja koostöös vastutavate ministeeriumitega anda hinnang nende vajalikkusele ja ümberkorraldamise võimalustele, sh teenuste suunamisele e-kanalisse. Tegevus on muuhulgas vajalik tegevuspõhisele eelarvele üleminekuks. Tähtaeg november 2016. VVTP tegevus 4.6</w:t>
      </w:r>
    </w:p>
    <w:p w:rsidR="002F4A30" w:rsidRPr="004D3F94" w:rsidRDefault="002F4A30" w:rsidP="002F4A30">
      <w:pPr>
        <w:pStyle w:val="ListParagraph"/>
        <w:numPr>
          <w:ilvl w:val="1"/>
          <w:numId w:val="64"/>
        </w:numPr>
        <w:rPr>
          <w:sz w:val="23"/>
          <w:szCs w:val="23"/>
        </w:rPr>
      </w:pPr>
      <w:r w:rsidRPr="00B70B75">
        <w:rPr>
          <w:sz w:val="23"/>
          <w:szCs w:val="23"/>
          <w:lang w:eastAsia="en-US"/>
        </w:rPr>
        <w:t xml:space="preserve">Rahandusministeeriumil analüüsida kohaliku halduse reformi ettevalmistamise raames asutuste ja töötajate arvu vähenemise võimalusi kohalike omavalitsuste ühinemistel ja maavalitsuste tegevuste ümberkorraldamisel. Reformi elluviimisega alustatakse 2016. aastal ja elluviimise tähtaeg on 2018. </w:t>
      </w:r>
      <w:r w:rsidRPr="00B70B75">
        <w:rPr>
          <w:i/>
          <w:sz w:val="23"/>
          <w:szCs w:val="23"/>
        </w:rPr>
        <w:t>VVTP tegevus 4.37</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bookmarkStart w:id="45" w:name="_Toc433915036"/>
      <w:bookmarkStart w:id="46" w:name="_Toc433980673"/>
      <w:r w:rsidRPr="005B2CCA">
        <w:rPr>
          <w:rFonts w:ascii="Times New Roman" w:hAnsi="Times New Roman" w:cs="Times New Roman"/>
          <w:b/>
          <w:sz w:val="23"/>
          <w:szCs w:val="23"/>
        </w:rPr>
        <w:t>Riigi kinnisvarastrateegia elluviimist ja RKAS-ile varade üleandmist tuleb jätkata.</w:t>
      </w:r>
      <w:bookmarkEnd w:id="45"/>
      <w:bookmarkEnd w:id="46"/>
      <w:r w:rsidRPr="005B2CCA">
        <w:rPr>
          <w:rFonts w:ascii="Times New Roman" w:hAnsi="Times New Roman" w:cs="Times New Roman"/>
          <w:b/>
          <w:sz w:val="23"/>
          <w:szCs w:val="23"/>
        </w:rPr>
        <w:t xml:space="preserve"> </w:t>
      </w:r>
    </w:p>
    <w:p w:rsidR="002F4A30" w:rsidRPr="00B70B75" w:rsidRDefault="002F4A30" w:rsidP="0088490D">
      <w:pPr>
        <w:pStyle w:val="ListParagraph"/>
        <w:numPr>
          <w:ilvl w:val="0"/>
          <w:numId w:val="65"/>
        </w:numPr>
        <w:spacing w:after="0"/>
        <w:rPr>
          <w:sz w:val="23"/>
          <w:szCs w:val="23"/>
        </w:rPr>
      </w:pPr>
      <w:r w:rsidRPr="00B70B75">
        <w:rPr>
          <w:sz w:val="23"/>
          <w:szCs w:val="23"/>
        </w:rPr>
        <w:t xml:space="preserve">Tsentraliseeritud valitsemine on põhimõttena õige ja kooskõlas riigi tugitegevuste suundadega. See on eriti oluline väikeriikides, seda on kinnitanud välisriikide kogemus nii kinnisvara valitsemisel kui teiste tugitegevuste juhtimisel. Tuleb otsida võimalusi täiendavaks kompetentside dubleerimise vähendamiseks ja koondamiseks, nt riigi halduse ministri valitsemisealasse või riigi tugiteenuste keskusesse ja analüüsida võimalusi kasutada kompetentside koondamist veelgi laiemalt (SA, KOV). </w:t>
      </w:r>
    </w:p>
    <w:p w:rsidR="002F4A30" w:rsidRDefault="002F4A30" w:rsidP="002F4A30">
      <w:pPr>
        <w:pStyle w:val="ListParagraph"/>
        <w:numPr>
          <w:ilvl w:val="0"/>
          <w:numId w:val="63"/>
        </w:numPr>
        <w:rPr>
          <w:sz w:val="23"/>
          <w:szCs w:val="23"/>
        </w:rPr>
      </w:pPr>
      <w:r w:rsidRPr="00B70B75">
        <w:rPr>
          <w:sz w:val="23"/>
          <w:szCs w:val="23"/>
        </w:rPr>
        <w:t>Tsentraliseerimata ehk varasid RKAS-</w:t>
      </w:r>
      <w:r>
        <w:rPr>
          <w:sz w:val="23"/>
          <w:szCs w:val="23"/>
        </w:rPr>
        <w:t>i</w:t>
      </w:r>
      <w:r w:rsidRPr="00B70B75">
        <w:rPr>
          <w:sz w:val="23"/>
          <w:szCs w:val="23"/>
        </w:rPr>
        <w:t>le üle andmata</w:t>
      </w:r>
      <w:r w:rsidRPr="00B70B75">
        <w:rPr>
          <w:b/>
          <w:sz w:val="23"/>
          <w:szCs w:val="23"/>
        </w:rPr>
        <w:t xml:space="preserve"> ei teki võimalust portfelli optimeerimiseks valitsemisalade üleselt</w:t>
      </w:r>
      <w:r w:rsidRPr="00B70B75">
        <w:rPr>
          <w:sz w:val="23"/>
          <w:szCs w:val="23"/>
        </w:rPr>
        <w:t xml:space="preserve">, mis looks võimalusi pinnakasutuse tõhustamiseks. Valitsemisalade ülene optimeerimise potentsiaal </w:t>
      </w:r>
      <w:r w:rsidRPr="00B70B75">
        <w:rPr>
          <w:b/>
          <w:sz w:val="23"/>
          <w:szCs w:val="23"/>
        </w:rPr>
        <w:t>on kõige suurem büroopindadel</w:t>
      </w:r>
      <w:r w:rsidRPr="00B70B75">
        <w:rPr>
          <w:sz w:val="23"/>
          <w:szCs w:val="23"/>
        </w:rPr>
        <w:t xml:space="preserve">, kus on suurimad võimalused saavutada riigiülest sünergiat, eelkõige maakonnakeskustes. Praegune portfelli killustatus erinevate valitsejate vahel on loonud kahetsusväärseid tupikseise, kus ühes asukohas on riigil vajadus täiendava pinnakasutuse järele ja samal ajal ka vaba arendamist võimaldav vakantne pind olemas, kuid ühtse riigi huve esindava koordinaatori puudumise tõttu ei ole võimalik leida lahendust ei pinna vajadusele ega ka vakantsile. Selline määramatu olukord ei ole jätkusuutlik, kaotajaks on kõik riigi osapooled – pole töökeskkonda, pole hoonet ja lihtne on teha süüdlaseks RKAS-i suutmatus samal ajal kui probleem on jätkuvas otsustamatuses. </w:t>
      </w:r>
    </w:p>
    <w:p w:rsidR="002F4A30" w:rsidRPr="003728B5" w:rsidRDefault="002F4A30" w:rsidP="002F4A30">
      <w:pPr>
        <w:pStyle w:val="ListParagraph"/>
        <w:numPr>
          <w:ilvl w:val="0"/>
          <w:numId w:val="63"/>
        </w:numPr>
        <w:rPr>
          <w:sz w:val="23"/>
          <w:szCs w:val="23"/>
        </w:rPr>
      </w:pPr>
      <w:r w:rsidRPr="003728B5">
        <w:t>Riigi omandis olevate hoonete korrashoiu kvaliteet ei ilmuta paranemise märke, valitsejate huvi panustada korrashoiutegevustesse näib olevat tagasihoidlik</w:t>
      </w:r>
      <w:r>
        <w:t xml:space="preserve">. Kinnisvara haldamise alase kompetentsi tõstmine on vajalik, seda on otstarbekam teha tsentraalselt korraldatuna.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47" w:name="_Toc433915037"/>
      <w:bookmarkStart w:id="48" w:name="_Toc433980674"/>
      <w:r w:rsidRPr="005B2CCA">
        <w:rPr>
          <w:rFonts w:ascii="Times New Roman" w:hAnsi="Times New Roman" w:cs="Times New Roman"/>
          <w:b/>
          <w:sz w:val="23"/>
          <w:szCs w:val="23"/>
        </w:rPr>
        <w:t>Juhtimissüsteemi loomist ja rakendamist tuleb jätkata</w:t>
      </w:r>
      <w:bookmarkEnd w:id="47"/>
      <w:bookmarkEnd w:id="48"/>
    </w:p>
    <w:p w:rsidR="002F4A30" w:rsidRPr="00DF38F6" w:rsidRDefault="002F4A30" w:rsidP="002F4A30">
      <w:pPr>
        <w:rPr>
          <w:sz w:val="23"/>
          <w:szCs w:val="23"/>
        </w:rPr>
      </w:pPr>
      <w:r w:rsidRPr="00DF38F6">
        <w:rPr>
          <w:sz w:val="23"/>
          <w:szCs w:val="23"/>
        </w:rPr>
        <w:t>Reformi üks olulisi takistusi on olnud puudulik ja ebapiisavalt arendatud juhtimissüsteem, sh tuleb kriitiliselt üle vaadata RKAS-i toimemudel ja tegevuste tõhustamise võimalused.</w:t>
      </w:r>
    </w:p>
    <w:p w:rsidR="002F4A30" w:rsidRPr="00DF38F6" w:rsidRDefault="002F4A30" w:rsidP="002F4A30">
      <w:pPr>
        <w:rPr>
          <w:sz w:val="23"/>
          <w:szCs w:val="23"/>
        </w:rPr>
      </w:pPr>
      <w:r w:rsidRPr="00DF38F6">
        <w:rPr>
          <w:sz w:val="23"/>
          <w:szCs w:val="23"/>
        </w:rPr>
        <w:t xml:space="preserve">Peamised lahendamist vajavad probleemid tervikliku juhtimissüsteemi loomisel: </w:t>
      </w:r>
    </w:p>
    <w:p w:rsidR="002F4A30" w:rsidRPr="00DF38F6" w:rsidRDefault="002F4A30" w:rsidP="002F4A30">
      <w:pPr>
        <w:pStyle w:val="ListParagraph"/>
        <w:numPr>
          <w:ilvl w:val="0"/>
          <w:numId w:val="39"/>
        </w:numPr>
        <w:spacing w:before="0" w:after="0"/>
        <w:rPr>
          <w:sz w:val="23"/>
          <w:szCs w:val="23"/>
        </w:rPr>
      </w:pPr>
      <w:r w:rsidRPr="00DF38F6">
        <w:rPr>
          <w:sz w:val="23"/>
          <w:szCs w:val="23"/>
        </w:rPr>
        <w:t>Standardsete kinnisvara juhtimisprotsesside rakendamine.</w:t>
      </w:r>
    </w:p>
    <w:p w:rsidR="002F4A30" w:rsidRPr="00DF38F6" w:rsidRDefault="002F4A30" w:rsidP="002F4A30">
      <w:pPr>
        <w:pStyle w:val="ListParagraph"/>
        <w:numPr>
          <w:ilvl w:val="0"/>
          <w:numId w:val="39"/>
        </w:numPr>
        <w:spacing w:before="0" w:after="0"/>
        <w:rPr>
          <w:kern w:val="32"/>
          <w:sz w:val="23"/>
          <w:szCs w:val="23"/>
        </w:rPr>
      </w:pPr>
      <w:r w:rsidRPr="00DF38F6">
        <w:rPr>
          <w:kern w:val="32"/>
          <w:sz w:val="23"/>
          <w:szCs w:val="23"/>
        </w:rPr>
        <w:t>Kinnisvara juhtimisinfo ja infohalduse parendamine.</w:t>
      </w:r>
    </w:p>
    <w:p w:rsidR="002F4A30" w:rsidRPr="00DF38F6" w:rsidRDefault="002F4A30" w:rsidP="002F4A30">
      <w:pPr>
        <w:pStyle w:val="ListParagraph"/>
        <w:numPr>
          <w:ilvl w:val="0"/>
          <w:numId w:val="39"/>
        </w:numPr>
        <w:spacing w:before="0" w:after="0"/>
        <w:rPr>
          <w:kern w:val="32"/>
          <w:sz w:val="23"/>
          <w:szCs w:val="23"/>
        </w:rPr>
      </w:pPr>
      <w:r w:rsidRPr="00DF38F6">
        <w:rPr>
          <w:sz w:val="23"/>
          <w:szCs w:val="23"/>
        </w:rPr>
        <w:t>Kinnisvarakulude rahastamise põhimõtete loomine ja rakendamine.</w:t>
      </w:r>
    </w:p>
    <w:p w:rsidR="002F4A30" w:rsidRPr="00DF38F6" w:rsidRDefault="002F4A30" w:rsidP="002F4A30">
      <w:pPr>
        <w:rPr>
          <w:sz w:val="23"/>
          <w:szCs w:val="23"/>
        </w:rPr>
      </w:pPr>
      <w:r w:rsidRPr="00DF38F6">
        <w:rPr>
          <w:sz w:val="23"/>
          <w:szCs w:val="23"/>
        </w:rPr>
        <w:t>Kaasnevalt tuleb analüüsida, milliste riigi kinnisvara teenuste tellimise pädevust on otstarbekas konsolideerida riigiüleselt kas (esimese etapina) Rahandusministeeriumisse või (pikemas perspektiivis) RTK-sse. Selleks on vaja eelnevalt kirjeldada standardprotsessid ja teenused (võimalik 2016 lõpuks) ning viia sisse vastavad muudatused õigusaktides ja luua infosüsteemide tugi.</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49" w:name="_Toc433915038"/>
      <w:bookmarkStart w:id="50" w:name="_Toc433980675"/>
      <w:r w:rsidRPr="005B2CCA">
        <w:rPr>
          <w:rFonts w:ascii="Times New Roman" w:hAnsi="Times New Roman" w:cs="Times New Roman"/>
          <w:b/>
          <w:sz w:val="23"/>
          <w:szCs w:val="23"/>
        </w:rPr>
        <w:t>Investeeringute otsustusprotsessi parendamine</w:t>
      </w:r>
      <w:bookmarkEnd w:id="49"/>
      <w:bookmarkEnd w:id="50"/>
    </w:p>
    <w:p w:rsidR="002F4A30" w:rsidRPr="00141AFC" w:rsidRDefault="002F4A30" w:rsidP="0088490D">
      <w:pPr>
        <w:pStyle w:val="Heading2"/>
        <w:spacing w:before="120"/>
        <w:ind w:left="360"/>
        <w:rPr>
          <w:rFonts w:ascii="Times New Roman" w:hAnsi="Times New Roman" w:cs="Times New Roman"/>
          <w:b/>
          <w:color w:val="auto"/>
          <w:sz w:val="23"/>
          <w:szCs w:val="23"/>
          <w:u w:val="single"/>
        </w:rPr>
      </w:pPr>
      <w:bookmarkStart w:id="51" w:name="_Toc427174630"/>
      <w:bookmarkStart w:id="52" w:name="_Toc433915039"/>
      <w:bookmarkStart w:id="53" w:name="_Toc433980676"/>
      <w:r>
        <w:rPr>
          <w:rFonts w:ascii="Times New Roman" w:hAnsi="Times New Roman" w:cs="Times New Roman"/>
          <w:color w:val="auto"/>
          <w:sz w:val="23"/>
          <w:szCs w:val="23"/>
          <w:u w:val="single"/>
        </w:rPr>
        <w:t>4.4</w:t>
      </w:r>
      <w:r w:rsidRPr="00141AFC">
        <w:rPr>
          <w:rFonts w:ascii="Times New Roman" w:hAnsi="Times New Roman" w:cs="Times New Roman"/>
          <w:color w:val="auto"/>
          <w:sz w:val="23"/>
          <w:szCs w:val="23"/>
          <w:u w:val="single"/>
        </w:rPr>
        <w:t>.1.</w:t>
      </w:r>
      <w:r w:rsidR="000E5304">
        <w:rPr>
          <w:rFonts w:ascii="Times New Roman" w:hAnsi="Times New Roman" w:cs="Times New Roman"/>
          <w:color w:val="auto"/>
          <w:sz w:val="23"/>
          <w:szCs w:val="23"/>
          <w:u w:val="single"/>
        </w:rPr>
        <w:t xml:space="preserve"> </w:t>
      </w:r>
      <w:r w:rsidRPr="00141AFC">
        <w:rPr>
          <w:rFonts w:ascii="Times New Roman" w:hAnsi="Times New Roman" w:cs="Times New Roman"/>
          <w:color w:val="auto"/>
          <w:sz w:val="23"/>
          <w:szCs w:val="23"/>
          <w:u w:val="single"/>
        </w:rPr>
        <w:t>Suurem panustamine investeeringute kavandamisele</w:t>
      </w:r>
      <w:bookmarkEnd w:id="51"/>
      <w:bookmarkEnd w:id="52"/>
      <w:bookmarkEnd w:id="53"/>
    </w:p>
    <w:p w:rsidR="002F4A30" w:rsidRPr="00B70B75" w:rsidRDefault="002F4A30" w:rsidP="002F4A30">
      <w:pPr>
        <w:spacing w:before="120" w:after="120"/>
        <w:rPr>
          <w:sz w:val="23"/>
          <w:szCs w:val="23"/>
        </w:rPr>
      </w:pPr>
      <w:r w:rsidRPr="00B70B75">
        <w:rPr>
          <w:sz w:val="23"/>
          <w:szCs w:val="23"/>
        </w:rPr>
        <w:t>2014. aastal rakendati investeeringuotsuste tegemisel eelarves kolme-etapilist lähenemist eesmärgiga parandada projektide ettevalmistamise kvaliteeti: ehitamise otsust ei tehta enne projekti valmimist ja heaks kiitmist ning projekteerimise otsust ei tehta enne ruumiprogrammi valmimist. Kavandamise etapp on kõige olulisem, kuna selle lõpuks on ette määratud 60% kinnisvara</w:t>
      </w:r>
      <w:r w:rsidR="000E5304">
        <w:rPr>
          <w:sz w:val="23"/>
          <w:szCs w:val="23"/>
        </w:rPr>
        <w:t xml:space="preserve"> </w:t>
      </w:r>
      <w:r w:rsidRPr="00B70B75">
        <w:rPr>
          <w:sz w:val="23"/>
          <w:szCs w:val="23"/>
        </w:rPr>
        <w:t xml:space="preserve">elueakuludest, projekteerimise faasi lõpuks on ette määratud juba 80% kinnisvara elueakuludest. </w:t>
      </w:r>
    </w:p>
    <w:p w:rsidR="002F4A30" w:rsidRPr="00B70B75" w:rsidRDefault="002F4A30" w:rsidP="002F4A30">
      <w:pPr>
        <w:spacing w:before="120" w:after="120"/>
        <w:rPr>
          <w:sz w:val="23"/>
          <w:szCs w:val="23"/>
        </w:rPr>
      </w:pPr>
      <w:r w:rsidRPr="00B70B75">
        <w:rPr>
          <w:sz w:val="23"/>
          <w:szCs w:val="23"/>
        </w:rPr>
        <w:t xml:space="preserve">Eelarve protsessis projektide analüüs ja otsuste tegemine on hiline tegevus: </w:t>
      </w:r>
      <w:r>
        <w:rPr>
          <w:sz w:val="23"/>
          <w:szCs w:val="23"/>
        </w:rPr>
        <w:t>i</w:t>
      </w:r>
      <w:r w:rsidRPr="00B70B75">
        <w:rPr>
          <w:sz w:val="23"/>
          <w:szCs w:val="23"/>
        </w:rPr>
        <w:t xml:space="preserve">nvesteerimisotsuste tegemine ei ole osa eelarve protsessist, vaid vara omandamise protsessist. Rahastamisotsus tehakse kohustuste võtmisega (lepingute sõlmimine) riigivara valitseja poolt, mitte eelarveotsuse tegemisel valitsuse ja riigikogu poolt. Sama olukord on üürilepingutega: üürimaksete kasvu ei peaks arutama eelarveprotsessis, vaid üürilepingu sõlmimisel ja muutmisel. </w:t>
      </w:r>
    </w:p>
    <w:p w:rsidR="002F4A30" w:rsidRPr="00B70B75" w:rsidRDefault="002F4A30" w:rsidP="002F4A30">
      <w:pPr>
        <w:spacing w:before="120" w:after="120"/>
        <w:rPr>
          <w:sz w:val="23"/>
          <w:szCs w:val="23"/>
        </w:rPr>
      </w:pPr>
      <w:r w:rsidRPr="00B70B75">
        <w:rPr>
          <w:sz w:val="23"/>
          <w:szCs w:val="23"/>
        </w:rPr>
        <w:t>Vara omandamine on riigivaraseaduse reguleerimisala, kuid omandamise ja kasutamiseks</w:t>
      </w:r>
      <w:r w:rsidR="000E5304">
        <w:rPr>
          <w:sz w:val="23"/>
          <w:szCs w:val="23"/>
        </w:rPr>
        <w:t xml:space="preserve"> </w:t>
      </w:r>
      <w:r w:rsidRPr="00B70B75">
        <w:rPr>
          <w:sz w:val="23"/>
          <w:szCs w:val="23"/>
        </w:rPr>
        <w:t xml:space="preserve">võtmise regulatsioon on selles ebaproportsionaalselt põgusalt kaetud. Riigivaraseadus vajab muutmist ja täiendamist täiendavate nõuete seadmisega kavandamise protsessis </w:t>
      </w:r>
      <w:r w:rsidRPr="00B70B75">
        <w:rPr>
          <w:b/>
          <w:sz w:val="23"/>
          <w:szCs w:val="23"/>
        </w:rPr>
        <w:t>enne lepinguliste kohustuste võtmist</w:t>
      </w:r>
      <w:r w:rsidRPr="00B70B75">
        <w:rPr>
          <w:sz w:val="23"/>
          <w:szCs w:val="23"/>
        </w:rPr>
        <w:t xml:space="preserve">. </w:t>
      </w:r>
    </w:p>
    <w:p w:rsidR="002F4A30" w:rsidRPr="00B70B75" w:rsidRDefault="002F4A30" w:rsidP="002F4A30">
      <w:pPr>
        <w:rPr>
          <w:sz w:val="23"/>
          <w:szCs w:val="23"/>
        </w:rPr>
      </w:pPr>
      <w:r w:rsidRPr="00B70B75">
        <w:rPr>
          <w:sz w:val="23"/>
          <w:szCs w:val="23"/>
        </w:rPr>
        <w:t xml:space="preserve">Valitsusel on olnud ootused, et Rahandusministeerium suurendab oma võimekust investeeringuotsuste analüüsil ja hindamisel. Viimase aasta praktika on näidanud, et selleks on vaja panustada oluliselt rohkem ressurssi: nii jooksvaks analüüsiks kui protsessi väljatöötamiseks. </w:t>
      </w:r>
    </w:p>
    <w:p w:rsidR="002F4A30" w:rsidRPr="00B70B75" w:rsidRDefault="002F4A30" w:rsidP="002F4A30">
      <w:pPr>
        <w:rPr>
          <w:sz w:val="23"/>
          <w:szCs w:val="23"/>
        </w:rPr>
      </w:pPr>
      <w:r w:rsidRPr="00B70B75">
        <w:rPr>
          <w:sz w:val="23"/>
          <w:szCs w:val="23"/>
        </w:rPr>
        <w:t xml:space="preserve">Kinnisvaravajaduste rahastamisotsuste protsessi on aastate jooksul pidevalt parandatud, kuid selles on jätkuvalt ebaselgust. Ühtsed investeeringute otsustuskriteeriumid on põhimõttelisel tasemel välja töötatud, kuid nende rakendamine on keerukas ja ebaühtlane, sest projektide hindamiseks on vajalik oluliselt rohkem informatsiooni ja ajaressurssi, kui seni on panustatud. </w:t>
      </w:r>
    </w:p>
    <w:p w:rsidR="002F4A30" w:rsidRPr="00B70B75" w:rsidRDefault="002F4A30" w:rsidP="002F4A30">
      <w:pPr>
        <w:rPr>
          <w:sz w:val="23"/>
          <w:szCs w:val="23"/>
        </w:rPr>
      </w:pPr>
    </w:p>
    <w:p w:rsidR="002F4A30" w:rsidRPr="00B70B75" w:rsidRDefault="002F4A30" w:rsidP="002F4A30">
      <w:pPr>
        <w:rPr>
          <w:sz w:val="23"/>
          <w:szCs w:val="23"/>
        </w:rPr>
      </w:pPr>
      <w:r w:rsidRPr="00B70B75">
        <w:rPr>
          <w:sz w:val="23"/>
          <w:szCs w:val="23"/>
        </w:rPr>
        <w:t>Projektide ehitustehnilise analüüsi kõrval oleks vajalik suurendada rahandusministeeriumi võimekust projektide rahastamismudeli analüüsil: kui on välja valitud kõige kriitilisemad projektid, siis leitakse neile ka kõige sobivam rahastamismudel (koostöös erasektoriga või riigieelarvest).</w:t>
      </w:r>
      <w:r w:rsidR="000E5304">
        <w:rPr>
          <w:sz w:val="23"/>
          <w:szCs w:val="23"/>
        </w:rPr>
        <w:t xml:space="preserve"> </w:t>
      </w:r>
    </w:p>
    <w:p w:rsidR="002F4A30" w:rsidRPr="00141AFC" w:rsidRDefault="002F4A30" w:rsidP="002F4A30">
      <w:pPr>
        <w:pStyle w:val="Heading2"/>
        <w:ind w:left="360"/>
        <w:rPr>
          <w:rFonts w:ascii="Times New Roman" w:hAnsi="Times New Roman" w:cs="Times New Roman"/>
          <w:b/>
          <w:color w:val="auto"/>
          <w:sz w:val="23"/>
          <w:szCs w:val="23"/>
          <w:u w:val="single"/>
        </w:rPr>
      </w:pPr>
      <w:bookmarkStart w:id="54" w:name="_Toc427174631"/>
      <w:bookmarkStart w:id="55" w:name="_Toc433915040"/>
      <w:bookmarkStart w:id="56" w:name="_Toc433980677"/>
      <w:r>
        <w:rPr>
          <w:rFonts w:ascii="Times New Roman" w:hAnsi="Times New Roman" w:cs="Times New Roman"/>
          <w:color w:val="auto"/>
          <w:sz w:val="23"/>
          <w:szCs w:val="23"/>
          <w:u w:val="single"/>
        </w:rPr>
        <w:t xml:space="preserve">4.4.2. </w:t>
      </w:r>
      <w:r w:rsidRPr="00141AFC">
        <w:rPr>
          <w:rFonts w:ascii="Times New Roman" w:hAnsi="Times New Roman" w:cs="Times New Roman"/>
          <w:color w:val="auto"/>
          <w:sz w:val="23"/>
          <w:szCs w:val="23"/>
          <w:u w:val="single"/>
        </w:rPr>
        <w:t>Valdkondlikud vajadused ja optimeerimiskavad investeerimisotsuste eeldusena</w:t>
      </w:r>
      <w:bookmarkEnd w:id="54"/>
      <w:bookmarkEnd w:id="55"/>
      <w:bookmarkEnd w:id="56"/>
      <w:r w:rsidRPr="00141AFC">
        <w:rPr>
          <w:rFonts w:ascii="Times New Roman" w:hAnsi="Times New Roman" w:cs="Times New Roman"/>
          <w:color w:val="auto"/>
          <w:sz w:val="23"/>
          <w:szCs w:val="23"/>
          <w:u w:val="single"/>
        </w:rPr>
        <w:t xml:space="preserve"> </w:t>
      </w:r>
    </w:p>
    <w:p w:rsidR="002F4A30" w:rsidRPr="00B70B75" w:rsidRDefault="002F4A30" w:rsidP="002F4A30">
      <w:pPr>
        <w:rPr>
          <w:sz w:val="23"/>
          <w:szCs w:val="23"/>
        </w:rPr>
      </w:pPr>
      <w:r w:rsidRPr="00B70B75">
        <w:rPr>
          <w:b/>
          <w:sz w:val="23"/>
          <w:szCs w:val="23"/>
        </w:rPr>
        <w:t>Jätkusuutlike, riigi vajadusi ning</w:t>
      </w:r>
      <w:r w:rsidRPr="00B70B75">
        <w:rPr>
          <w:sz w:val="23"/>
          <w:szCs w:val="23"/>
        </w:rPr>
        <w:t xml:space="preserve"> </w:t>
      </w:r>
      <w:r w:rsidRPr="00B70B75">
        <w:rPr>
          <w:b/>
          <w:sz w:val="23"/>
          <w:szCs w:val="23"/>
        </w:rPr>
        <w:t>valdkondlikke prioriteete arvestavate pikaajaliste investeerimiskavade</w:t>
      </w:r>
      <w:r w:rsidRPr="00B70B75">
        <w:rPr>
          <w:sz w:val="23"/>
          <w:szCs w:val="23"/>
        </w:rPr>
        <w:t xml:space="preserve"> puudumine, takistab eelarvevahendite suunamist kõige efektiivsemal moel. </w:t>
      </w:r>
    </w:p>
    <w:p w:rsidR="002F4A30" w:rsidRPr="00B70B75" w:rsidRDefault="002F4A30" w:rsidP="002F4A30">
      <w:pPr>
        <w:rPr>
          <w:sz w:val="23"/>
          <w:szCs w:val="23"/>
        </w:rPr>
      </w:pPr>
      <w:r w:rsidRPr="00B70B75">
        <w:rPr>
          <w:sz w:val="23"/>
          <w:szCs w:val="23"/>
        </w:rPr>
        <w:t>Riigi hoonete investeeringuotsuste tegemine peab ka edaspidi lähtuma nn TOI-strateegiast, mis tähendab:</w:t>
      </w:r>
    </w:p>
    <w:p w:rsidR="002F4A30" w:rsidRPr="00B70B75" w:rsidRDefault="002F4A30" w:rsidP="002F4A30">
      <w:pPr>
        <w:pStyle w:val="ListParagraph"/>
        <w:numPr>
          <w:ilvl w:val="1"/>
          <w:numId w:val="0"/>
        </w:numPr>
        <w:ind w:left="567" w:hanging="360"/>
        <w:rPr>
          <w:sz w:val="23"/>
          <w:szCs w:val="23"/>
        </w:rPr>
      </w:pPr>
      <w:r w:rsidRPr="00B70B75">
        <w:rPr>
          <w:sz w:val="23"/>
          <w:szCs w:val="23"/>
        </w:rPr>
        <w:t xml:space="preserve">T </w:t>
      </w:r>
      <w:r>
        <w:rPr>
          <w:sz w:val="23"/>
          <w:szCs w:val="23"/>
        </w:rPr>
        <w:t xml:space="preserve">- </w:t>
      </w:r>
      <w:r w:rsidRPr="00B70B75">
        <w:rPr>
          <w:sz w:val="23"/>
          <w:szCs w:val="23"/>
        </w:rPr>
        <w:t>Tsentraliseerimine – hooned ja neid puudutav informatsioon koondatakse RKAS-i.</w:t>
      </w:r>
    </w:p>
    <w:p w:rsidR="002F4A30" w:rsidRPr="00B70B75" w:rsidRDefault="002F4A30" w:rsidP="002F4A30">
      <w:pPr>
        <w:pStyle w:val="ListParagraph"/>
        <w:numPr>
          <w:ilvl w:val="1"/>
          <w:numId w:val="0"/>
        </w:numPr>
        <w:ind w:left="567" w:hanging="360"/>
        <w:rPr>
          <w:sz w:val="23"/>
          <w:szCs w:val="23"/>
        </w:rPr>
      </w:pPr>
      <w:r w:rsidRPr="00B70B75">
        <w:rPr>
          <w:sz w:val="23"/>
          <w:szCs w:val="23"/>
        </w:rPr>
        <w:t xml:space="preserve">O </w:t>
      </w:r>
      <w:r>
        <w:rPr>
          <w:sz w:val="23"/>
          <w:szCs w:val="23"/>
        </w:rPr>
        <w:t>- O</w:t>
      </w:r>
      <w:r w:rsidRPr="00B70B75">
        <w:rPr>
          <w:sz w:val="23"/>
          <w:szCs w:val="23"/>
        </w:rPr>
        <w:t>ptimeerimine - optimeeritakse pinnakasutus, mille eelduseks on valdkondlikest arengukavadest tulenevate vajaduste täpsustamine ruume kasutavate asutuste poolt ja portfellis olevate hoonete analüüs RKAS-i poolt, tulemusena valmivad valitsemisalade optimeerimiskavad ja kinnisvaraportfelli arenduskavad, mis on aluseks investeeringute planeerimisel. Valitsemisalade ülene optimeerimise efekt on suurim büroode puhul, eelkõige maakonna keskustes, kus on võimalik luua sünergiat avalike teenuste pakkumises laiemalt teiste avaliku sektori üksustega.</w:t>
      </w:r>
    </w:p>
    <w:p w:rsidR="002F4A30" w:rsidRPr="00B70B75" w:rsidRDefault="002F4A30" w:rsidP="002F4A30">
      <w:pPr>
        <w:pStyle w:val="ListParagraph"/>
        <w:numPr>
          <w:ilvl w:val="1"/>
          <w:numId w:val="0"/>
        </w:numPr>
        <w:ind w:left="567" w:hanging="360"/>
        <w:rPr>
          <w:sz w:val="23"/>
          <w:szCs w:val="23"/>
        </w:rPr>
      </w:pPr>
      <w:r w:rsidRPr="00B70B75">
        <w:rPr>
          <w:sz w:val="23"/>
          <w:szCs w:val="23"/>
        </w:rPr>
        <w:t xml:space="preserve">I - Investeerimine - investeerimisotsuste tegemine lähtudes valitsemisalade valdkondlikust prioriteetsusest ja ehitustehnilisest kriitilisusest, aluseks valitsemisalade optimeerimiskavad ja kinnisvaraportfelli arenduskavad, rahastamisvõimaluste pikaajaline ja keskne planeerimine. </w:t>
      </w:r>
    </w:p>
    <w:p w:rsidR="002F4A30" w:rsidRPr="00B70B75" w:rsidRDefault="002F4A30" w:rsidP="002F4A30">
      <w:pPr>
        <w:rPr>
          <w:sz w:val="23"/>
          <w:szCs w:val="23"/>
        </w:rPr>
      </w:pPr>
      <w:r w:rsidRPr="00B70B75">
        <w:rPr>
          <w:sz w:val="23"/>
          <w:szCs w:val="23"/>
        </w:rPr>
        <w:t xml:space="preserve">Valdkondade optimeerimiskavad võiks olla alates 2018. aastast ehk 2019. aasta eelarve planeerimisest </w:t>
      </w:r>
      <w:r w:rsidRPr="00B70B75">
        <w:rPr>
          <w:b/>
          <w:sz w:val="23"/>
          <w:szCs w:val="23"/>
        </w:rPr>
        <w:t>kohustuslikuks eelduseks riigieelarve investeeringutaotluste menetlemisel</w:t>
      </w:r>
      <w:r w:rsidRPr="00B70B75">
        <w:rPr>
          <w:sz w:val="23"/>
          <w:szCs w:val="23"/>
        </w:rPr>
        <w:t>.</w:t>
      </w:r>
    </w:p>
    <w:p w:rsidR="002F4A30" w:rsidRPr="00B70B75" w:rsidRDefault="002F4A30" w:rsidP="002F4A30">
      <w:pPr>
        <w:pStyle w:val="ListParagraph"/>
        <w:ind w:left="0"/>
        <w:rPr>
          <w:sz w:val="23"/>
          <w:szCs w:val="23"/>
        </w:rPr>
      </w:pPr>
      <w:r w:rsidRPr="00B70B75">
        <w:rPr>
          <w:sz w:val="23"/>
          <w:szCs w:val="23"/>
        </w:rPr>
        <w:t xml:space="preserve">Optimeerimiskavade koostamise eeldusteks on: </w:t>
      </w:r>
    </w:p>
    <w:p w:rsidR="002F4A30" w:rsidRPr="00B70B75" w:rsidRDefault="002F4A30" w:rsidP="002F4A30">
      <w:pPr>
        <w:pStyle w:val="ListParagraph"/>
        <w:numPr>
          <w:ilvl w:val="0"/>
          <w:numId w:val="65"/>
        </w:numPr>
        <w:spacing w:before="0" w:after="0"/>
        <w:jc w:val="left"/>
        <w:rPr>
          <w:b/>
          <w:sz w:val="23"/>
          <w:szCs w:val="23"/>
        </w:rPr>
      </w:pPr>
      <w:r w:rsidRPr="00B70B75">
        <w:rPr>
          <w:sz w:val="23"/>
          <w:szCs w:val="23"/>
        </w:rPr>
        <w:t>Riigi kinnisvaraportfelli optimeerimistegevuste kava koostamine, mis sisaldab protsessi kirjeldust (sh osapoolte õiguste, kohustuste ja vastutuse jaotust), motivatsioonimehhanisme, pinnakasutuse vajaduste kaardistamise tegevusi. Võimalik koostada 30.06.2016.</w:t>
      </w:r>
    </w:p>
    <w:p w:rsidR="002F4A30" w:rsidRPr="00B70B75" w:rsidRDefault="002F4A30" w:rsidP="002F4A30">
      <w:pPr>
        <w:pStyle w:val="ListParagraph"/>
        <w:numPr>
          <w:ilvl w:val="0"/>
          <w:numId w:val="65"/>
        </w:numPr>
        <w:spacing w:before="0" w:after="0"/>
        <w:jc w:val="left"/>
        <w:rPr>
          <w:b/>
          <w:sz w:val="23"/>
          <w:szCs w:val="23"/>
        </w:rPr>
      </w:pPr>
      <w:r w:rsidRPr="00B70B75">
        <w:rPr>
          <w:b/>
          <w:sz w:val="23"/>
          <w:szCs w:val="23"/>
        </w:rPr>
        <w:t xml:space="preserve">Hoonete tsentraliseerimine ühtsesse portfelli (RKAS korraldab) </w:t>
      </w:r>
    </w:p>
    <w:p w:rsidR="002F4A30" w:rsidRPr="00B70B75" w:rsidRDefault="002F4A30" w:rsidP="002F4A30">
      <w:pPr>
        <w:pStyle w:val="ListParagraph"/>
        <w:numPr>
          <w:ilvl w:val="1"/>
          <w:numId w:val="65"/>
        </w:numPr>
        <w:spacing w:before="0" w:after="0"/>
        <w:jc w:val="left"/>
        <w:rPr>
          <w:sz w:val="23"/>
          <w:szCs w:val="23"/>
        </w:rPr>
      </w:pPr>
      <w:r w:rsidRPr="00B70B75">
        <w:rPr>
          <w:sz w:val="23"/>
          <w:szCs w:val="23"/>
        </w:rPr>
        <w:t>Büroohooned</w:t>
      </w:r>
      <w:r w:rsidR="000E5304">
        <w:rPr>
          <w:sz w:val="23"/>
          <w:szCs w:val="23"/>
        </w:rPr>
        <w:t xml:space="preserve"> </w:t>
      </w:r>
      <w:r w:rsidRPr="00B70B75">
        <w:rPr>
          <w:sz w:val="23"/>
          <w:szCs w:val="23"/>
        </w:rPr>
        <w:t>- hiljemalt 30.06.2016</w:t>
      </w:r>
    </w:p>
    <w:p w:rsidR="002F4A30" w:rsidRPr="00B70B75" w:rsidRDefault="002F4A30" w:rsidP="002F4A30">
      <w:pPr>
        <w:pStyle w:val="ListParagraph"/>
        <w:numPr>
          <w:ilvl w:val="1"/>
          <w:numId w:val="65"/>
        </w:numPr>
        <w:spacing w:before="0" w:after="0"/>
        <w:jc w:val="left"/>
        <w:rPr>
          <w:sz w:val="23"/>
          <w:szCs w:val="23"/>
        </w:rPr>
      </w:pPr>
      <w:r w:rsidRPr="00B70B75">
        <w:rPr>
          <w:sz w:val="23"/>
          <w:szCs w:val="23"/>
        </w:rPr>
        <w:t>Ülejäänud hooned</w:t>
      </w:r>
      <w:r>
        <w:rPr>
          <w:sz w:val="23"/>
          <w:szCs w:val="23"/>
        </w:rPr>
        <w:t xml:space="preserve"> – hiljemalt 31.12.2019</w:t>
      </w:r>
      <w:r w:rsidRPr="00B70B75">
        <w:rPr>
          <w:sz w:val="23"/>
          <w:szCs w:val="23"/>
        </w:rPr>
        <w:t>.</w:t>
      </w:r>
    </w:p>
    <w:p w:rsidR="002F4A30" w:rsidRPr="00B70B75" w:rsidRDefault="002F4A30" w:rsidP="002F4A30">
      <w:pPr>
        <w:pStyle w:val="ListParagraph"/>
        <w:numPr>
          <w:ilvl w:val="0"/>
          <w:numId w:val="65"/>
        </w:numPr>
        <w:spacing w:before="0" w:after="0"/>
        <w:jc w:val="left"/>
        <w:rPr>
          <w:sz w:val="23"/>
          <w:szCs w:val="23"/>
        </w:rPr>
      </w:pPr>
      <w:r w:rsidRPr="00B70B75">
        <w:rPr>
          <w:b/>
          <w:sz w:val="23"/>
          <w:szCs w:val="23"/>
        </w:rPr>
        <w:t xml:space="preserve">Hoonete kasutamise vajaduste kaardistamine </w:t>
      </w:r>
      <w:r w:rsidRPr="00B70B75">
        <w:rPr>
          <w:sz w:val="23"/>
          <w:szCs w:val="23"/>
        </w:rPr>
        <w:t>lähtudes asutuste valdkonnastrateegilistest vajadustest (</w:t>
      </w:r>
      <w:r w:rsidRPr="00B70B75">
        <w:rPr>
          <w:b/>
          <w:sz w:val="23"/>
          <w:szCs w:val="23"/>
        </w:rPr>
        <w:t>paralleeltegevused riigiasutustes</w:t>
      </w:r>
      <w:r w:rsidRPr="00B70B75">
        <w:rPr>
          <w:sz w:val="23"/>
          <w:szCs w:val="23"/>
        </w:rPr>
        <w:t>):</w:t>
      </w:r>
    </w:p>
    <w:p w:rsidR="002F4A30" w:rsidRPr="00B70B75" w:rsidRDefault="002F4A30" w:rsidP="002F4A30">
      <w:pPr>
        <w:pStyle w:val="ListParagraph"/>
        <w:numPr>
          <w:ilvl w:val="1"/>
          <w:numId w:val="65"/>
        </w:numPr>
        <w:spacing w:before="0" w:after="0"/>
        <w:jc w:val="left"/>
        <w:rPr>
          <w:sz w:val="23"/>
          <w:szCs w:val="23"/>
        </w:rPr>
      </w:pPr>
      <w:r w:rsidRPr="00B70B75">
        <w:rPr>
          <w:sz w:val="23"/>
          <w:szCs w:val="23"/>
        </w:rPr>
        <w:t xml:space="preserve">Büroopindadel koondatud info kinnitatud riigihalduse ministri poolt - hiljemalt 30.06.2016, vastavalt valitsuse tegevuskava ülesannetele. </w:t>
      </w:r>
    </w:p>
    <w:p w:rsidR="002F4A30" w:rsidRPr="00B70B75" w:rsidRDefault="002F4A30" w:rsidP="002F4A30">
      <w:pPr>
        <w:pStyle w:val="ListParagraph"/>
        <w:numPr>
          <w:ilvl w:val="1"/>
          <w:numId w:val="65"/>
        </w:numPr>
        <w:spacing w:before="0" w:after="0"/>
        <w:jc w:val="left"/>
        <w:rPr>
          <w:sz w:val="23"/>
          <w:szCs w:val="23"/>
        </w:rPr>
      </w:pPr>
      <w:r w:rsidRPr="00B70B75">
        <w:rPr>
          <w:sz w:val="23"/>
          <w:szCs w:val="23"/>
        </w:rPr>
        <w:t xml:space="preserve">Ülejäänud pindadel kinnitatud valdkondade ministrite poolt – kooskõlas tegevuspõhisele eelarvele ülemineku ajakavaga. </w:t>
      </w:r>
    </w:p>
    <w:p w:rsidR="002F4A30" w:rsidRPr="00141AFC" w:rsidRDefault="002F4A30" w:rsidP="002F4A30">
      <w:pPr>
        <w:pStyle w:val="Heading2"/>
        <w:ind w:left="360"/>
        <w:rPr>
          <w:rFonts w:ascii="Times New Roman" w:hAnsi="Times New Roman" w:cs="Times New Roman"/>
          <w:b/>
          <w:color w:val="auto"/>
          <w:sz w:val="23"/>
          <w:szCs w:val="23"/>
          <w:u w:val="single"/>
        </w:rPr>
      </w:pPr>
      <w:bookmarkStart w:id="57" w:name="_Toc427174632"/>
      <w:bookmarkStart w:id="58" w:name="_Toc433915041"/>
      <w:bookmarkStart w:id="59" w:name="_Toc433980678"/>
      <w:r>
        <w:rPr>
          <w:rFonts w:ascii="Times New Roman" w:hAnsi="Times New Roman" w:cs="Times New Roman"/>
          <w:color w:val="auto"/>
          <w:sz w:val="23"/>
          <w:szCs w:val="23"/>
          <w:u w:val="single"/>
        </w:rPr>
        <w:t xml:space="preserve">4.4.3. </w:t>
      </w:r>
      <w:r w:rsidRPr="00141AFC">
        <w:rPr>
          <w:rFonts w:ascii="Times New Roman" w:hAnsi="Times New Roman" w:cs="Times New Roman"/>
          <w:color w:val="auto"/>
          <w:sz w:val="23"/>
          <w:szCs w:val="23"/>
          <w:u w:val="single"/>
        </w:rPr>
        <w:t>Hoonete energiatõhususe suurendamine ja elueakuludest lähtuv hindamine</w:t>
      </w:r>
      <w:bookmarkEnd w:id="57"/>
      <w:bookmarkEnd w:id="58"/>
      <w:bookmarkEnd w:id="59"/>
      <w:r w:rsidRPr="00141AFC">
        <w:rPr>
          <w:rFonts w:ascii="Times New Roman" w:hAnsi="Times New Roman" w:cs="Times New Roman"/>
          <w:color w:val="auto"/>
          <w:sz w:val="23"/>
          <w:szCs w:val="23"/>
          <w:u w:val="single"/>
        </w:rPr>
        <w:t xml:space="preserve"> </w:t>
      </w:r>
    </w:p>
    <w:p w:rsidR="002F4A30" w:rsidRPr="00B70B75" w:rsidRDefault="002F4A30" w:rsidP="002F4A30">
      <w:pPr>
        <w:spacing w:before="240"/>
        <w:rPr>
          <w:sz w:val="23"/>
          <w:szCs w:val="23"/>
        </w:rPr>
      </w:pPr>
      <w:r w:rsidRPr="00B70B75">
        <w:rPr>
          <w:sz w:val="23"/>
          <w:szCs w:val="23"/>
        </w:rPr>
        <w:t xml:space="preserve">Sarnaselt teiste EL liikmesriikidega on Eestil kohustus igal aastal rekonstrueerida energiatõhususe miinimumnõuetele vastavaks 3% Eesti Vabariigi territooriumil asuvatest nõuetele mittevastavatest sisekliima tagamisega hoonetest, milles keskvalitsus kasutab omandiõiguse või kasutuslepingu alusel rohkem kui 250 m² kasulikku üldpõrandapinda. See tähendab </w:t>
      </w:r>
      <w:r w:rsidRPr="00B70B75">
        <w:rPr>
          <w:b/>
          <w:sz w:val="23"/>
          <w:szCs w:val="23"/>
        </w:rPr>
        <w:t>nõuet iga-aastaselt rekonstrueerida ca 30 000 m</w:t>
      </w:r>
      <w:r w:rsidRPr="00B70B75">
        <w:rPr>
          <w:rFonts w:ascii="Calibri" w:hAnsi="Calibri"/>
          <w:b/>
          <w:sz w:val="23"/>
          <w:szCs w:val="23"/>
        </w:rPr>
        <w:t>²</w:t>
      </w:r>
      <w:r w:rsidRPr="00B70B75">
        <w:rPr>
          <w:sz w:val="23"/>
          <w:szCs w:val="23"/>
        </w:rPr>
        <w:t xml:space="preserve"> riigi hoonete pinda. </w:t>
      </w:r>
    </w:p>
    <w:p w:rsidR="002F4A30" w:rsidRPr="00B70B75" w:rsidRDefault="002F4A30" w:rsidP="002F4A30">
      <w:pPr>
        <w:rPr>
          <w:sz w:val="23"/>
          <w:szCs w:val="23"/>
        </w:rPr>
      </w:pPr>
      <w:r w:rsidRPr="00B70B75">
        <w:rPr>
          <w:sz w:val="23"/>
          <w:szCs w:val="23"/>
        </w:rPr>
        <w:t xml:space="preserve">Riik küll rekonstrueerib ja ehitab uut pinda vajalikus mahus, kuid investeeringud on osaliselt suunatud hoonetesse, mille ehitamise/rekonstrueerimisega ei täideta EL direktiivi nõudeid. 2014. aastal </w:t>
      </w:r>
      <w:r w:rsidRPr="00B70B75">
        <w:rPr>
          <w:b/>
          <w:sz w:val="23"/>
          <w:szCs w:val="23"/>
        </w:rPr>
        <w:t>valmis uut või rekonstrueeritud pinda 29 500 m</w:t>
      </w:r>
      <w:r w:rsidRPr="00B70B75">
        <w:rPr>
          <w:b/>
          <w:sz w:val="23"/>
          <w:szCs w:val="23"/>
          <w:vertAlign w:val="superscript"/>
        </w:rPr>
        <w:t>2</w:t>
      </w:r>
      <w:r w:rsidRPr="00B70B75">
        <w:rPr>
          <w:sz w:val="23"/>
          <w:szCs w:val="23"/>
        </w:rPr>
        <w:t xml:space="preserve">, sellest RKAS-i kaudu ehitati ja finantseeriti 26 100 m². Kuna uusehitisena valmis rohkem pinda, kui miinimumnõuetele mittevastavat pinda kasutusest välja läks ning kõik investeeringud ei tehtud miinimumnõuete täitmise kohustusega hoonetesse (nt vanalinnas asuvad hooned), </w:t>
      </w:r>
      <w:r w:rsidRPr="00B70B75">
        <w:rPr>
          <w:b/>
          <w:sz w:val="23"/>
          <w:szCs w:val="23"/>
        </w:rPr>
        <w:t>saab lugeda direktiivi nõuetele vastavaks vaid 17 000 m</w:t>
      </w:r>
      <w:r w:rsidRPr="00B70B75">
        <w:rPr>
          <w:b/>
          <w:sz w:val="23"/>
          <w:szCs w:val="23"/>
          <w:vertAlign w:val="superscript"/>
        </w:rPr>
        <w:t>2</w:t>
      </w:r>
      <w:r w:rsidRPr="00B70B75">
        <w:rPr>
          <w:sz w:val="23"/>
          <w:szCs w:val="23"/>
        </w:rPr>
        <w:t xml:space="preserve">, sellest RKAS-i kaudu ehitati ja finantseeriti 14 000 m². </w:t>
      </w:r>
    </w:p>
    <w:p w:rsidR="002F4A30" w:rsidRPr="00B70B75" w:rsidRDefault="002F4A30" w:rsidP="002F4A30">
      <w:pPr>
        <w:rPr>
          <w:sz w:val="23"/>
          <w:szCs w:val="23"/>
        </w:rPr>
      </w:pPr>
      <w:r w:rsidRPr="00B70B75">
        <w:rPr>
          <w:sz w:val="23"/>
          <w:szCs w:val="23"/>
        </w:rPr>
        <w:t xml:space="preserve">Lisaks elueakulude kokkuhoiule võimaldab energiatõhususe nõuete järgimine täita samaaegselt ka optimeerimise eesmärke, kuna 3% renoveerimiskohustuse täitmise hulka ei loeta uusehitisi, mille kasutusele võttes ei toimu pinna optimeerimist vanade hoonete kasutusest välja langemise läbi. </w:t>
      </w:r>
    </w:p>
    <w:p w:rsidR="002F4A30" w:rsidRPr="00141AFC" w:rsidRDefault="002F4A30" w:rsidP="002F4A30">
      <w:pPr>
        <w:pStyle w:val="Heading2"/>
        <w:ind w:left="360"/>
        <w:rPr>
          <w:rFonts w:ascii="Times New Roman" w:hAnsi="Times New Roman" w:cs="Times New Roman"/>
          <w:b/>
          <w:color w:val="auto"/>
          <w:sz w:val="23"/>
          <w:szCs w:val="23"/>
          <w:u w:val="single"/>
        </w:rPr>
      </w:pPr>
      <w:bookmarkStart w:id="60" w:name="_Toc427174633"/>
      <w:bookmarkStart w:id="61" w:name="_Toc433915042"/>
      <w:bookmarkStart w:id="62" w:name="_Toc433980679"/>
      <w:r>
        <w:rPr>
          <w:rFonts w:ascii="Times New Roman" w:hAnsi="Times New Roman" w:cs="Times New Roman"/>
          <w:color w:val="auto"/>
          <w:sz w:val="23"/>
          <w:szCs w:val="23"/>
          <w:u w:val="single"/>
        </w:rPr>
        <w:t>4.4.4. Rahandusministeeriumi kompetentsi tugevdamine kinnisvara rahastamisotsuse ettevalmistamisel</w:t>
      </w:r>
      <w:bookmarkEnd w:id="60"/>
      <w:bookmarkEnd w:id="61"/>
      <w:bookmarkEnd w:id="62"/>
      <w:r>
        <w:rPr>
          <w:rFonts w:ascii="Times New Roman" w:hAnsi="Times New Roman" w:cs="Times New Roman"/>
          <w:color w:val="auto"/>
          <w:sz w:val="23"/>
          <w:szCs w:val="23"/>
          <w:u w:val="single"/>
        </w:rPr>
        <w:t xml:space="preserve"> </w:t>
      </w:r>
    </w:p>
    <w:p w:rsidR="002F4A30" w:rsidRDefault="002F4A30" w:rsidP="002F4A30">
      <w:r>
        <w:t xml:space="preserve">Rahandusministeeriumisse </w:t>
      </w:r>
      <w:r w:rsidRPr="00617207">
        <w:t>kinnisvara rahastamist</w:t>
      </w:r>
      <w:r>
        <w:t xml:space="preserve"> ja PPP valdkonda juhtiva struktuuriüksuse loomine võimaldaks kujundada tegevuskeskkonna, kus kõik riigi kinnisvara rahastamisotsused, sh PPP tehingud (hooned, infrastruktuur) toimuvad finantsiliselt mõistlikel tingimustel tagades samaaegselt riigi kui lepingu poole pikaajaliste huvide kaitse. </w:t>
      </w:r>
    </w:p>
    <w:p w:rsidR="002F4A30" w:rsidRPr="005B2CCA" w:rsidRDefault="002F4A30" w:rsidP="002F4A30">
      <w:pPr>
        <w:pStyle w:val="Heading2"/>
        <w:keepLines/>
        <w:numPr>
          <w:ilvl w:val="1"/>
          <w:numId w:val="71"/>
        </w:numPr>
        <w:spacing w:before="200" w:after="0"/>
        <w:jc w:val="left"/>
        <w:rPr>
          <w:rFonts w:ascii="Times New Roman" w:hAnsi="Times New Roman" w:cs="Times New Roman"/>
          <w:b/>
          <w:sz w:val="23"/>
          <w:szCs w:val="23"/>
        </w:rPr>
      </w:pPr>
      <w:r w:rsidRPr="005B2CCA">
        <w:rPr>
          <w:rFonts w:ascii="Times New Roman" w:hAnsi="Times New Roman" w:cs="Times New Roman"/>
          <w:b/>
          <w:sz w:val="23"/>
          <w:szCs w:val="23"/>
        </w:rPr>
        <w:t xml:space="preserve"> </w:t>
      </w:r>
      <w:bookmarkStart w:id="63" w:name="_Toc433915043"/>
      <w:bookmarkStart w:id="64" w:name="_Toc433980680"/>
      <w:r w:rsidRPr="005B2CCA">
        <w:rPr>
          <w:rFonts w:ascii="Times New Roman" w:hAnsi="Times New Roman" w:cs="Times New Roman"/>
          <w:b/>
          <w:sz w:val="23"/>
          <w:szCs w:val="23"/>
        </w:rPr>
        <w:t>Kasutada erasektoriga koostöö võimalusi, kus see on võimalik ja riigile kasulik</w:t>
      </w:r>
      <w:bookmarkEnd w:id="63"/>
      <w:bookmarkEnd w:id="64"/>
      <w:r w:rsidRPr="005B2CCA">
        <w:rPr>
          <w:rFonts w:ascii="Times New Roman" w:hAnsi="Times New Roman" w:cs="Times New Roman"/>
          <w:b/>
          <w:sz w:val="23"/>
          <w:szCs w:val="23"/>
        </w:rPr>
        <w:t xml:space="preserve"> </w:t>
      </w:r>
    </w:p>
    <w:p w:rsidR="002F4A30" w:rsidRPr="00264707" w:rsidRDefault="002F4A30" w:rsidP="002F4A30">
      <w:pPr>
        <w:rPr>
          <w:sz w:val="23"/>
          <w:szCs w:val="23"/>
        </w:rPr>
      </w:pPr>
      <w:r w:rsidRPr="00264707">
        <w:rPr>
          <w:sz w:val="23"/>
          <w:szCs w:val="23"/>
        </w:rPr>
        <w:t xml:space="preserve">Mitte ühtegi investeerimisotsust koostöös erasektoriga ei tehta enne kui: </w:t>
      </w:r>
    </w:p>
    <w:p w:rsidR="002F4A30" w:rsidRPr="00264707" w:rsidRDefault="002F4A30" w:rsidP="0088490D">
      <w:pPr>
        <w:pStyle w:val="ListParagraph"/>
        <w:numPr>
          <w:ilvl w:val="0"/>
          <w:numId w:val="69"/>
        </w:numPr>
        <w:spacing w:after="0"/>
        <w:rPr>
          <w:sz w:val="23"/>
          <w:szCs w:val="23"/>
          <w:u w:val="single"/>
        </w:rPr>
      </w:pPr>
      <w:r w:rsidRPr="00264707">
        <w:rPr>
          <w:sz w:val="23"/>
          <w:szCs w:val="23"/>
          <w:u w:val="single"/>
        </w:rPr>
        <w:t xml:space="preserve">On läbi viidud iga kompleksi detailanalüüs. </w:t>
      </w:r>
    </w:p>
    <w:p w:rsidR="002F4A30" w:rsidRPr="00264707" w:rsidRDefault="002F4A30" w:rsidP="002F4A30">
      <w:pPr>
        <w:rPr>
          <w:sz w:val="23"/>
          <w:szCs w:val="23"/>
        </w:rPr>
      </w:pPr>
      <w:r w:rsidRPr="00264707">
        <w:rPr>
          <w:sz w:val="23"/>
          <w:szCs w:val="23"/>
        </w:rPr>
        <w:t>Detailanalüüside tulemusena leitakse igale riigi hoonekompleksile rahvamajanduse arvestuse kriteeriumitest sobivaim ja majanduslikult mõistlikum tehing ning antakse hinnang iga hoone/hoonekompleksi tehingu finantsmõjude kohta hindamaks tehinguga seotud riskide jagunemist järgmisteks tähtaegadeks:</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 xml:space="preserve">Riigi büroode ehk potentsiaalse kasutusrendi portfelli kohta – 30.07.2017. </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Riigi ülejäänud hoonete ehk potentsiaalse PPP portfelli kohta – 30.06.2018.</w:t>
      </w:r>
    </w:p>
    <w:p w:rsidR="002F4A30" w:rsidRPr="00264707" w:rsidRDefault="002F4A30" w:rsidP="0088490D">
      <w:pPr>
        <w:pStyle w:val="ListParagraph"/>
        <w:numPr>
          <w:ilvl w:val="0"/>
          <w:numId w:val="69"/>
        </w:numPr>
        <w:spacing w:after="0"/>
        <w:rPr>
          <w:b/>
          <w:sz w:val="23"/>
          <w:szCs w:val="23"/>
        </w:rPr>
      </w:pPr>
      <w:r w:rsidRPr="00264707">
        <w:rPr>
          <w:sz w:val="23"/>
          <w:szCs w:val="23"/>
          <w:u w:val="single"/>
        </w:rPr>
        <w:t xml:space="preserve">On loodud PPP-tehingute tegemiseks vajalik raamistik. </w:t>
      </w:r>
    </w:p>
    <w:p w:rsidR="002F4A30" w:rsidRPr="00264707" w:rsidRDefault="002F4A30" w:rsidP="002F4A30">
      <w:pPr>
        <w:rPr>
          <w:b/>
          <w:sz w:val="23"/>
          <w:szCs w:val="23"/>
        </w:rPr>
      </w:pPr>
      <w:r w:rsidRPr="00264707">
        <w:rPr>
          <w:sz w:val="23"/>
          <w:szCs w:val="23"/>
        </w:rPr>
        <w:t>Raamistiku loomiseks on vajalik:</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Koostada PPP tehingute tegevuskeskkonna kujundamise aluspõhimõtted (osana uuest riigi kinnisvarakeskkonna strateegiast), mis on aluseks nii riigi enda tegutsemisele kui kommunikeerimiseks erasektori võimalikele tuleviku partneritele.</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Luua riigi hoonestatud kinnisvara PPP tehingutele suunatud kompetentsiüksus, soovituslikult RKAS-is;</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Teostada õiguslik analüüs, eesmärgiga tuvastada vajalikud parendused seadusandluses PPP-de läbiviimiseks.</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Luua protsessid ja tööriistad, mis toetavad efektiivset PPP-d kui tervikprotsessi (planeerimine, hankimine, lepingu sõlmimine järelevalve jne).</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Koostada standardlepingud, testida neid hüpoteetiliselt ja praktikas;</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Koostada PPP kui tervikprotsessi korraldamise koolituskava ametnikele ja teistele seotud osapooltele ja viia läbi koolitusi ning nõustamistegevusi.</w:t>
      </w:r>
    </w:p>
    <w:p w:rsidR="002F4A30" w:rsidRPr="00264707" w:rsidRDefault="002F4A30" w:rsidP="002F4A30">
      <w:pPr>
        <w:pStyle w:val="ListParagraph"/>
        <w:numPr>
          <w:ilvl w:val="0"/>
          <w:numId w:val="70"/>
        </w:numPr>
        <w:spacing w:before="0" w:after="0"/>
        <w:jc w:val="left"/>
        <w:rPr>
          <w:sz w:val="23"/>
          <w:szCs w:val="23"/>
          <w:lang w:eastAsia="en-US"/>
        </w:rPr>
      </w:pPr>
      <w:r w:rsidRPr="00264707">
        <w:rPr>
          <w:sz w:val="23"/>
          <w:szCs w:val="23"/>
          <w:lang w:eastAsia="en-US"/>
        </w:rPr>
        <w:t>Teadlikkuse ja arusaamise tõstmine PPP-st nii avalikus sektoris</w:t>
      </w:r>
      <w:r w:rsidR="000E5304">
        <w:rPr>
          <w:sz w:val="23"/>
          <w:szCs w:val="23"/>
          <w:lang w:eastAsia="en-US"/>
        </w:rPr>
        <w:t xml:space="preserve"> </w:t>
      </w:r>
      <w:r w:rsidRPr="00264707">
        <w:rPr>
          <w:sz w:val="23"/>
          <w:szCs w:val="23"/>
          <w:lang w:eastAsia="en-US"/>
        </w:rPr>
        <w:t>ja erasektoris laiemalt nagu ka ühiskonnas.</w:t>
      </w:r>
    </w:p>
    <w:p w:rsidR="002F4A30" w:rsidRPr="00B70B75" w:rsidRDefault="002F4A30" w:rsidP="002F4A30">
      <w:pPr>
        <w:pStyle w:val="Caption"/>
        <w:jc w:val="center"/>
        <w:rPr>
          <w:rFonts w:ascii="Times New Roman" w:hAnsi="Times New Roman" w:cs="Times New Roman"/>
          <w:color w:val="auto"/>
          <w:sz w:val="23"/>
          <w:szCs w:val="23"/>
        </w:rPr>
      </w:pPr>
      <w:r>
        <w:rPr>
          <w:rFonts w:ascii="Times New Roman" w:hAnsi="Times New Roman" w:cs="Times New Roman"/>
          <w:color w:val="auto"/>
          <w:sz w:val="23"/>
          <w:szCs w:val="23"/>
        </w:rPr>
        <w:t>Hoonestatud kinnisvara reformi tegevuskava</w:t>
      </w:r>
      <w:r w:rsidR="000E5304">
        <w:rPr>
          <w:rFonts w:ascii="Times New Roman" w:hAnsi="Times New Roman" w:cs="Times New Roman"/>
          <w:color w:val="auto"/>
          <w:sz w:val="23"/>
          <w:szCs w:val="23"/>
        </w:rPr>
        <w:t xml:space="preserve"> </w:t>
      </w:r>
    </w:p>
    <w:bookmarkStart w:id="65" w:name="_MON_1501050753"/>
    <w:bookmarkEnd w:id="65"/>
    <w:p w:rsidR="002F4A30" w:rsidRDefault="002F4A30" w:rsidP="002F4A30">
      <w:pPr>
        <w:spacing w:after="200" w:line="276" w:lineRule="auto"/>
        <w:ind w:left="-1134"/>
        <w:rPr>
          <w:b/>
          <w:bCs/>
          <w:sz w:val="23"/>
          <w:szCs w:val="23"/>
        </w:rPr>
      </w:pPr>
      <w:r w:rsidRPr="00656D03">
        <w:rPr>
          <w:b/>
          <w:bCs/>
          <w:sz w:val="23"/>
          <w:szCs w:val="23"/>
        </w:rPr>
        <w:object w:dxaOrig="11419" w:dyaOrig="7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3.25pt;height:338.2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Excel.Sheet.12" ShapeID="_x0000_i1025" DrawAspect="Content" ObjectID="_1511701558" r:id="rId14"/>
        </w:object>
      </w:r>
    </w:p>
    <w:p w:rsidR="002F4A30" w:rsidRPr="00B70B75" w:rsidRDefault="002F4A30" w:rsidP="002F4A30">
      <w:pPr>
        <w:pStyle w:val="Heading1"/>
        <w:keepLines w:val="0"/>
        <w:numPr>
          <w:ilvl w:val="0"/>
          <w:numId w:val="71"/>
        </w:numPr>
        <w:spacing w:before="0" w:after="0"/>
        <w:jc w:val="left"/>
        <w:rPr>
          <w:sz w:val="23"/>
          <w:szCs w:val="23"/>
          <w:u w:val="single"/>
        </w:rPr>
      </w:pPr>
      <w:bookmarkStart w:id="66" w:name="_Toc426060345"/>
      <w:bookmarkStart w:id="67" w:name="_Toc433915044"/>
      <w:bookmarkStart w:id="68" w:name="_Toc433980681"/>
      <w:r w:rsidRPr="00B70B75">
        <w:rPr>
          <w:sz w:val="23"/>
          <w:szCs w:val="23"/>
          <w:u w:val="single"/>
        </w:rPr>
        <w:t>Võimalused tõhustada riigi hoonestamata maade valitsemist</w:t>
      </w:r>
      <w:bookmarkEnd w:id="66"/>
      <w:r>
        <w:rPr>
          <w:sz w:val="23"/>
          <w:szCs w:val="23"/>
          <w:u w:val="single"/>
        </w:rPr>
        <w:t xml:space="preserve"> ja menetlusi</w:t>
      </w:r>
      <w:bookmarkEnd w:id="67"/>
      <w:bookmarkEnd w:id="68"/>
    </w:p>
    <w:p w:rsidR="002F4A30" w:rsidRPr="00B70B75" w:rsidRDefault="002F4A30" w:rsidP="0088490D">
      <w:pPr>
        <w:pStyle w:val="ListParagraph"/>
        <w:numPr>
          <w:ilvl w:val="0"/>
          <w:numId w:val="58"/>
        </w:numPr>
        <w:spacing w:after="0"/>
        <w:ind w:left="0" w:firstLine="0"/>
        <w:rPr>
          <w:sz w:val="23"/>
          <w:szCs w:val="23"/>
        </w:rPr>
      </w:pPr>
      <w:r w:rsidRPr="00B70B75">
        <w:rPr>
          <w:b/>
          <w:sz w:val="23"/>
          <w:szCs w:val="23"/>
        </w:rPr>
        <w:t xml:space="preserve">Hoonestamata maade haldamise kompetentsi koondamine Maa-ametisse. </w:t>
      </w:r>
      <w:r w:rsidRPr="00B70B75">
        <w:rPr>
          <w:sz w:val="23"/>
          <w:szCs w:val="23"/>
        </w:rPr>
        <w:t>Riigi hoonestatud kinnisvara korrashoid ja arendamine on vastavalt riigi kinnisvarastrateegiale kavandatud korraldada RKAS-i kaudu (v.a Kaitseministeerium ja RMK), hoonestamata maade valitsemisel nii selget strateegilist lähenemist ei ole.</w:t>
      </w:r>
      <w:r w:rsidR="000E5304">
        <w:rPr>
          <w:sz w:val="23"/>
          <w:szCs w:val="23"/>
        </w:rPr>
        <w:t xml:space="preserve"> </w:t>
      </w:r>
      <w:r w:rsidRPr="00B70B75">
        <w:rPr>
          <w:sz w:val="23"/>
          <w:szCs w:val="23"/>
        </w:rPr>
        <w:t>Hoonestamata maade haldamise kompetentsi koondamine Keskkonnaministeeriumisse (Maa-ametisse) võimaldaks vähendada teiste valitsemisalade koormust ja suurendaks riigi maaportfelli haldamise tõhusust. Eesmärgiks võiks olla, et kõik valitsejad (v.a Kaitseministeerium ja RMK), annavad</w:t>
      </w:r>
      <w:r w:rsidR="000E5304">
        <w:rPr>
          <w:sz w:val="23"/>
          <w:szCs w:val="23"/>
        </w:rPr>
        <w:t xml:space="preserve"> </w:t>
      </w:r>
      <w:r w:rsidRPr="00B70B75">
        <w:rPr>
          <w:sz w:val="23"/>
          <w:szCs w:val="23"/>
        </w:rPr>
        <w:t>enda valitsemisel olevad hoonestamata kinnistute valitsemise üle Keskkonnaministeeriumile (Maa-ametile)</w:t>
      </w:r>
      <w:r w:rsidR="005B2CCA">
        <w:rPr>
          <w:sz w:val="23"/>
          <w:szCs w:val="23"/>
        </w:rPr>
        <w:t xml:space="preserve">. </w:t>
      </w:r>
      <w:r w:rsidRPr="00B70B75">
        <w:rPr>
          <w:sz w:val="23"/>
          <w:szCs w:val="23"/>
        </w:rPr>
        <w:t>Juhul kui valitsejale esitatakse taotlus vara otsustuskorras võõrandamiseks antakse vara valitsemine üle varem ja võõrandamise menetluse teeb Maa-amet. Eraldi vajab analüüsi maavalitsuste valitsemisel olevate varade valitsemine, mis on koormatud maareformi seaduse alusel sõlmitud kasutuslepingutega</w:t>
      </w:r>
      <w:r>
        <w:rPr>
          <w:sz w:val="23"/>
          <w:szCs w:val="23"/>
        </w:rPr>
        <w:t xml:space="preserve"> ja hüpoteekidega</w:t>
      </w:r>
      <w:r w:rsidRPr="00B70B75">
        <w:rPr>
          <w:sz w:val="23"/>
          <w:szCs w:val="23"/>
        </w:rPr>
        <w:t xml:space="preserve">. </w:t>
      </w:r>
    </w:p>
    <w:p w:rsidR="002F4A30" w:rsidRPr="00B70B75" w:rsidRDefault="002F4A30" w:rsidP="0088490D">
      <w:pPr>
        <w:pStyle w:val="ListParagraph"/>
        <w:numPr>
          <w:ilvl w:val="0"/>
          <w:numId w:val="58"/>
        </w:numPr>
        <w:spacing w:after="0"/>
        <w:ind w:left="0" w:firstLine="0"/>
        <w:rPr>
          <w:b/>
          <w:sz w:val="23"/>
          <w:szCs w:val="23"/>
        </w:rPr>
      </w:pPr>
      <w:r w:rsidRPr="00B70B75">
        <w:rPr>
          <w:b/>
          <w:sz w:val="23"/>
          <w:szCs w:val="23"/>
        </w:rPr>
        <w:t xml:space="preserve">Kasutuslepingute haldamise koondamine. </w:t>
      </w:r>
      <w:r w:rsidRPr="00B70B75">
        <w:rPr>
          <w:sz w:val="23"/>
          <w:szCs w:val="23"/>
        </w:rPr>
        <w:t>Sarnaselt hoonestamata maade kompetentsi koondamisega</w:t>
      </w:r>
      <w:r w:rsidRPr="00B70B75">
        <w:rPr>
          <w:b/>
          <w:sz w:val="23"/>
          <w:szCs w:val="23"/>
        </w:rPr>
        <w:t xml:space="preserve"> </w:t>
      </w:r>
      <w:r w:rsidRPr="00B70B75">
        <w:rPr>
          <w:sz w:val="23"/>
          <w:szCs w:val="23"/>
        </w:rPr>
        <w:t xml:space="preserve">võimaldaks </w:t>
      </w:r>
      <w:r>
        <w:rPr>
          <w:sz w:val="23"/>
          <w:szCs w:val="23"/>
        </w:rPr>
        <w:t xml:space="preserve">hoonestamata maade kasutuslepingute haldamise </w:t>
      </w:r>
      <w:r w:rsidRPr="00B70B75">
        <w:rPr>
          <w:sz w:val="23"/>
          <w:szCs w:val="23"/>
        </w:rPr>
        <w:t xml:space="preserve">konsolideerimine vähendada </w:t>
      </w:r>
      <w:r>
        <w:rPr>
          <w:sz w:val="23"/>
          <w:szCs w:val="23"/>
        </w:rPr>
        <w:t>riigiasutuste</w:t>
      </w:r>
      <w:r w:rsidR="000E5304">
        <w:rPr>
          <w:sz w:val="23"/>
          <w:szCs w:val="23"/>
        </w:rPr>
        <w:t xml:space="preserve"> </w:t>
      </w:r>
      <w:r w:rsidRPr="00B70B75">
        <w:rPr>
          <w:sz w:val="23"/>
          <w:szCs w:val="23"/>
        </w:rPr>
        <w:t>koormust ja suurenda</w:t>
      </w:r>
      <w:r>
        <w:rPr>
          <w:sz w:val="23"/>
          <w:szCs w:val="23"/>
        </w:rPr>
        <w:t>da</w:t>
      </w:r>
      <w:r w:rsidRPr="00B70B75">
        <w:rPr>
          <w:sz w:val="23"/>
          <w:szCs w:val="23"/>
        </w:rPr>
        <w:t xml:space="preserve"> haldamise tõhusust. Eesmärgiks võiks olla, et kõik valitsejad (v.a Kai</w:t>
      </w:r>
      <w:r>
        <w:rPr>
          <w:sz w:val="23"/>
          <w:szCs w:val="23"/>
        </w:rPr>
        <w:t>tseministeerium ja RMK) annavad</w:t>
      </w:r>
      <w:r w:rsidRPr="00B70B75">
        <w:rPr>
          <w:sz w:val="23"/>
          <w:szCs w:val="23"/>
        </w:rPr>
        <w:t xml:space="preserve"> enda valitsemisel olevate lepingute valitsemise üle kas Keskkonnaministeeriumile, või</w:t>
      </w:r>
      <w:r w:rsidR="000E5304">
        <w:rPr>
          <w:sz w:val="23"/>
          <w:szCs w:val="23"/>
        </w:rPr>
        <w:t xml:space="preserve"> </w:t>
      </w:r>
      <w:r w:rsidRPr="00B70B75">
        <w:rPr>
          <w:sz w:val="23"/>
          <w:szCs w:val="23"/>
        </w:rPr>
        <w:t>Riigi Tugiteenuste Keskusele</w:t>
      </w:r>
      <w:r>
        <w:rPr>
          <w:sz w:val="23"/>
          <w:szCs w:val="23"/>
        </w:rPr>
        <w:t xml:space="preserve"> (maareformi läbiviimisel sõlmitud lepingud)</w:t>
      </w:r>
      <w:r w:rsidRPr="00B70B75">
        <w:rPr>
          <w:sz w:val="23"/>
          <w:szCs w:val="23"/>
        </w:rPr>
        <w:t>.</w:t>
      </w:r>
      <w:r w:rsidR="000E5304">
        <w:rPr>
          <w:sz w:val="23"/>
          <w:szCs w:val="23"/>
        </w:rPr>
        <w:t xml:space="preserve"> </w:t>
      </w:r>
    </w:p>
    <w:p w:rsidR="002F4A30" w:rsidRPr="00B70B75" w:rsidRDefault="002F4A30" w:rsidP="002F4A30">
      <w:pPr>
        <w:pStyle w:val="ListParagraph"/>
        <w:numPr>
          <w:ilvl w:val="0"/>
          <w:numId w:val="49"/>
        </w:numPr>
        <w:spacing w:before="0" w:after="0"/>
        <w:ind w:left="0" w:firstLine="0"/>
        <w:rPr>
          <w:sz w:val="23"/>
          <w:szCs w:val="23"/>
        </w:rPr>
      </w:pPr>
      <w:r w:rsidRPr="00B70B75">
        <w:rPr>
          <w:sz w:val="23"/>
          <w:szCs w:val="23"/>
        </w:rPr>
        <w:t>Riik on lepingu alusel kasutusse andnud 13 503 kinnistut (või osa kinnistust) millest 634 on hoonestatud</w:t>
      </w:r>
      <w:r>
        <w:rPr>
          <w:sz w:val="23"/>
          <w:szCs w:val="23"/>
        </w:rPr>
        <w:t xml:space="preserve"> (hoonestatud varade lepingute haldamine läheb RKAS-ile üle koos hoonete üle andmisega)</w:t>
      </w:r>
      <w:r w:rsidRPr="00B70B75">
        <w:rPr>
          <w:sz w:val="23"/>
          <w:szCs w:val="23"/>
        </w:rPr>
        <w:t xml:space="preserve">. Riigi omandis olevast maast on teistele isikutele kasutamiseks antud 22% ning hoonetest 6%. </w:t>
      </w:r>
    </w:p>
    <w:p w:rsidR="002F4A30" w:rsidRPr="00B70B75" w:rsidRDefault="002F4A30" w:rsidP="002F4A30">
      <w:pPr>
        <w:pStyle w:val="ListParagraph"/>
        <w:numPr>
          <w:ilvl w:val="0"/>
          <w:numId w:val="49"/>
        </w:numPr>
        <w:spacing w:before="0" w:after="0"/>
        <w:ind w:left="0" w:firstLine="0"/>
        <w:rPr>
          <w:sz w:val="23"/>
          <w:szCs w:val="23"/>
        </w:rPr>
      </w:pPr>
      <w:r w:rsidRPr="00B70B75">
        <w:rPr>
          <w:sz w:val="23"/>
          <w:szCs w:val="23"/>
        </w:rPr>
        <w:t xml:space="preserve">Kokku oli 2014. a lõpu seisuga 14 446 kasutuslepingut, millest 5% on hoonestatud vara üürilepingud, 49% hoonestamata maa kasutamiseks andmise lepingud (maa rentimine, rentimine kaevandamiseks, kasutusvaldus, hoonestusõigus, isiklik kasutusõigus ja servituut) ning 46% maareformi seaduse alusel sõlmitud kasutusvalduse ja hoonestusõiguse lepingud. </w:t>
      </w:r>
    </w:p>
    <w:p w:rsidR="002F4A30" w:rsidRPr="00B70B75" w:rsidRDefault="002F4A30" w:rsidP="002F4A30">
      <w:pPr>
        <w:pStyle w:val="ListParagraph"/>
        <w:numPr>
          <w:ilvl w:val="0"/>
          <w:numId w:val="49"/>
        </w:numPr>
        <w:spacing w:before="0" w:after="0"/>
        <w:ind w:left="0" w:firstLine="0"/>
        <w:rPr>
          <w:sz w:val="23"/>
          <w:szCs w:val="23"/>
        </w:rPr>
      </w:pPr>
      <w:r w:rsidRPr="00B70B75">
        <w:rPr>
          <w:sz w:val="23"/>
          <w:szCs w:val="23"/>
        </w:rPr>
        <w:t>Ligikaudu pooled lepingutest on maavalitsuste valitsemisel (maareformi lepingud), neljandik Majandus- ja kommunikatsiooniministeeriumi valitsemisalas</w:t>
      </w:r>
      <w:r w:rsidR="000E5304">
        <w:rPr>
          <w:sz w:val="23"/>
          <w:szCs w:val="23"/>
        </w:rPr>
        <w:t xml:space="preserve"> </w:t>
      </w:r>
      <w:r w:rsidRPr="00B70B75">
        <w:rPr>
          <w:sz w:val="23"/>
          <w:szCs w:val="23"/>
        </w:rPr>
        <w:t xml:space="preserve">(Maanteeameti lepingud teede ja tehnorajatiste talumiseks), viiendik Keskkonnaministeeriumi valitsemisel, ülejäänud kümnendik ülejäänud valitsejatel. </w:t>
      </w:r>
    </w:p>
    <w:p w:rsidR="002F4A30" w:rsidRPr="00B70B75" w:rsidRDefault="002F4A30" w:rsidP="0088490D">
      <w:pPr>
        <w:pStyle w:val="ListParagraph"/>
        <w:numPr>
          <w:ilvl w:val="0"/>
          <w:numId w:val="58"/>
        </w:numPr>
        <w:spacing w:after="0"/>
        <w:ind w:left="0" w:firstLine="0"/>
        <w:rPr>
          <w:b/>
          <w:sz w:val="23"/>
          <w:szCs w:val="23"/>
        </w:rPr>
      </w:pPr>
      <w:r w:rsidRPr="00B70B75">
        <w:rPr>
          <w:b/>
          <w:sz w:val="23"/>
          <w:szCs w:val="23"/>
        </w:rPr>
        <w:t>Menetluste lihtsustamine</w:t>
      </w:r>
      <w:r>
        <w:rPr>
          <w:b/>
          <w:sz w:val="23"/>
          <w:szCs w:val="23"/>
        </w:rPr>
        <w:t>,</w:t>
      </w:r>
      <w:r w:rsidRPr="00B70B75">
        <w:rPr>
          <w:b/>
          <w:sz w:val="23"/>
          <w:szCs w:val="23"/>
        </w:rPr>
        <w:t xml:space="preserve"> vähendades dubleerimist ja kaotades ära Rahandusministeeriumi kooskõlastamise kohustuse</w:t>
      </w:r>
      <w:r>
        <w:rPr>
          <w:b/>
          <w:sz w:val="23"/>
          <w:szCs w:val="23"/>
        </w:rPr>
        <w:t xml:space="preserve">. </w:t>
      </w:r>
      <w:r w:rsidRPr="008C1B17">
        <w:rPr>
          <w:sz w:val="23"/>
          <w:szCs w:val="23"/>
        </w:rPr>
        <w:t>Menetluses oleva riigivaraseaduse muutmisega kavandatakse mitmeid muudatusi menetluste lihtsustamiseks.</w:t>
      </w:r>
      <w:r w:rsidRPr="008C1B17">
        <w:rPr>
          <w:b/>
          <w:sz w:val="23"/>
          <w:szCs w:val="23"/>
        </w:rPr>
        <w:t xml:space="preserve"> </w:t>
      </w:r>
      <w:r w:rsidRPr="008C1B17">
        <w:rPr>
          <w:sz w:val="23"/>
          <w:szCs w:val="23"/>
        </w:rPr>
        <w:t>Täiendavalt on võimalik menetlusi lihtsustada loobudes Rahandusministeeriumi kooskõlastamise kohustusest võõrandamise ja kasutamiseks andmise tehingutel, kus kompetents on koondumas RKAS-i ja Maa-ametisse</w:t>
      </w:r>
      <w:r>
        <w:rPr>
          <w:sz w:val="23"/>
          <w:szCs w:val="23"/>
        </w:rPr>
        <w:t xml:space="preserve"> ning kinnisvara kasutamiseks võtmisel, kus seda on seni tehtud tagasihoidlikult</w:t>
      </w:r>
      <w:r w:rsidRPr="008C1B17">
        <w:rPr>
          <w:sz w:val="23"/>
          <w:szCs w:val="23"/>
        </w:rPr>
        <w:t>.</w:t>
      </w:r>
      <w:r w:rsidR="000E5304">
        <w:rPr>
          <w:sz w:val="23"/>
          <w:szCs w:val="23"/>
        </w:rPr>
        <w:t xml:space="preserve"> </w:t>
      </w:r>
      <w:r>
        <w:rPr>
          <w:sz w:val="23"/>
          <w:szCs w:val="23"/>
        </w:rPr>
        <w:t xml:space="preserve">Kasutamiseks võtmise otsuste põhjalikum analüüs on vajalik, kuid kooskõlastamine ei ole selleks piisav meede. </w:t>
      </w:r>
      <w:r w:rsidRPr="008C1B17">
        <w:rPr>
          <w:sz w:val="23"/>
          <w:szCs w:val="23"/>
        </w:rPr>
        <w:t xml:space="preserve">Üks viis jooksva halduskoormuse vähendamiseks tehingutes oleks erakorralise hindamiste läbiviimise asemel tehingutes korralise hindamise tulemuste </w:t>
      </w:r>
      <w:r>
        <w:rPr>
          <w:sz w:val="23"/>
          <w:szCs w:val="23"/>
        </w:rPr>
        <w:t xml:space="preserve">kasutamine, mille eelduseks on korralise hindamise tulemuste </w:t>
      </w:r>
      <w:r w:rsidRPr="008C1B17">
        <w:rPr>
          <w:sz w:val="23"/>
          <w:szCs w:val="23"/>
        </w:rPr>
        <w:t>aktuaalsena hoidmine.</w:t>
      </w:r>
    </w:p>
    <w:p w:rsidR="002F4A30" w:rsidRPr="00B70B75" w:rsidRDefault="002F4A30" w:rsidP="0088490D">
      <w:pPr>
        <w:pStyle w:val="ListParagraph"/>
        <w:numPr>
          <w:ilvl w:val="0"/>
          <w:numId w:val="58"/>
        </w:numPr>
        <w:spacing w:after="0"/>
        <w:ind w:left="0" w:firstLine="0"/>
        <w:rPr>
          <w:sz w:val="23"/>
          <w:szCs w:val="23"/>
        </w:rPr>
      </w:pPr>
      <w:r w:rsidRPr="00B70B75">
        <w:rPr>
          <w:b/>
          <w:sz w:val="23"/>
          <w:szCs w:val="23"/>
        </w:rPr>
        <w:t xml:space="preserve">Valitsuse poolt heaks kiidetud müügikriteeriumide ja strateegilise vaate loomine hoonestamata maade portfelli kohta. </w:t>
      </w:r>
      <w:r w:rsidRPr="00B70B75">
        <w:rPr>
          <w:sz w:val="23"/>
          <w:szCs w:val="23"/>
        </w:rPr>
        <w:t>Sellise vaate puudumine</w:t>
      </w:r>
      <w:r w:rsidRPr="00B70B75">
        <w:rPr>
          <w:b/>
          <w:sz w:val="23"/>
          <w:szCs w:val="23"/>
        </w:rPr>
        <w:t xml:space="preserve"> </w:t>
      </w:r>
      <w:r w:rsidRPr="00B70B75">
        <w:rPr>
          <w:sz w:val="23"/>
          <w:szCs w:val="23"/>
        </w:rPr>
        <w:t xml:space="preserve">on tinginud olukordi, kus lühiajaline eelarve eesmärkide täitmine valitseb maa kui pikaajalise ressursi säilitamise ja pikaajalise tulu saamise eesmärke või kus riigile või kohalikele omavalitsustele arenguks vajalik maa võõrandatakse ja hiljem ostetakse kallimalt tagasi. Vabariigi Valitsuse tegevusprogrammis (VVTP) on keskkonnaministril koostöös riigihalduse ministriga ülesanne tähtajaga märts 2016 läbi viia analüüs ja esitada ettepanekud maareformi lõpetamise, riigi maareservi moodustamise ja riigimaa reservina säilitamise põhimõtete määratlemiseks. Selle ülesande täitmisel tuleb defineerida selgelt riigi maapoliitika põhimõtete, sealhulgas riigi maareservi suuruse kindlaksmääramine ning kohaliku omavalitsuse üksustele seadusega pandud ülesannete täitmiseks ja arengu tagamiseks vajaliku maa munitsipaliseerimise küsimuse lahendamine. Selle ülesande täitmisel tuleb kokku leppida ka täpsemad võõrandamise põhimõtteid eesmärgiga maksimeerida varast laekuvat võimalikku tulu. </w:t>
      </w:r>
    </w:p>
    <w:p w:rsidR="002F4A30" w:rsidRPr="00B70B75" w:rsidRDefault="002F4A30" w:rsidP="0088490D">
      <w:pPr>
        <w:pStyle w:val="ListParagraph"/>
        <w:numPr>
          <w:ilvl w:val="0"/>
          <w:numId w:val="58"/>
        </w:numPr>
        <w:spacing w:after="0"/>
        <w:ind w:left="0" w:firstLine="0"/>
        <w:rPr>
          <w:sz w:val="23"/>
          <w:szCs w:val="23"/>
        </w:rPr>
      </w:pPr>
      <w:r w:rsidRPr="00B70B75">
        <w:rPr>
          <w:b/>
          <w:sz w:val="23"/>
          <w:szCs w:val="23"/>
        </w:rPr>
        <w:t>Müügitulu kõrval otsida võimalusi maa renditulu tõstmiseks.</w:t>
      </w:r>
      <w:r w:rsidR="000E5304">
        <w:rPr>
          <w:sz w:val="23"/>
          <w:szCs w:val="23"/>
        </w:rPr>
        <w:t xml:space="preserve"> </w:t>
      </w:r>
      <w:r w:rsidRPr="00B70B75">
        <w:rPr>
          <w:sz w:val="23"/>
          <w:szCs w:val="23"/>
        </w:rPr>
        <w:t xml:space="preserve">Üheks võimaluseks siin oleks maa korralise hindamise läbiviimine. </w:t>
      </w:r>
    </w:p>
    <w:p w:rsidR="002F4A30" w:rsidRPr="00B70B75" w:rsidRDefault="002F4A30" w:rsidP="0088490D">
      <w:pPr>
        <w:pStyle w:val="ListParagraph"/>
        <w:numPr>
          <w:ilvl w:val="0"/>
          <w:numId w:val="58"/>
        </w:numPr>
        <w:spacing w:after="0"/>
        <w:ind w:left="0" w:firstLine="0"/>
        <w:rPr>
          <w:sz w:val="23"/>
          <w:szCs w:val="23"/>
        </w:rPr>
      </w:pPr>
      <w:r w:rsidRPr="00B70B75">
        <w:rPr>
          <w:b/>
          <w:sz w:val="23"/>
          <w:szCs w:val="23"/>
        </w:rPr>
        <w:t>Korralise hindamise tulemuste kasutamine tehingute alusena tõhustades menetlusi.</w:t>
      </w:r>
      <w:r w:rsidR="000E5304">
        <w:rPr>
          <w:b/>
          <w:sz w:val="23"/>
          <w:szCs w:val="23"/>
        </w:rPr>
        <w:t xml:space="preserve"> </w:t>
      </w:r>
      <w:r w:rsidRPr="00B70B75">
        <w:rPr>
          <w:sz w:val="23"/>
          <w:szCs w:val="23"/>
        </w:rPr>
        <w:t xml:space="preserve">Viimane maa korraline hindamine viidi läbi 2001. aastal. Korralise hindamise tulemusi kasutatakse maa maksubaasina, mille alusel arvutatakse maamaksu koormus. Uue korralise hindamise läbiviimisega on võimalik, et kasvaks kohalikele omavalitsustele maamaksust laekuv tulu </w:t>
      </w:r>
      <w:r>
        <w:rPr>
          <w:sz w:val="23"/>
          <w:szCs w:val="23"/>
        </w:rPr>
        <w:t>kuid</w:t>
      </w:r>
      <w:r w:rsidRPr="00B70B75">
        <w:rPr>
          <w:sz w:val="23"/>
          <w:szCs w:val="23"/>
        </w:rPr>
        <w:t xml:space="preserve"> ühtlasi ka riigi kui maaomaniku maksukoormus.</w:t>
      </w:r>
      <w:r w:rsidR="000E5304">
        <w:rPr>
          <w:sz w:val="23"/>
          <w:szCs w:val="23"/>
        </w:rPr>
        <w:t xml:space="preserve"> </w:t>
      </w:r>
      <w:r w:rsidRPr="00B70B75">
        <w:rPr>
          <w:sz w:val="23"/>
          <w:szCs w:val="23"/>
        </w:rPr>
        <w:t>Lisaks on võimalik korralise hindamise tulemusi kasutada riigi hoonestamata maade valitsemise tõhustamisel:</w:t>
      </w:r>
      <w:r w:rsidR="000E5304">
        <w:rPr>
          <w:sz w:val="23"/>
          <w:szCs w:val="23"/>
        </w:rPr>
        <w:t xml:space="preserve"> </w:t>
      </w:r>
    </w:p>
    <w:p w:rsidR="002F4A30" w:rsidRPr="00B70B75" w:rsidRDefault="002F4A30" w:rsidP="002F4A30">
      <w:pPr>
        <w:pStyle w:val="ListParagraph"/>
        <w:numPr>
          <w:ilvl w:val="1"/>
          <w:numId w:val="58"/>
        </w:numPr>
        <w:spacing w:before="0" w:after="0"/>
        <w:rPr>
          <w:sz w:val="23"/>
          <w:szCs w:val="23"/>
        </w:rPr>
      </w:pPr>
      <w:r w:rsidRPr="00B70B75">
        <w:rPr>
          <w:sz w:val="23"/>
          <w:szCs w:val="23"/>
        </w:rPr>
        <w:t>Riik teenib kasutusse antud varadelt kasutustasu 3,6 mln eurot aastas, sh</w:t>
      </w:r>
      <w:r w:rsidR="0088490D">
        <w:rPr>
          <w:sz w:val="23"/>
          <w:szCs w:val="23"/>
        </w:rPr>
        <w:t xml:space="preserve"> maadelt 3,1 mln eurot aastas, </w:t>
      </w:r>
      <w:r w:rsidRPr="00B70B75">
        <w:rPr>
          <w:sz w:val="23"/>
          <w:szCs w:val="23"/>
        </w:rPr>
        <w:t xml:space="preserve">sellest on maa korralise hindamise tulemustega seotud ca 1,6 mln eurot aastas (lepingus on tingimus, et korralise hindamise läbiviimisel ja uue baasväärtuse tekkimisel on riigil õigus ühepoolselt tasu muuta). Hinnanguliselt võib korralise hindamise läbiviimisega ja maa väärtuse aktualiseerimisega maa väärtus tõusta kolm korda, see tähendaks </w:t>
      </w:r>
      <w:r w:rsidRPr="00B70B75">
        <w:rPr>
          <w:b/>
          <w:sz w:val="23"/>
          <w:szCs w:val="23"/>
        </w:rPr>
        <w:t>riigi renditulu kasvu ca 3,2 mln eurot aastas</w:t>
      </w:r>
      <w:r w:rsidRPr="00B70B75">
        <w:rPr>
          <w:sz w:val="23"/>
          <w:szCs w:val="23"/>
        </w:rPr>
        <w:t>.</w:t>
      </w:r>
    </w:p>
    <w:p w:rsidR="002F4A30" w:rsidRPr="00B70B75" w:rsidRDefault="002F4A30" w:rsidP="002F4A30">
      <w:pPr>
        <w:pStyle w:val="ListParagraph"/>
        <w:numPr>
          <w:ilvl w:val="1"/>
          <w:numId w:val="58"/>
        </w:numPr>
        <w:spacing w:before="0" w:after="0"/>
        <w:rPr>
          <w:sz w:val="23"/>
          <w:szCs w:val="23"/>
        </w:rPr>
      </w:pPr>
      <w:r w:rsidRPr="00B70B75">
        <w:rPr>
          <w:sz w:val="23"/>
          <w:szCs w:val="23"/>
        </w:rPr>
        <w:t xml:space="preserve">Tulemusi oleks võimalik kasutada paljude </w:t>
      </w:r>
      <w:r w:rsidRPr="00B70B75">
        <w:rPr>
          <w:b/>
          <w:sz w:val="23"/>
          <w:szCs w:val="23"/>
        </w:rPr>
        <w:t>riigi poolt tehtavate tehingute alusena ilma täiendavate kulude tegemise</w:t>
      </w:r>
      <w:r>
        <w:rPr>
          <w:b/>
          <w:sz w:val="23"/>
          <w:szCs w:val="23"/>
        </w:rPr>
        <w:t>ta</w:t>
      </w:r>
      <w:r w:rsidRPr="00B70B75">
        <w:rPr>
          <w:b/>
          <w:sz w:val="23"/>
          <w:szCs w:val="23"/>
        </w:rPr>
        <w:t xml:space="preserve"> erakorraliseks hindamiseks</w:t>
      </w:r>
      <w:r w:rsidRPr="00B70B75">
        <w:rPr>
          <w:sz w:val="23"/>
          <w:szCs w:val="23"/>
        </w:rPr>
        <w:t>. See puudutab hoonestamata maa võõrandamise ja ka kasutamiseks andmise tehinguid piirkondades, kus hariliku väärtuse (turuväärtuse) hindamine on aktiivse turu puudumise tõttu keerukas. Kui korrali</w:t>
      </w:r>
      <w:r>
        <w:rPr>
          <w:sz w:val="23"/>
          <w:szCs w:val="23"/>
        </w:rPr>
        <w:t>s</w:t>
      </w:r>
      <w:r w:rsidRPr="00B70B75">
        <w:rPr>
          <w:sz w:val="23"/>
          <w:szCs w:val="23"/>
        </w:rPr>
        <w:t xml:space="preserve">e hindamise tulemused oleksid aktuaalsed ja avalikud, oleks võimalik neid kasutada tehingute alusena ja sellega kokku hoida jooksvaid menetluskulusid. Samuti on võimalik kasutada korralise hindamise tulemusi maade omandamisel eelkõige teede rajamiseks (võimaldaks tõhustada ka Rail Balticu projektis maade omandamise protsessi). </w:t>
      </w:r>
    </w:p>
    <w:p w:rsidR="002F4A30" w:rsidRPr="00B70B75" w:rsidRDefault="002F4A30" w:rsidP="002F4A30">
      <w:pPr>
        <w:pStyle w:val="ListParagraph"/>
        <w:numPr>
          <w:ilvl w:val="1"/>
          <w:numId w:val="58"/>
        </w:numPr>
        <w:spacing w:before="0" w:after="0"/>
        <w:rPr>
          <w:sz w:val="23"/>
          <w:szCs w:val="23"/>
        </w:rPr>
      </w:pPr>
      <w:r w:rsidRPr="00B70B75">
        <w:rPr>
          <w:sz w:val="23"/>
          <w:szCs w:val="23"/>
        </w:rPr>
        <w:t xml:space="preserve">Tulemusi oleks võimalik kajastada </w:t>
      </w:r>
      <w:r w:rsidRPr="00B70B75">
        <w:rPr>
          <w:b/>
          <w:sz w:val="23"/>
          <w:szCs w:val="23"/>
        </w:rPr>
        <w:t>maa väärtuse aktualiseerimisel</w:t>
      </w:r>
      <w:r w:rsidR="000E5304">
        <w:rPr>
          <w:b/>
          <w:sz w:val="23"/>
          <w:szCs w:val="23"/>
        </w:rPr>
        <w:t xml:space="preserve"> </w:t>
      </w:r>
      <w:r w:rsidRPr="00B70B75">
        <w:rPr>
          <w:b/>
          <w:sz w:val="23"/>
          <w:szCs w:val="23"/>
        </w:rPr>
        <w:t>raamatupidamises</w:t>
      </w:r>
      <w:r w:rsidRPr="00B70B75">
        <w:rPr>
          <w:sz w:val="23"/>
          <w:szCs w:val="23"/>
        </w:rPr>
        <w:t>.</w:t>
      </w:r>
      <w:r w:rsidRPr="00B70B75">
        <w:rPr>
          <w:b/>
          <w:sz w:val="23"/>
          <w:szCs w:val="23"/>
        </w:rPr>
        <w:t xml:space="preserve"> </w:t>
      </w:r>
      <w:r w:rsidRPr="00B70B75">
        <w:rPr>
          <w:sz w:val="23"/>
          <w:szCs w:val="23"/>
        </w:rPr>
        <w:t xml:space="preserve">Riigi maa väärtus bilansis tugineb valdavalt 2001. aastal läbi viidud korralise hindamise tulemustele: riigi omandis maa väärtus ilma RMK-ta on 124,3 miljonit eurot (0,05 eurot/m²), RMK valitsemisel olevamaa väärtus 329,4 miljonit eurot (0,02 eurot/m²), mis viitab, et väärtus ei ole kajastatud adekvaatselt </w:t>
      </w:r>
      <w:r>
        <w:rPr>
          <w:sz w:val="23"/>
          <w:szCs w:val="23"/>
        </w:rPr>
        <w:t>ega</w:t>
      </w:r>
      <w:r w:rsidRPr="00B70B75">
        <w:rPr>
          <w:sz w:val="23"/>
          <w:szCs w:val="23"/>
        </w:rPr>
        <w:t xml:space="preserve"> õiglaselt.</w:t>
      </w:r>
    </w:p>
    <w:p w:rsidR="0088490D" w:rsidRPr="0088490D" w:rsidRDefault="002F4A30" w:rsidP="0088490D">
      <w:pPr>
        <w:rPr>
          <w:noProof/>
          <w:sz w:val="23"/>
          <w:szCs w:val="23"/>
        </w:rPr>
      </w:pPr>
      <w:r w:rsidRPr="0088490D">
        <w:rPr>
          <w:sz w:val="23"/>
          <w:szCs w:val="23"/>
        </w:rPr>
        <w:t xml:space="preserve">VVTP-s on ühe tegevusena keskkonnaministri vastutusel ja rahandusministri kaasvastutusel maa hindamise seaduse muutmise väljatöötamiskavatsus tähtajaga veebruar 2016. Oluline on seaduse muutmisel analüüsida seaduse koosmõju riigivaraseadusega ja sätestada selgemad kriteeriumid, millal võib riigivaraga tehtavatel tehingutel tugineda korralise hindamise tulemustele. </w:t>
      </w:r>
    </w:p>
    <w:p w:rsidR="002F4A30" w:rsidRPr="0088490D" w:rsidRDefault="002F4A30" w:rsidP="0088490D">
      <w:pPr>
        <w:rPr>
          <w:rFonts w:eastAsia="Times New Roman"/>
          <w:noProof/>
          <w:sz w:val="23"/>
          <w:szCs w:val="23"/>
        </w:rPr>
      </w:pPr>
      <w:r>
        <w:br w:type="page"/>
      </w:r>
    </w:p>
    <w:p w:rsidR="003D7EC1" w:rsidRPr="00345669" w:rsidRDefault="003D7EC1" w:rsidP="003F7342">
      <w:pPr>
        <w:pStyle w:val="Suurpealkiri"/>
      </w:pPr>
      <w:bookmarkStart w:id="69" w:name="_Toc433980682"/>
      <w:r w:rsidRPr="007918CC">
        <w:t>SISSEJUHATUS</w:t>
      </w:r>
      <w:bookmarkEnd w:id="0"/>
      <w:bookmarkEnd w:id="69"/>
    </w:p>
    <w:p w:rsidR="003D7EC1" w:rsidRPr="00CE3A84" w:rsidRDefault="003D7EC1" w:rsidP="00CE3A84">
      <w:pPr>
        <w:rPr>
          <w:b/>
          <w:u w:val="single"/>
        </w:rPr>
      </w:pPr>
      <w:bookmarkStart w:id="70" w:name="_Toc371726014"/>
      <w:bookmarkStart w:id="71" w:name="_Toc371726718"/>
      <w:bookmarkStart w:id="72" w:name="_Toc371728822"/>
      <w:bookmarkStart w:id="73" w:name="_Toc371729441"/>
      <w:bookmarkStart w:id="74" w:name="_Toc371730134"/>
      <w:bookmarkStart w:id="75" w:name="_Toc380048508"/>
      <w:bookmarkStart w:id="76" w:name="_Toc412019209"/>
      <w:bookmarkStart w:id="77" w:name="_Toc412019305"/>
      <w:bookmarkStart w:id="78" w:name="_Toc412019455"/>
      <w:bookmarkStart w:id="79" w:name="_Toc412019576"/>
      <w:bookmarkStart w:id="80" w:name="_Toc418016337"/>
      <w:bookmarkStart w:id="81" w:name="_Toc423964660"/>
      <w:bookmarkStart w:id="82" w:name="_Toc424055069"/>
      <w:bookmarkStart w:id="83" w:name="_Toc424061738"/>
      <w:r w:rsidRPr="00CE3A84">
        <w:rPr>
          <w:b/>
          <w:u w:val="single"/>
        </w:rPr>
        <w:t>Aruande alused</w:t>
      </w:r>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3D7EC1" w:rsidRDefault="003D7EC1" w:rsidP="003F7342">
      <w:pPr>
        <w:spacing w:before="240" w:after="240"/>
      </w:pPr>
      <w:r w:rsidRPr="00D821B1">
        <w:t xml:space="preserve">Käesoleva aruande koostamise aluseks on </w:t>
      </w:r>
      <w:r w:rsidRPr="00E91BC5">
        <w:rPr>
          <w:b/>
        </w:rPr>
        <w:t>riigivaraseaduse</w:t>
      </w:r>
      <w:r w:rsidRPr="00D821B1">
        <w:t xml:space="preserve"> (edaspidi RVS) § 99 lõikest 1 tulenev </w:t>
      </w:r>
      <w:r w:rsidRPr="00E91BC5">
        <w:rPr>
          <w:b/>
        </w:rPr>
        <w:t>kohustus esitada üks kord aastas</w:t>
      </w:r>
      <w:r w:rsidRPr="00D821B1">
        <w:t xml:space="preserve"> Vabariigi Valitsusele riigi kinnisvara valitsemise koondaruanne, </w:t>
      </w:r>
      <w:r w:rsidRPr="00E91BC5">
        <w:rPr>
          <w:b/>
        </w:rPr>
        <w:t>vajaduse korral koos ettepanekutega</w:t>
      </w:r>
      <w:r w:rsidRPr="00D821B1">
        <w:t xml:space="preserve"> riigivara paremaks valitsemiseks.</w:t>
      </w:r>
      <w:r>
        <w:t xml:space="preserve"> </w:t>
      </w:r>
    </w:p>
    <w:p w:rsidR="003D7EC1" w:rsidRDefault="00475835" w:rsidP="003F7342">
      <w:pPr>
        <w:spacing w:before="240" w:after="240"/>
      </w:pPr>
      <w:r>
        <w:rPr>
          <w:b/>
        </w:rPr>
        <w:t>Aruanne on koostatud 2013.</w:t>
      </w:r>
      <w:r w:rsidRPr="00E91BC5">
        <w:rPr>
          <w:b/>
        </w:rPr>
        <w:t xml:space="preserve"> </w:t>
      </w:r>
      <w:r>
        <w:rPr>
          <w:b/>
        </w:rPr>
        <w:t xml:space="preserve">ja </w:t>
      </w:r>
      <w:r w:rsidRPr="00E91BC5">
        <w:rPr>
          <w:b/>
        </w:rPr>
        <w:t>201</w:t>
      </w:r>
      <w:r>
        <w:rPr>
          <w:b/>
        </w:rPr>
        <w:t>4</w:t>
      </w:r>
      <w:r w:rsidRPr="00E91BC5">
        <w:rPr>
          <w:b/>
        </w:rPr>
        <w:t>.</w:t>
      </w:r>
      <w:r>
        <w:t xml:space="preserve"> aasta kohta, seisuga 31.12.2014.</w:t>
      </w:r>
    </w:p>
    <w:p w:rsidR="003D7EC1" w:rsidRPr="00B37826" w:rsidRDefault="003D7EC1" w:rsidP="003F7342">
      <w:r w:rsidRPr="00B37826">
        <w:t>Eelmises</w:t>
      </w:r>
      <w:r w:rsidR="00C3456A">
        <w:t>, ühtlasi esimeses</w:t>
      </w:r>
      <w:r w:rsidRPr="00B37826">
        <w:t xml:space="preserve"> koondaruandes tõdeti, et riigi hoonete kohta kogutavate andmete kvaliteet on ebaühtlane, riigi hooned on halvas seisus, riigieelarves ei ole piisavalt vahendeid hoonete korda tegemiseks</w:t>
      </w:r>
      <w:r>
        <w:t xml:space="preserve">, </w:t>
      </w:r>
      <w:r w:rsidRPr="00B37826">
        <w:t>riigi kinnisvarastrateegia hoonete tõhusa arendamise ja korrashoiu eesmärgi eeldused on täitmata</w:t>
      </w:r>
      <w:r>
        <w:t>, r</w:t>
      </w:r>
      <w:r w:rsidRPr="00B37826">
        <w:t xml:space="preserve">iigile mittevajaliku vara RKAS-ile üleandmise eesmärk on valdavalt täidetud, kuid vajalikust varast on üle antud vaid kolmandik. </w:t>
      </w:r>
    </w:p>
    <w:p w:rsidR="003D7EC1" w:rsidRPr="00B37826" w:rsidRDefault="003D7EC1" w:rsidP="003F7342">
      <w:r w:rsidRPr="00B37826">
        <w:t>Eelnevast tulenevalt andis Vabariigi Valitsus koondaruande kinnitamisel 10.04.2014 kabinetiotsusega Rahandusministeeriumile ülesande esitada Vabariigi Valitsusele koos järgmise riigi kinnisvara koondaruandega 31. märtsiks 2015. a:</w:t>
      </w:r>
    </w:p>
    <w:p w:rsidR="003D7EC1" w:rsidRPr="00F97B52" w:rsidRDefault="003D7EC1" w:rsidP="00F97B52">
      <w:pPr>
        <w:pStyle w:val="ListParagraph"/>
      </w:pPr>
      <w:r w:rsidRPr="00F97B52">
        <w:t xml:space="preserve">tegevuskava riigi hoonestatud kinnistute Riigi Kinnisvara Aktsiaseltsile (edaspidi RKAS) üleandmise ja riigi hoonete andmete korrastamise kohta, </w:t>
      </w:r>
    </w:p>
    <w:p w:rsidR="003D7EC1" w:rsidRPr="00F97B52" w:rsidRDefault="003D7EC1" w:rsidP="00F97B52">
      <w:pPr>
        <w:pStyle w:val="ListParagraph"/>
      </w:pPr>
      <w:r w:rsidRPr="00F97B52">
        <w:t>ettepanekud valitsussektori väliste investeeringute RKAS-i kaudu kaasamise võimaluste kohta.</w:t>
      </w:r>
    </w:p>
    <w:p w:rsidR="00475835" w:rsidRPr="00CE3A84" w:rsidRDefault="00475835" w:rsidP="00CE3A84">
      <w:pPr>
        <w:rPr>
          <w:b/>
          <w:u w:val="single"/>
        </w:rPr>
      </w:pPr>
      <w:bookmarkStart w:id="84" w:name="_Toc418016338"/>
      <w:bookmarkStart w:id="85" w:name="_Toc423964661"/>
      <w:bookmarkStart w:id="86" w:name="_Toc424055070"/>
      <w:bookmarkStart w:id="87" w:name="_Toc424061739"/>
      <w:r w:rsidRPr="00CE3A84">
        <w:rPr>
          <w:b/>
          <w:u w:val="single"/>
        </w:rPr>
        <w:t>Aruande ulatus</w:t>
      </w:r>
    </w:p>
    <w:p w:rsidR="00475835" w:rsidRPr="0045781B" w:rsidRDefault="00475835" w:rsidP="00475835">
      <w:r w:rsidRPr="0045781B">
        <w:t xml:space="preserve">Vastavalt riigivaraseaduse § 4 lõigetele 2 ja 3 on riigivara valitsejateks, kes on kohustatud esitama ka andmeid riigi kinnisvararegistrisse: </w:t>
      </w:r>
    </w:p>
    <w:p w:rsidR="00475835" w:rsidRPr="0045781B" w:rsidRDefault="00475835" w:rsidP="00475835">
      <w:pPr>
        <w:pStyle w:val="Loend1"/>
      </w:pPr>
      <w:r w:rsidRPr="0045781B">
        <w:t>Põhiseaduslikud institutsioonid;</w:t>
      </w:r>
    </w:p>
    <w:p w:rsidR="00475835" w:rsidRPr="0045781B" w:rsidRDefault="00475835" w:rsidP="00475835">
      <w:pPr>
        <w:pStyle w:val="Loend1"/>
      </w:pPr>
      <w:r w:rsidRPr="0045781B">
        <w:t>ministeeriumid ja Riigikantselei;</w:t>
      </w:r>
    </w:p>
    <w:p w:rsidR="00475835" w:rsidRPr="0045781B" w:rsidRDefault="00475835" w:rsidP="00475835">
      <w:pPr>
        <w:pStyle w:val="Loend1"/>
      </w:pPr>
      <w:r w:rsidRPr="0045781B">
        <w:t>maavalitsused;</w:t>
      </w:r>
    </w:p>
    <w:p w:rsidR="00475835" w:rsidRPr="0045781B" w:rsidRDefault="00475835" w:rsidP="00475835">
      <w:pPr>
        <w:pStyle w:val="Loend1"/>
      </w:pPr>
      <w:r w:rsidRPr="0045781B">
        <w:t>riigitulundusasutus (Riigimetsa Majandamise Keskus</w:t>
      </w:r>
      <w:r w:rsidR="00BC11A2">
        <w:t>, edaspidi RMK</w:t>
      </w:r>
      <w:r w:rsidRPr="0045781B">
        <w:t>).</w:t>
      </w:r>
    </w:p>
    <w:p w:rsidR="00475835" w:rsidRPr="00E91BC5" w:rsidRDefault="00475835" w:rsidP="00475835">
      <w:pPr>
        <w:spacing w:before="120"/>
      </w:pPr>
      <w:r w:rsidRPr="00E91BC5">
        <w:t>Seega hõlmab käesolev aruanne vaid osa avaliku sektori kinnisvarast, mis ei kata kogu valitsussektorit ega ka keskvalitsust</w:t>
      </w:r>
      <w:r>
        <w:t xml:space="preserve"> (vaata</w:t>
      </w:r>
      <w:r w:rsidR="005630A9">
        <w:t xml:space="preserve"> </w:t>
      </w:r>
      <w:r w:rsidR="00A85FDC">
        <w:fldChar w:fldCharType="begin"/>
      </w:r>
      <w:r w:rsidR="005630A9">
        <w:instrText xml:space="preserve"> REF _Ref427254759 \h </w:instrText>
      </w:r>
      <w:r w:rsidR="00A85FDC">
        <w:fldChar w:fldCharType="separate"/>
      </w:r>
      <w:r w:rsidR="00477322" w:rsidRPr="000B7189">
        <w:t xml:space="preserve">Joonis </w:t>
      </w:r>
      <w:r w:rsidR="00477322">
        <w:rPr>
          <w:noProof/>
        </w:rPr>
        <w:t>1</w:t>
      </w:r>
      <w:r w:rsidR="00A85FDC">
        <w:fldChar w:fldCharType="end"/>
      </w:r>
      <w:r>
        <w:t>)</w:t>
      </w:r>
      <w:r w:rsidRPr="00E91BC5">
        <w:t xml:space="preserve">. </w:t>
      </w:r>
    </w:p>
    <w:p w:rsidR="005630A9" w:rsidRPr="005630A9" w:rsidRDefault="00475835" w:rsidP="005630A9">
      <w:pPr>
        <w:pStyle w:val="Caption"/>
      </w:pPr>
      <w:bookmarkStart w:id="88" w:name="_Ref427254759"/>
      <w:r w:rsidRPr="000B7189">
        <w:t xml:space="preserve">Joonis </w:t>
      </w:r>
      <w:fldSimple w:instr=" SEQ Joonis \* ARABIC ">
        <w:r w:rsidR="00477322">
          <w:rPr>
            <w:noProof/>
          </w:rPr>
          <w:t>1</w:t>
        </w:r>
      </w:fldSimple>
      <w:bookmarkEnd w:id="88"/>
      <w:r>
        <w:t xml:space="preserve">. Avaliku </w:t>
      </w:r>
      <w:r w:rsidRPr="000B7189">
        <w:t>sektori jagunemine</w:t>
      </w:r>
    </w:p>
    <w:p w:rsidR="00475835" w:rsidRDefault="005630A9" w:rsidP="00475835">
      <w:r w:rsidRPr="005630A9">
        <w:rPr>
          <w:noProof/>
          <w:lang w:eastAsia="et-EE"/>
        </w:rPr>
        <w:drawing>
          <wp:inline distT="0" distB="0" distL="0" distR="0">
            <wp:extent cx="5851525" cy="3465189"/>
            <wp:effectExtent l="0" t="0" r="0" b="0"/>
            <wp:docPr id="4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75835" w:rsidRDefault="00475835" w:rsidP="00475835">
      <w:r>
        <w:t xml:space="preserve">Joonisel on </w:t>
      </w:r>
      <w:r w:rsidR="005630A9">
        <w:t>mustaga</w:t>
      </w:r>
      <w:r w:rsidRPr="00E91BC5">
        <w:t xml:space="preserve"> tähistatud riigiasutused ehk riigieelarvelised asutused, </w:t>
      </w:r>
      <w:r>
        <w:t>kes</w:t>
      </w:r>
      <w:r w:rsidRPr="00E91BC5">
        <w:t xml:space="preserve"> on kõik riigivara valitsejad või volitatud asutused riigivaraseaduse tähenduses</w:t>
      </w:r>
      <w:r>
        <w:t xml:space="preserve"> ja nende valitsemisel olev kinnisvara on käesoleva aruande objektiks</w:t>
      </w:r>
      <w:r w:rsidRPr="00E91BC5">
        <w:t xml:space="preserve">. </w:t>
      </w:r>
    </w:p>
    <w:p w:rsidR="00664F86" w:rsidRDefault="00664F86" w:rsidP="00664F86">
      <w:r>
        <w:t>Halliga</w:t>
      </w:r>
      <w:r w:rsidRPr="00E91BC5">
        <w:t xml:space="preserve"> tähistatud </w:t>
      </w:r>
      <w:r>
        <w:t>kastides asuvad kaks juriidilist isikut, kelle kinnisvara on osaliselt käesoleva aruande objektiks:</w:t>
      </w:r>
    </w:p>
    <w:p w:rsidR="008F7C00" w:rsidRDefault="008F7C00" w:rsidP="008F7C00">
      <w:pPr>
        <w:pStyle w:val="Loend1"/>
      </w:pPr>
      <w:r>
        <w:t xml:space="preserve">RKAS, kes kuulub </w:t>
      </w:r>
      <w:r w:rsidRPr="00E91BC5">
        <w:t>keskvalitsuse valitseva mõju all oleva</w:t>
      </w:r>
      <w:r>
        <w:t>te</w:t>
      </w:r>
      <w:r w:rsidRPr="00E91BC5">
        <w:t xml:space="preserve"> valitsussektorisse kuuluva</w:t>
      </w:r>
      <w:r>
        <w:t>te</w:t>
      </w:r>
      <w:r w:rsidRPr="00E91BC5">
        <w:t xml:space="preserve"> sihtasutus</w:t>
      </w:r>
      <w:r>
        <w:t>te</w:t>
      </w:r>
      <w:r w:rsidRPr="00E91BC5">
        <w:t>, mittetulundusühingu</w:t>
      </w:r>
      <w:r>
        <w:t>te</w:t>
      </w:r>
      <w:r w:rsidRPr="00E91BC5">
        <w:t xml:space="preserve"> ja äriühingu</w:t>
      </w:r>
      <w:r>
        <w:t xml:space="preserve">te hulka. Need isikud </w:t>
      </w:r>
      <w:r w:rsidRPr="00E91BC5">
        <w:t>ei ole riigivara valitsejad riigivaraseaduse tähenduses ja neile kuuluv kinnisvara ei ole riigivara riigivaraseaduse mõistes, kuna vara kuulub eraõiguslikule juriidilisele isikule. Riigile kuuluvaks varaks on osalus ettevõttes, mida käesolevas aruandes ei käsitleta. Nende asutuste kinnisvara omandist ja kasutusest keskset ülevaadet ei koguta. Erandiks on R</w:t>
      </w:r>
      <w:r>
        <w:t>KAS</w:t>
      </w:r>
      <w:r w:rsidRPr="00E91BC5">
        <w:t xml:space="preserve">, kes ei ole riigivara valitseja riigivaraseaduse tähenduses, kuid on riigile kinnisvarateenuste </w:t>
      </w:r>
      <w:r>
        <w:t>osutaja</w:t>
      </w:r>
      <w:r w:rsidRPr="00E91BC5">
        <w:t xml:space="preserve"> ja seetõttu puudutab aruanne ka RKAS-i</w:t>
      </w:r>
      <w:r>
        <w:t>, kuid ainult nende varade ulatuses, kus osutatakse teenust riigiasutustele</w:t>
      </w:r>
      <w:r w:rsidRPr="00E91BC5">
        <w:t xml:space="preserve">. </w:t>
      </w:r>
      <w:r>
        <w:t>RKAS-i tegevuse aruanne on esitatud käesoleva aruandes lisas.</w:t>
      </w:r>
    </w:p>
    <w:p w:rsidR="00664F86" w:rsidRDefault="00664F86" w:rsidP="008F7C00">
      <w:pPr>
        <w:pStyle w:val="Loend1"/>
      </w:pPr>
      <w:r>
        <w:t xml:space="preserve">RMK, kes kuulub valitsussektori väliste </w:t>
      </w:r>
      <w:r w:rsidRPr="00E91BC5">
        <w:t>sihtasutus</w:t>
      </w:r>
      <w:r>
        <w:t>te</w:t>
      </w:r>
      <w:r w:rsidRPr="00E91BC5">
        <w:t>, mittetulundusühingu</w:t>
      </w:r>
      <w:r>
        <w:t>te</w:t>
      </w:r>
      <w:r w:rsidRPr="00E91BC5">
        <w:t xml:space="preserve"> ja äriühingu</w:t>
      </w:r>
      <w:r>
        <w:t>te hulka,</w:t>
      </w:r>
      <w:r w:rsidRPr="00664F86">
        <w:t xml:space="preserve"> </w:t>
      </w:r>
      <w:r>
        <w:t>kuid on metsaseaduse alusel volitatud valitsema Keskkonnaministeeriumi valitsetavat riigimetsamaad ja RMK valduses olevat muud vara. RMK valitsemisel on valdav osa riigi maast, seetõttu on RMK andmed esitatud eristatuna Keskkonnaministeeriumi andmete all. Osadel juhtudel on RMK andmed analüüsist välja jäetud.</w:t>
      </w:r>
    </w:p>
    <w:p w:rsidR="00664F86" w:rsidRDefault="00664F86" w:rsidP="00664F86">
      <w:r>
        <w:t>Valgega</w:t>
      </w:r>
      <w:r w:rsidRPr="00E91BC5">
        <w:t xml:space="preserve"> on tähistatud käesolevas aruandes käsitlemata valitsussektorisse kuuluvad muud avalik-õiguslikud juriidilised isikud, kohalikud omavalitsused, sotsiaalkindlustusfondid ja muud avaliku sektori asutused. Ka nende üksuste kinnisvara kohta keskne ülevaade puudub, iga asutus vastutab oma kinnisvara korralduse eest ise.</w:t>
      </w:r>
    </w:p>
    <w:p w:rsidR="00475835" w:rsidRDefault="00475835" w:rsidP="00664F86">
      <w:r>
        <w:t xml:space="preserve">Arvestades asjaolu, et riigi eelarve hõlmab kogu </w:t>
      </w:r>
      <w:r w:rsidR="00CE3A84">
        <w:t xml:space="preserve">avalikku </w:t>
      </w:r>
      <w:r>
        <w:t xml:space="preserve">sektorit, ei anna aruanne ammendavat ülevaadet kogu riiki huvitava kinnisvara kohta. </w:t>
      </w:r>
    </w:p>
    <w:p w:rsidR="00475835" w:rsidRDefault="00475835" w:rsidP="00475835">
      <w:r>
        <w:t xml:space="preserve">Käesolev aruanne käsitleb riigivaraseaduse eesmärkide täitmist ja ei kajasta detailselt omandi- </w:t>
      </w:r>
      <w:r w:rsidR="00BC11A2">
        <w:t>ega</w:t>
      </w:r>
      <w:r>
        <w:t xml:space="preserve"> maareformi probleeme. Seos on olemas riigi maaomandi tekkimisega, mis toimub valdavalt maa riigi omandisse jätmise kaudu maareformi käigus. Omandi- ja maareformi kohta saab ülevaate perioodiliselt Vabariigi Valitsusele esitatavast omandireformi ülevaatest. </w:t>
      </w:r>
    </w:p>
    <w:p w:rsidR="003D7EC1" w:rsidRPr="00CE3A84" w:rsidRDefault="003D7EC1" w:rsidP="00CE3A84">
      <w:pPr>
        <w:rPr>
          <w:b/>
          <w:u w:val="single"/>
        </w:rPr>
      </w:pPr>
      <w:r w:rsidRPr="00CE3A84">
        <w:rPr>
          <w:b/>
          <w:u w:val="single"/>
        </w:rPr>
        <w:t>Andme</w:t>
      </w:r>
      <w:r w:rsidR="00C3456A" w:rsidRPr="00CE3A84">
        <w:rPr>
          <w:b/>
          <w:u w:val="single"/>
        </w:rPr>
        <w:t>allikad</w:t>
      </w:r>
      <w:bookmarkEnd w:id="84"/>
      <w:bookmarkEnd w:id="85"/>
      <w:bookmarkEnd w:id="86"/>
      <w:bookmarkEnd w:id="87"/>
    </w:p>
    <w:p w:rsidR="00DC536B" w:rsidRDefault="003D7EC1" w:rsidP="003F7342">
      <w:r>
        <w:t>Käesolev aruanne</w:t>
      </w:r>
      <w:r w:rsidRPr="00D821B1">
        <w:t xml:space="preserve"> </w:t>
      </w:r>
      <w:r>
        <w:t>tugineb valdavalt riigi kinnisvararegistri (edaspidi RKVR) andmetel</w:t>
      </w:r>
      <w:r w:rsidR="00BC11A2">
        <w:t>e</w:t>
      </w:r>
      <w:r>
        <w:t>. RKVR ei sisalda kogu vajalikku infot, mille põhjal esitada valitsuse poolt ülesandeks seatud tegevuskavad.</w:t>
      </w:r>
      <w:r w:rsidRPr="00C6788C">
        <w:t xml:space="preserve"> </w:t>
      </w:r>
      <w:r>
        <w:t>Seepärast viidi valitsuselt saadud ülesannete täitmiseks vajaliku info kogumiseks 2014.</w:t>
      </w:r>
      <w:r w:rsidR="004F1ED0">
        <w:t xml:space="preserve"> </w:t>
      </w:r>
      <w:r>
        <w:t>aasta suvel RKVR-is läbi küsitlus hoonete andmete täpsustamiseks ja korraldusmudelite määramiseks. Iga riigivara valitseja täitis enda omandis ja lepingu alusel kasutuses olevate hoonete kohta ankeedi, milles esitati riigivara valitseja hinnang hoone seisukorra ja pinnaandmete usaldusväärsuse kohta, märgiti hoone omanikku ja haldajat kajastav korraldusmudel ankeedi täitmise hetkel ning kavandatav korraldusmudel ja selle rakendamise aeg. Ühtlasi koguti ankeediga energiatõhususe miinimumnõuete täitmise aruandluseks vajalikku infot.</w:t>
      </w:r>
    </w:p>
    <w:p w:rsidR="003D7EC1" w:rsidRDefault="003D7EC1" w:rsidP="003F7342">
      <w:r w:rsidRPr="00E24172">
        <w:t>Teise valitsuse poolt</w:t>
      </w:r>
      <w:r>
        <w:t xml:space="preserve"> seatud</w:t>
      </w:r>
      <w:r w:rsidRPr="00E24172">
        <w:t xml:space="preserve"> ülesande täitmiseks telliti juriidiline analüüs </w:t>
      </w:r>
      <w:r>
        <w:t xml:space="preserve">advokaadibüroolt </w:t>
      </w:r>
      <w:r w:rsidRPr="00E24172">
        <w:t>Raidla</w:t>
      </w:r>
      <w:r>
        <w:t xml:space="preserve"> Lejins &amp; Norcous</w:t>
      </w:r>
      <w:r w:rsidRPr="00E24172">
        <w:t xml:space="preserve">, </w:t>
      </w:r>
      <w:r>
        <w:t xml:space="preserve">müügiportfelli määratlemise </w:t>
      </w:r>
      <w:r w:rsidRPr="00E24172">
        <w:t>metoodika</w:t>
      </w:r>
      <w:r>
        <w:t xml:space="preserve"> OÜ-lt</w:t>
      </w:r>
      <w:r w:rsidRPr="00E24172">
        <w:t xml:space="preserve"> </w:t>
      </w:r>
      <w:r w:rsidR="00D550D9">
        <w:t>ReAct Kinnisvaranõustajad</w:t>
      </w:r>
      <w:r w:rsidRPr="00E24172">
        <w:t xml:space="preserve"> ja </w:t>
      </w:r>
      <w:r>
        <w:t xml:space="preserve">tehingute struktureerimise analüüs </w:t>
      </w:r>
      <w:r w:rsidR="00B8357C">
        <w:t>konsultatsioonifirmalt</w:t>
      </w:r>
      <w:r>
        <w:t xml:space="preserve"> P</w:t>
      </w:r>
      <w:r w:rsidR="00B8357C">
        <w:t>riceWaterhouse</w:t>
      </w:r>
      <w:r>
        <w:t>C</w:t>
      </w:r>
      <w:r w:rsidR="00B8357C">
        <w:t>oopers (PWC)</w:t>
      </w:r>
      <w:r w:rsidRPr="00E24172">
        <w:t>.</w:t>
      </w:r>
      <w:r>
        <w:t xml:space="preserve"> Alusandmetena kasutati andmekorje käigus kogutud infot.</w:t>
      </w:r>
    </w:p>
    <w:p w:rsidR="003D7EC1" w:rsidRPr="00D821B1" w:rsidRDefault="00475835" w:rsidP="003F7342">
      <w:r>
        <w:t>Lisaks on a</w:t>
      </w:r>
      <w:r w:rsidR="003D7EC1">
        <w:t xml:space="preserve">ruandes esitatud infot on osaliselt täiendatud Maa-ameti poolt kogutavate andmete ja statistikaga ning Riigi Kinnisvara AS esitatud andmetega. Päringud on tehtud ka ehitisregistrisse, </w:t>
      </w:r>
      <w:r w:rsidR="003D7EC1" w:rsidRPr="00C6788C">
        <w:t>maakatastrisse ja kinnistusraamatusse.</w:t>
      </w:r>
      <w:r w:rsidR="003D7EC1">
        <w:t xml:space="preserve"> </w:t>
      </w:r>
    </w:p>
    <w:p w:rsidR="003D7EC1" w:rsidRPr="00CE3A84" w:rsidRDefault="003D7EC1" w:rsidP="00CE3A84">
      <w:pPr>
        <w:rPr>
          <w:b/>
          <w:u w:val="single"/>
        </w:rPr>
      </w:pPr>
      <w:bookmarkStart w:id="89" w:name="_Toc418016339"/>
      <w:bookmarkStart w:id="90" w:name="_Toc423964662"/>
      <w:bookmarkStart w:id="91" w:name="_Toc424055071"/>
      <w:bookmarkStart w:id="92" w:name="_Toc424061740"/>
      <w:r w:rsidRPr="00CE3A84">
        <w:rPr>
          <w:b/>
          <w:u w:val="single"/>
        </w:rPr>
        <w:t>Aruande sisu ja struktuur</w:t>
      </w:r>
      <w:bookmarkEnd w:id="89"/>
      <w:bookmarkEnd w:id="90"/>
      <w:bookmarkEnd w:id="91"/>
      <w:bookmarkEnd w:id="92"/>
    </w:p>
    <w:p w:rsidR="003D7EC1" w:rsidRDefault="003D7EC1" w:rsidP="003F7342">
      <w:pPr>
        <w:spacing w:before="120"/>
        <w:rPr>
          <w:bCs/>
        </w:rPr>
      </w:pPr>
      <w:r>
        <w:rPr>
          <w:bCs/>
        </w:rPr>
        <w:t xml:space="preserve">Aruanne koosneb </w:t>
      </w:r>
      <w:r w:rsidR="00A24C2A">
        <w:rPr>
          <w:bCs/>
        </w:rPr>
        <w:t xml:space="preserve">kolmes </w:t>
      </w:r>
      <w:r>
        <w:rPr>
          <w:bCs/>
        </w:rPr>
        <w:t>peatükist ja lisadest:</w:t>
      </w:r>
    </w:p>
    <w:p w:rsidR="003D7EC1" w:rsidRPr="00DC536B" w:rsidRDefault="009B7BEE" w:rsidP="002F4A30">
      <w:pPr>
        <w:pStyle w:val="ListParagraph"/>
        <w:numPr>
          <w:ilvl w:val="1"/>
          <w:numId w:val="27"/>
        </w:numPr>
      </w:pPr>
      <w:r w:rsidRPr="00BD5FBE">
        <w:t>peatükk annab statistilise ülevaate riigi kinnisvaraportfellist ja selles toimunud muutustest</w:t>
      </w:r>
      <w:r w:rsidRPr="00DC536B">
        <w:t>;</w:t>
      </w:r>
    </w:p>
    <w:p w:rsidR="003D7EC1" w:rsidRPr="00BD5FBE" w:rsidRDefault="00DC536B" w:rsidP="002F4A30">
      <w:pPr>
        <w:pStyle w:val="ListParagraph"/>
        <w:numPr>
          <w:ilvl w:val="1"/>
          <w:numId w:val="27"/>
        </w:numPr>
      </w:pPr>
      <w:r>
        <w:t>p</w:t>
      </w:r>
      <w:r w:rsidR="009B7BEE" w:rsidRPr="00DC536B">
        <w:t xml:space="preserve">eatükis kirjeldatakse </w:t>
      </w:r>
      <w:r w:rsidR="00196467" w:rsidRPr="00DC536B">
        <w:t xml:space="preserve">seadustest ja kinnisvarastrateegiast tulenevate </w:t>
      </w:r>
      <w:r w:rsidR="009B7BEE" w:rsidRPr="00DC536B">
        <w:t xml:space="preserve">riigi </w:t>
      </w:r>
      <w:r w:rsidR="00CB7078" w:rsidRPr="00DC536B">
        <w:t>hoonestatud</w:t>
      </w:r>
      <w:r w:rsidR="00C415BD" w:rsidRPr="00DC536B">
        <w:t xml:space="preserve"> </w:t>
      </w:r>
      <w:r w:rsidR="009B7BEE" w:rsidRPr="00DC536B">
        <w:t>kinnisvara juhtimisega seotud eesmärkide täitmist, täitmisel esinevaid probleeme ning pakutakse välja lahendusvariante</w:t>
      </w:r>
      <w:r w:rsidR="00196467" w:rsidRPr="00DC536B">
        <w:t xml:space="preserve"> ja esitatakse kinnisvarareformi tegevuskava</w:t>
      </w:r>
      <w:r w:rsidR="009B7BEE" w:rsidRPr="00BD5FBE">
        <w:t>;</w:t>
      </w:r>
    </w:p>
    <w:p w:rsidR="003D7EC1" w:rsidRPr="00BD5FBE" w:rsidRDefault="009B7BEE" w:rsidP="002F4A30">
      <w:pPr>
        <w:pStyle w:val="ListParagraph"/>
        <w:numPr>
          <w:ilvl w:val="1"/>
          <w:numId w:val="27"/>
        </w:numPr>
      </w:pPr>
      <w:r w:rsidRPr="00BD5FBE">
        <w:t>peatükis esitatakse riigi hoonete rahastamisvajaduste</w:t>
      </w:r>
      <w:r w:rsidR="004F1ED0" w:rsidRPr="00BD5FBE">
        <w:t xml:space="preserve"> </w:t>
      </w:r>
      <w:r w:rsidR="00196467" w:rsidRPr="00BD5FBE">
        <w:t>ülevaade ning rahastamisvõimaluste analüüsi tulemusel valminud rahastamiskava</w:t>
      </w:r>
      <w:r w:rsidRPr="00BD5FBE">
        <w:t>;</w:t>
      </w:r>
    </w:p>
    <w:p w:rsidR="00A24C2A" w:rsidRDefault="00A24C2A" w:rsidP="00A24C2A">
      <w:pPr>
        <w:ind w:left="1080"/>
      </w:pPr>
      <w:r>
        <w:t xml:space="preserve">Lisas 1 esitatakse koondülevaade </w:t>
      </w:r>
      <w:r w:rsidR="00DC536B">
        <w:t>rahandusministeeriumi ettepaneku</w:t>
      </w:r>
      <w:r>
        <w:t xml:space="preserve">test </w:t>
      </w:r>
      <w:r w:rsidR="00DC536B">
        <w:t>r</w:t>
      </w:r>
      <w:r w:rsidR="00BD5FBE" w:rsidRPr="00BD5FBE">
        <w:t>iigi hoonestatud kinnisvarareformi jätkamise</w:t>
      </w:r>
      <w:r>
        <w:t xml:space="preserve"> tegevuste kohta (pikemad selgitused ja põhjendused 2. ja 3. peatükis) </w:t>
      </w:r>
    </w:p>
    <w:p w:rsidR="00A24C2A" w:rsidRDefault="00A24C2A" w:rsidP="00A24C2A">
      <w:pPr>
        <w:ind w:left="1080"/>
      </w:pPr>
      <w:r>
        <w:t>Lisas 2 on Riigi Kinnisvara AS-i tegevusaruanne 2013-2014.</w:t>
      </w:r>
    </w:p>
    <w:p w:rsidR="00A24C2A" w:rsidRDefault="00A24C2A" w:rsidP="00A24C2A">
      <w:pPr>
        <w:ind w:left="1080"/>
      </w:pPr>
      <w:r>
        <w:t>Lisas 3 on riigi kinnisvaraportfelli detailsemad tabelid.</w:t>
      </w:r>
    </w:p>
    <w:p w:rsidR="00A24C2A" w:rsidRDefault="00A24C2A" w:rsidP="00A24C2A">
      <w:pPr>
        <w:ind w:left="1080"/>
      </w:pPr>
      <w:r>
        <w:t>Lisas 4 on andmete korrastamise tegevuskava.</w:t>
      </w:r>
    </w:p>
    <w:p w:rsidR="00A24C2A" w:rsidRDefault="00A24C2A" w:rsidP="00A24C2A">
      <w:pPr>
        <w:ind w:left="1080"/>
      </w:pPr>
      <w:r>
        <w:t xml:space="preserve">Lisas 5 on rahastamiskava analüüsi sisendite ülevaade. </w:t>
      </w:r>
    </w:p>
    <w:p w:rsidR="003D7EC1" w:rsidRDefault="003D7EC1" w:rsidP="00543270"/>
    <w:p w:rsidR="003D7EC1" w:rsidRPr="00976BD4" w:rsidRDefault="003D7EC1" w:rsidP="00976BD4">
      <w:pPr>
        <w:pStyle w:val="Suurpealkiri"/>
      </w:pPr>
      <w:bookmarkStart w:id="93" w:name="_Toc380048519"/>
      <w:bookmarkStart w:id="94" w:name="_Toc418016341"/>
      <w:bookmarkStart w:id="95" w:name="_Toc433980683"/>
      <w:bookmarkStart w:id="96" w:name="_Toc380048511"/>
      <w:r w:rsidRPr="00976BD4">
        <w:t>KASUTATAVAD LÜHENDID JA MÕISTED</w:t>
      </w:r>
      <w:bookmarkEnd w:id="93"/>
      <w:bookmarkEnd w:id="94"/>
      <w:bookmarkEnd w:id="95"/>
      <w:r w:rsidRPr="00976BD4">
        <w:t xml:space="preserve"> </w:t>
      </w:r>
    </w:p>
    <w:p w:rsidR="0083751B" w:rsidRDefault="0083751B" w:rsidP="00ED35D7">
      <w:pPr>
        <w:rPr>
          <w:b/>
        </w:rPr>
      </w:pPr>
      <w:r>
        <w:rPr>
          <w:b/>
        </w:rPr>
        <w:t xml:space="preserve">EHR </w:t>
      </w:r>
      <w:r w:rsidRPr="0083751B">
        <w:t>– ehitisregister</w:t>
      </w:r>
      <w:r>
        <w:rPr>
          <w:b/>
        </w:rPr>
        <w:t xml:space="preserve"> </w:t>
      </w:r>
    </w:p>
    <w:p w:rsidR="00ED35D7" w:rsidRDefault="00ED35D7" w:rsidP="00ED35D7">
      <w:pPr>
        <w:rPr>
          <w:b/>
        </w:rPr>
      </w:pPr>
      <w:r>
        <w:rPr>
          <w:b/>
        </w:rPr>
        <w:t>EhS</w:t>
      </w:r>
      <w:r w:rsidRPr="00ED35D7">
        <w:t xml:space="preserve"> </w:t>
      </w:r>
      <w:r>
        <w:t>–</w:t>
      </w:r>
      <w:r w:rsidRPr="00ED35D7">
        <w:t xml:space="preserve"> ehitusseadustik</w:t>
      </w:r>
      <w:r>
        <w:t xml:space="preserve"> </w:t>
      </w:r>
    </w:p>
    <w:p w:rsidR="00ED35D7" w:rsidRDefault="00ED35D7" w:rsidP="00ED35D7">
      <w:pPr>
        <w:rPr>
          <w:b/>
        </w:rPr>
      </w:pPr>
      <w:r>
        <w:rPr>
          <w:b/>
        </w:rPr>
        <w:t xml:space="preserve">MaaRS – </w:t>
      </w:r>
      <w:r w:rsidRPr="00ED35D7">
        <w:t>maareformi seadus</w:t>
      </w:r>
    </w:p>
    <w:p w:rsidR="00ED35D7" w:rsidRDefault="00ED35D7" w:rsidP="00ED35D7">
      <w:r w:rsidRPr="00E24172">
        <w:rPr>
          <w:b/>
        </w:rPr>
        <w:t>Menetlus</w:t>
      </w:r>
      <w:r>
        <w:t xml:space="preserve"> – RKVR menetlus. </w:t>
      </w:r>
      <w:r w:rsidRPr="00D612C0">
        <w:t>Riigi kinnisvararegistris peetakse arvestust riigivaraseaduse alus</w:t>
      </w:r>
      <w:r>
        <w:t>el läbiviidud menetluste ja maareformi seaduse (MaaRS) alusel kasutusvalduste ja hoonestusõiguste seadmise kohta. RKVR-i menetluste liigid on</w:t>
      </w:r>
      <w:r w:rsidRPr="00D612C0">
        <w:t xml:space="preserve">: </w:t>
      </w:r>
    </w:p>
    <w:p w:rsidR="00ED35D7" w:rsidRPr="00976BD4" w:rsidRDefault="00ED35D7" w:rsidP="00ED35D7">
      <w:pPr>
        <w:pStyle w:val="Loend1"/>
      </w:pPr>
      <w:r w:rsidRPr="00976BD4">
        <w:t xml:space="preserve">riigivara omandamine, </w:t>
      </w:r>
    </w:p>
    <w:p w:rsidR="00ED35D7" w:rsidRPr="00976BD4" w:rsidRDefault="00ED35D7" w:rsidP="00ED35D7">
      <w:pPr>
        <w:pStyle w:val="Loend1"/>
      </w:pPr>
      <w:r w:rsidRPr="00976BD4">
        <w:t xml:space="preserve">kasutamiseks võtmine, </w:t>
      </w:r>
    </w:p>
    <w:p w:rsidR="00ED35D7" w:rsidRPr="00976BD4" w:rsidRDefault="00ED35D7" w:rsidP="00ED35D7">
      <w:pPr>
        <w:pStyle w:val="Loend1"/>
      </w:pPr>
      <w:r w:rsidRPr="00976BD4">
        <w:t xml:space="preserve">kasutamiseks andmine, </w:t>
      </w:r>
    </w:p>
    <w:p w:rsidR="00ED35D7" w:rsidRPr="00976BD4" w:rsidRDefault="00ED35D7" w:rsidP="00ED35D7">
      <w:pPr>
        <w:pStyle w:val="Loend1"/>
      </w:pPr>
      <w:r w:rsidRPr="00976BD4">
        <w:t xml:space="preserve">valitseja ja volitatud asutuse muutmine, </w:t>
      </w:r>
    </w:p>
    <w:p w:rsidR="00ED35D7" w:rsidRPr="00976BD4" w:rsidRDefault="00ED35D7" w:rsidP="00ED35D7">
      <w:pPr>
        <w:pStyle w:val="Loend1"/>
      </w:pPr>
      <w:r w:rsidRPr="00976BD4">
        <w:t xml:space="preserve">valitsemise eesmärgi muutmine, </w:t>
      </w:r>
    </w:p>
    <w:p w:rsidR="00ED35D7" w:rsidRPr="00976BD4" w:rsidRDefault="00ED35D7" w:rsidP="00ED35D7">
      <w:pPr>
        <w:pStyle w:val="Loend1"/>
      </w:pPr>
      <w:r w:rsidRPr="00976BD4">
        <w:t xml:space="preserve">võõrandamine, </w:t>
      </w:r>
    </w:p>
    <w:p w:rsidR="00ED35D7" w:rsidRPr="00976BD4" w:rsidRDefault="00ED35D7" w:rsidP="00ED35D7">
      <w:pPr>
        <w:pStyle w:val="Loend1"/>
      </w:pPr>
      <w:r w:rsidRPr="00976BD4">
        <w:t xml:space="preserve">üleandmine eraõiguslikule juriidilisele isikule, </w:t>
      </w:r>
    </w:p>
    <w:p w:rsidR="00ED35D7" w:rsidRPr="00976BD4" w:rsidRDefault="00ED35D7" w:rsidP="00ED35D7">
      <w:pPr>
        <w:pStyle w:val="Loend1"/>
      </w:pPr>
      <w:r w:rsidRPr="00976BD4">
        <w:t xml:space="preserve">vara mahakandmine, </w:t>
      </w:r>
    </w:p>
    <w:p w:rsidR="00ED35D7" w:rsidRPr="00976BD4" w:rsidRDefault="00ED35D7" w:rsidP="00ED35D7">
      <w:pPr>
        <w:pStyle w:val="Loend1"/>
      </w:pPr>
      <w:r w:rsidRPr="00976BD4">
        <w:t xml:space="preserve">lepingu lõpetamine ja </w:t>
      </w:r>
    </w:p>
    <w:p w:rsidR="00ED35D7" w:rsidRPr="00976BD4" w:rsidRDefault="00ED35D7" w:rsidP="00ED35D7">
      <w:pPr>
        <w:pStyle w:val="Loend1"/>
      </w:pPr>
      <w:r w:rsidRPr="00976BD4">
        <w:t xml:space="preserve">registrikande tühistamine (vara arvele võtmise otsuse tühistamine või valesti arvele võetud objekti kustutamine). </w:t>
      </w:r>
    </w:p>
    <w:p w:rsidR="00ED35D7" w:rsidRDefault="00ED35D7" w:rsidP="00ED35D7">
      <w:r w:rsidRPr="00D612C0">
        <w:t>Menetluse kinnitamisega registreeritakse registris uus varaobjekt, muutub vara koosseis või arvatakse vara</w:t>
      </w:r>
      <w:r>
        <w:t xml:space="preserve"> </w:t>
      </w:r>
      <w:r w:rsidRPr="00D612C0">
        <w:t xml:space="preserve">arhiivi. </w:t>
      </w:r>
    </w:p>
    <w:p w:rsidR="00ED35D7" w:rsidRDefault="00ED35D7" w:rsidP="00ED35D7">
      <w:r>
        <w:t>Menetluste arv ei peegelda menetletud kinnistute arvu, sest teatud juhtudel võib ühes menetluses olla korraga mitu kinnistut. Üldjuhul on ühes menetluses nii palju kinnistuid, kui on menetluse aluseks olevas otsuses.</w:t>
      </w:r>
    </w:p>
    <w:p w:rsidR="0083751B" w:rsidRDefault="0083751B" w:rsidP="00487CF5">
      <w:pPr>
        <w:rPr>
          <w:b/>
        </w:rPr>
      </w:pPr>
      <w:r>
        <w:rPr>
          <w:b/>
        </w:rPr>
        <w:t xml:space="preserve">RES </w:t>
      </w:r>
      <w:r w:rsidRPr="0083751B">
        <w:t>– riigi eelarvestrateegia</w:t>
      </w:r>
      <w:r>
        <w:rPr>
          <w:b/>
        </w:rPr>
        <w:t xml:space="preserve"> </w:t>
      </w:r>
    </w:p>
    <w:p w:rsidR="0083751B" w:rsidRPr="0045781B" w:rsidRDefault="0083751B" w:rsidP="0083751B">
      <w:r w:rsidRPr="00E24172">
        <w:rPr>
          <w:b/>
        </w:rPr>
        <w:t>Riigivara valitseja</w:t>
      </w:r>
      <w:r>
        <w:t xml:space="preserve"> - v</w:t>
      </w:r>
      <w:r w:rsidRPr="0045781B">
        <w:t xml:space="preserve">astavalt riigivaraseaduse § 4 lõigetele 2 ja 3 on riigivara valitsejateks, kes on kohustatud esitama ka andmeid riigi kinnisvararegistrisse: </w:t>
      </w:r>
    </w:p>
    <w:p w:rsidR="0083751B" w:rsidRPr="0045781B" w:rsidRDefault="0083751B" w:rsidP="0083751B">
      <w:pPr>
        <w:pStyle w:val="Loend1"/>
      </w:pPr>
      <w:r w:rsidRPr="0045781B">
        <w:t>Põhiseaduslikud institutsioonid (Riigikogu Kantselei, Vabariigi Presidendi Kantselei, Riigikontroll, Õiguskantsleri Kantselei, Riigikohus);</w:t>
      </w:r>
    </w:p>
    <w:p w:rsidR="0083751B" w:rsidRPr="0045781B" w:rsidRDefault="0083751B" w:rsidP="0083751B">
      <w:pPr>
        <w:pStyle w:val="Loend1"/>
      </w:pPr>
      <w:r w:rsidRPr="0045781B">
        <w:t>ministeeriumid ja Riigikantselei;</w:t>
      </w:r>
    </w:p>
    <w:p w:rsidR="0083751B" w:rsidRPr="0045781B" w:rsidRDefault="0083751B" w:rsidP="0083751B">
      <w:pPr>
        <w:pStyle w:val="Loend1"/>
      </w:pPr>
      <w:r w:rsidRPr="0045781B">
        <w:t>maavalitsused;</w:t>
      </w:r>
    </w:p>
    <w:p w:rsidR="0083751B" w:rsidRDefault="0083751B" w:rsidP="0083751B">
      <w:pPr>
        <w:pStyle w:val="Loend1"/>
      </w:pPr>
      <w:r w:rsidRPr="0045781B">
        <w:t>riigitulundusasutus (Riigimetsa Majandamise Keskus).</w:t>
      </w:r>
    </w:p>
    <w:p w:rsidR="0083751B" w:rsidRPr="00E91BC5" w:rsidRDefault="0083751B" w:rsidP="0083751B">
      <w:pPr>
        <w:spacing w:before="240"/>
      </w:pPr>
      <w:r w:rsidRPr="00886F37">
        <w:rPr>
          <w:b/>
        </w:rPr>
        <w:t>RKAS</w:t>
      </w:r>
      <w:r>
        <w:t xml:space="preserve"> – Riigi Kinnisvara Aktsiaselts, riigile kuuluv äriühing, kes </w:t>
      </w:r>
      <w:r w:rsidRPr="00E91BC5">
        <w:t xml:space="preserve">ei ole riigivara valitseja riigivaraseaduse tähenduses ja </w:t>
      </w:r>
      <w:r>
        <w:t>kellele</w:t>
      </w:r>
      <w:r w:rsidRPr="00E91BC5">
        <w:t xml:space="preserve"> kuuluv kinnisvara ei ole riigivara riigivaraseaduse mõistes, kuna vara kuulub eraõiguslikule juriidilisele isikule. Riigile kuuluvaks varaks on osalus ettevõttes, mida käesolevas aruandes ei käsitleta</w:t>
      </w:r>
      <w:r>
        <w:t xml:space="preserve">, selle kohta koostatakse iga-aastaselt </w:t>
      </w:r>
      <w:r w:rsidRPr="00976BD4">
        <w:t>riigi osaluspoliitika koondaruanne.</w:t>
      </w:r>
      <w:r w:rsidRPr="00E91BC5">
        <w:t xml:space="preserve"> R</w:t>
      </w:r>
      <w:r>
        <w:t xml:space="preserve">KAS on käesoleva aruandega seotud </w:t>
      </w:r>
      <w:r w:rsidRPr="00E91BC5">
        <w:t>kui</w:t>
      </w:r>
      <w:r>
        <w:t xml:space="preserve"> </w:t>
      </w:r>
      <w:r w:rsidRPr="00E91BC5">
        <w:t xml:space="preserve">riigile kinnisvarateenuste </w:t>
      </w:r>
      <w:r>
        <w:t>osutaja</w:t>
      </w:r>
      <w:r w:rsidRPr="00E91BC5">
        <w:t xml:space="preserve"> </w:t>
      </w:r>
      <w:r>
        <w:t>nende varade ulatuses, kus ta osutab teenust riigiasutustele</w:t>
      </w:r>
      <w:r w:rsidRPr="00E91BC5">
        <w:t>.</w:t>
      </w:r>
    </w:p>
    <w:p w:rsidR="003D7EC1" w:rsidRDefault="003D7EC1" w:rsidP="00487CF5">
      <w:r w:rsidRPr="00E24172">
        <w:rPr>
          <w:b/>
        </w:rPr>
        <w:t>RKVR</w:t>
      </w:r>
      <w:r w:rsidRPr="00D612C0">
        <w:t xml:space="preserve"> </w:t>
      </w:r>
      <w:r>
        <w:t xml:space="preserve">– riigi kinnisvararegister, mis </w:t>
      </w:r>
      <w:r w:rsidRPr="00D612C0">
        <w:t>alustas praegusel kujul tegevust 1.</w:t>
      </w:r>
      <w:r>
        <w:t xml:space="preserve"> jaanuaril 2011. See</w:t>
      </w:r>
      <w:r w:rsidRPr="00D612C0">
        <w:t>tõttu saab menetlustest ül</w:t>
      </w:r>
      <w:r w:rsidRPr="00DE7694">
        <w:t>evaate</w:t>
      </w:r>
      <w:r w:rsidRPr="00D612C0">
        <w:rPr>
          <w:b/>
        </w:rPr>
        <w:t xml:space="preserve"> </w:t>
      </w:r>
      <w:r w:rsidRPr="00D612C0">
        <w:t>anda alates 2011</w:t>
      </w:r>
      <w:r>
        <w:t>.</w:t>
      </w:r>
      <w:r w:rsidRPr="00D612C0">
        <w:t xml:space="preserve"> aasta algusest, kuna varasem arvestus puudub.</w:t>
      </w:r>
      <w:r>
        <w:t xml:space="preserve"> </w:t>
      </w:r>
    </w:p>
    <w:p w:rsidR="00F97B52" w:rsidRDefault="00F97B52" w:rsidP="00487CF5">
      <w:pPr>
        <w:rPr>
          <w:b/>
        </w:rPr>
      </w:pPr>
      <w:r>
        <w:rPr>
          <w:b/>
        </w:rPr>
        <w:t xml:space="preserve">RTK </w:t>
      </w:r>
      <w:r w:rsidRPr="00F97B52">
        <w:t>– Riigi Tugiteenuste Keskus</w:t>
      </w:r>
    </w:p>
    <w:p w:rsidR="00ED35D7" w:rsidRDefault="00ED35D7" w:rsidP="00487CF5">
      <w:r w:rsidRPr="00ED35D7">
        <w:rPr>
          <w:b/>
        </w:rPr>
        <w:t>RVS</w:t>
      </w:r>
      <w:r>
        <w:t xml:space="preserve"> – riigivara seadus</w:t>
      </w:r>
    </w:p>
    <w:p w:rsidR="003D7EC1" w:rsidRDefault="003D7EC1" w:rsidP="00487CF5">
      <w:pPr>
        <w:rPr>
          <w:bCs/>
        </w:rPr>
      </w:pPr>
      <w:r w:rsidRPr="00E24172">
        <w:rPr>
          <w:b/>
          <w:bCs/>
        </w:rPr>
        <w:t>Varaobjekt</w:t>
      </w:r>
      <w:r>
        <w:rPr>
          <w:bCs/>
        </w:rPr>
        <w:t xml:space="preserve"> – RKVR varaobjekt, milleks on riigi kinnisvararegistrisse kantud hoonestatud ja hoonestamata varad, mis on riigi omandis või mida riigiasutused kasutavad kasutuslepingu alusel. Registris peetakse eraldi arvestust:</w:t>
      </w:r>
    </w:p>
    <w:p w:rsidR="003D7EC1" w:rsidRPr="00976BD4" w:rsidRDefault="003D7EC1" w:rsidP="00351253">
      <w:pPr>
        <w:pStyle w:val="ListParagraph"/>
      </w:pPr>
      <w:r w:rsidRPr="00976BD4">
        <w:t>omandis olevate varade üle (registritähis KV) ning</w:t>
      </w:r>
    </w:p>
    <w:p w:rsidR="003D7EC1" w:rsidRPr="00976BD4" w:rsidRDefault="003D7EC1" w:rsidP="0008128C">
      <w:pPr>
        <w:pStyle w:val="ListParagraph"/>
        <w:spacing w:after="0"/>
      </w:pPr>
      <w:r w:rsidRPr="00976BD4">
        <w:t>kasutuslepingu alusel kasutatavate varade üle:</w:t>
      </w:r>
    </w:p>
    <w:p w:rsidR="003D7EC1" w:rsidRDefault="003D7EC1" w:rsidP="0008128C">
      <w:pPr>
        <w:pStyle w:val="Loend1"/>
      </w:pPr>
      <w:r>
        <w:t>võlaõiguslikud</w:t>
      </w:r>
      <w:r w:rsidR="0008128C">
        <w:t xml:space="preserve"> kasutuslepin</w:t>
      </w:r>
      <w:r w:rsidRPr="0018676A">
        <w:t>gu</w:t>
      </w:r>
      <w:r>
        <w:t>d</w:t>
      </w:r>
      <w:r w:rsidRPr="0018676A">
        <w:t xml:space="preserve"> </w:t>
      </w:r>
      <w:r>
        <w:t>(</w:t>
      </w:r>
      <w:r w:rsidRPr="0018676A">
        <w:t>KL</w:t>
      </w:r>
      <w:r>
        <w:t>)</w:t>
      </w:r>
      <w:r w:rsidRPr="0018676A">
        <w:t xml:space="preserve">, </w:t>
      </w:r>
    </w:p>
    <w:p w:rsidR="003D7EC1" w:rsidRDefault="003D7EC1" w:rsidP="0008128C">
      <w:pPr>
        <w:pStyle w:val="Loend1"/>
      </w:pPr>
      <w:r>
        <w:t>hoonestusõigused</w:t>
      </w:r>
      <w:r w:rsidRPr="0018676A">
        <w:t xml:space="preserve"> </w:t>
      </w:r>
      <w:r>
        <w:t>(</w:t>
      </w:r>
      <w:r w:rsidRPr="0018676A">
        <w:t>KX</w:t>
      </w:r>
      <w:r>
        <w:t>)</w:t>
      </w:r>
      <w:r w:rsidRPr="0018676A">
        <w:t xml:space="preserve"> ning </w:t>
      </w:r>
    </w:p>
    <w:p w:rsidR="003D7EC1" w:rsidRDefault="003D7EC1" w:rsidP="0008128C">
      <w:pPr>
        <w:pStyle w:val="Loend1"/>
      </w:pPr>
      <w:r>
        <w:t>servituudid</w:t>
      </w:r>
      <w:r w:rsidRPr="0018676A">
        <w:t xml:space="preserve"> </w:t>
      </w:r>
      <w:r>
        <w:t>(</w:t>
      </w:r>
      <w:r w:rsidRPr="0018676A">
        <w:t>KS).</w:t>
      </w:r>
    </w:p>
    <w:p w:rsidR="003D7EC1" w:rsidRDefault="003D7EC1" w:rsidP="00487CF5">
      <w:pPr>
        <w:spacing w:before="240"/>
      </w:pPr>
      <w:r>
        <w:rPr>
          <w:b/>
        </w:rPr>
        <w:t xml:space="preserve">Volitatud asutus </w:t>
      </w:r>
      <w:r>
        <w:t xml:space="preserve">- </w:t>
      </w:r>
      <w:r w:rsidRPr="00E91BC5">
        <w:t xml:space="preserve">riigivaraseaduse </w:t>
      </w:r>
      <w:r>
        <w:t>(§ 3</w:t>
      </w:r>
      <w:r w:rsidRPr="00E91BC5">
        <w:t xml:space="preserve"> lg 1 p 1</w:t>
      </w:r>
      <w:r>
        <w:t>1</w:t>
      </w:r>
      <w:r w:rsidRPr="00E91BC5">
        <w:t>)</w:t>
      </w:r>
      <w:r>
        <w:t xml:space="preserve"> </w:t>
      </w:r>
      <w:r w:rsidRPr="00E91BC5">
        <w:t>tä</w:t>
      </w:r>
      <w:r>
        <w:t>henduses r</w:t>
      </w:r>
      <w:r w:rsidRPr="00E91BC5">
        <w:t>iigiasutused, kelle valdusesse on riigivara valitseja oma valitsemisel oleva vara andnud</w:t>
      </w:r>
      <w:r>
        <w:t>. Maavalitsused on hoonestamata vara suhtes valitsejad, hoonestatud varade suhtes aga volitatud asutused (valitseja on Siseministeerium).</w:t>
      </w:r>
    </w:p>
    <w:p w:rsidR="00F97B52" w:rsidRDefault="00F97B52" w:rsidP="00487CF5">
      <w:pPr>
        <w:spacing w:before="240"/>
      </w:pPr>
      <w:r w:rsidRPr="00F97B52">
        <w:rPr>
          <w:b/>
        </w:rPr>
        <w:t>VVTP –</w:t>
      </w:r>
      <w:r>
        <w:t xml:space="preserve"> Vabariigi Valitsuse tegevusprogramm</w:t>
      </w:r>
    </w:p>
    <w:p w:rsidR="00B6319C" w:rsidRPr="009468C2" w:rsidRDefault="00B6319C" w:rsidP="00546781">
      <w:pPr>
        <w:pStyle w:val="Pealkiri1"/>
        <w:numPr>
          <w:ilvl w:val="0"/>
          <w:numId w:val="12"/>
        </w:numPr>
      </w:pPr>
      <w:bookmarkStart w:id="97" w:name="_Toc433980684"/>
      <w:bookmarkEnd w:id="96"/>
      <w:r w:rsidRPr="009468C2">
        <w:t xml:space="preserve">Riigi </w:t>
      </w:r>
      <w:r w:rsidRPr="00CD371C">
        <w:t>kinnisvaraportfell</w:t>
      </w:r>
      <w:bookmarkEnd w:id="97"/>
    </w:p>
    <w:p w:rsidR="00B6319C" w:rsidRDefault="00B6319C" w:rsidP="00F01DE7">
      <w:pPr>
        <w:pStyle w:val="Pealkiri2"/>
      </w:pPr>
      <w:bookmarkStart w:id="98" w:name="_Toc418016344"/>
      <w:bookmarkStart w:id="99" w:name="_Toc433980685"/>
      <w:bookmarkStart w:id="100" w:name="_Toc370141302"/>
      <w:bookmarkStart w:id="101" w:name="_Toc380048522"/>
      <w:bookmarkStart w:id="102" w:name="_Toc369585097"/>
      <w:bookmarkStart w:id="103" w:name="_Toc371513634"/>
      <w:bookmarkStart w:id="104" w:name="_Toc411870321"/>
      <w:r w:rsidRPr="00013B1D">
        <w:t>Riigi</w:t>
      </w:r>
      <w:r w:rsidRPr="001F2CC8">
        <w:t xml:space="preserve"> </w:t>
      </w:r>
      <w:r w:rsidRPr="0034698C">
        <w:t>kinnisvaraportfell</w:t>
      </w:r>
      <w:bookmarkEnd w:id="98"/>
      <w:bookmarkEnd w:id="99"/>
      <w:r w:rsidRPr="001F2CC8">
        <w:t xml:space="preserve"> </w:t>
      </w:r>
      <w:bookmarkEnd w:id="100"/>
      <w:bookmarkEnd w:id="101"/>
      <w:bookmarkEnd w:id="102"/>
      <w:bookmarkEnd w:id="103"/>
      <w:bookmarkEnd w:id="104"/>
    </w:p>
    <w:p w:rsidR="00B6319C" w:rsidRDefault="00B6319C" w:rsidP="00B6319C">
      <w:r w:rsidRPr="00087C82">
        <w:t>Käesolev peatükk sisaldab ülevaadet riigi kinnisvaraportfellist riigi kinnisvararegistri andmete alusel.</w:t>
      </w:r>
      <w:r>
        <w:t xml:space="preserve"> RKVR-is on 31.12.2014 seisuga registreeritud 46 332 riigi omandis olevat varaobjekti hoonete pindalaga</w:t>
      </w:r>
      <w:r>
        <w:rPr>
          <w:rStyle w:val="FootnoteReference"/>
        </w:rPr>
        <w:footnoteReference w:id="1"/>
      </w:r>
      <w:r>
        <w:t xml:space="preserve"> 1 535 059 m</w:t>
      </w:r>
      <w:r w:rsidRPr="00891404">
        <w:t>² ja</w:t>
      </w:r>
      <w:r>
        <w:rPr>
          <w:rFonts w:ascii="Calibri" w:hAnsi="Calibri"/>
        </w:rPr>
        <w:t xml:space="preserve"> </w:t>
      </w:r>
      <w:r>
        <w:t>maa pindalaga</w:t>
      </w:r>
      <w:r>
        <w:rPr>
          <w:rStyle w:val="FootnoteReference"/>
        </w:rPr>
        <w:footnoteReference w:id="2"/>
      </w:r>
      <w:r w:rsidR="009D0F77">
        <w:t xml:space="preserve"> 1 608 69</w:t>
      </w:r>
      <w:r>
        <w:t>2 ha ning 1011 kasutuslepingu alusel kasutatavat varaobjekti hoonete pinnaga 677 480 m</w:t>
      </w:r>
      <w:r w:rsidRPr="00E24172">
        <w:rPr>
          <w:vertAlign w:val="superscript"/>
        </w:rPr>
        <w:t>2</w:t>
      </w:r>
      <w:r>
        <w:t xml:space="preserve"> (vt </w:t>
      </w:r>
      <w:r w:rsidR="00A85FDC">
        <w:fldChar w:fldCharType="begin"/>
      </w:r>
      <w:r>
        <w:instrText xml:space="preserve"> REF _Ref410026665 \h </w:instrText>
      </w:r>
      <w:r w:rsidR="00A85FDC">
        <w:fldChar w:fldCharType="separate"/>
      </w:r>
      <w:r w:rsidR="00477322">
        <w:t xml:space="preserve">Tabel </w:t>
      </w:r>
      <w:r w:rsidR="00477322">
        <w:rPr>
          <w:noProof/>
        </w:rPr>
        <w:t>1</w:t>
      </w:r>
      <w:r w:rsidR="00A85FDC">
        <w:fldChar w:fldCharType="end"/>
      </w:r>
      <w:r>
        <w:t xml:space="preserve">). </w:t>
      </w:r>
    </w:p>
    <w:p w:rsidR="00B6319C" w:rsidRDefault="00B6319C" w:rsidP="00B6319C">
      <w:pPr>
        <w:pStyle w:val="Caption"/>
      </w:pPr>
      <w:bookmarkStart w:id="105" w:name="_Ref410026665"/>
      <w:bookmarkStart w:id="106" w:name="_Ref410026586"/>
      <w:r>
        <w:t xml:space="preserve">Tabel </w:t>
      </w:r>
      <w:fldSimple w:instr=" SEQ Tabel \* ARABIC ">
        <w:r w:rsidR="00477322">
          <w:rPr>
            <w:noProof/>
          </w:rPr>
          <w:t>1</w:t>
        </w:r>
      </w:fldSimple>
      <w:bookmarkEnd w:id="105"/>
      <w:r>
        <w:t>. Riigi kinnisvaraportfelli ülevaade</w:t>
      </w:r>
      <w:bookmarkEnd w:id="106"/>
    </w:p>
    <w:tbl>
      <w:tblPr>
        <w:tblStyle w:val="MediumShading1-Accent11"/>
        <w:tblW w:w="9431" w:type="dxa"/>
        <w:tblLayout w:type="fixed"/>
        <w:tblLook w:val="04A0"/>
      </w:tblPr>
      <w:tblGrid>
        <w:gridCol w:w="1590"/>
        <w:gridCol w:w="883"/>
        <w:gridCol w:w="1373"/>
        <w:gridCol w:w="1649"/>
        <w:gridCol w:w="1560"/>
        <w:gridCol w:w="884"/>
        <w:gridCol w:w="1492"/>
      </w:tblGrid>
      <w:tr w:rsidR="00B6319C" w:rsidRPr="00C12E5F" w:rsidTr="00CD371C">
        <w:trPr>
          <w:cnfStyle w:val="100000000000"/>
          <w:trHeight w:val="741"/>
        </w:trPr>
        <w:tc>
          <w:tcPr>
            <w:cnfStyle w:val="001000000000"/>
            <w:tcW w:w="1590" w:type="dxa"/>
            <w:noWrap/>
            <w:hideMark/>
          </w:tcPr>
          <w:p w:rsidR="00B6319C" w:rsidRPr="00C12E5F" w:rsidRDefault="00B6319C" w:rsidP="00CD371C">
            <w:pPr>
              <w:jc w:val="left"/>
              <w:rPr>
                <w:color w:val="FFFFFF"/>
                <w:sz w:val="17"/>
                <w:szCs w:val="17"/>
                <w:lang w:eastAsia="et-EE"/>
              </w:rPr>
            </w:pPr>
            <w:r w:rsidRPr="00C12E5F">
              <w:rPr>
                <w:color w:val="FFFFFF"/>
                <w:sz w:val="17"/>
                <w:szCs w:val="17"/>
                <w:lang w:eastAsia="et-EE"/>
              </w:rPr>
              <w:t>Vara liik</w:t>
            </w:r>
          </w:p>
        </w:tc>
        <w:tc>
          <w:tcPr>
            <w:tcW w:w="883"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Varade arv, tk</w:t>
            </w:r>
          </w:p>
        </w:tc>
        <w:tc>
          <w:tcPr>
            <w:tcW w:w="1373"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sh hoonestatud, tk</w:t>
            </w:r>
          </w:p>
        </w:tc>
        <w:tc>
          <w:tcPr>
            <w:tcW w:w="1649"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Omandis/ kasutatavate hoonete arv, tk</w:t>
            </w:r>
          </w:p>
        </w:tc>
        <w:tc>
          <w:tcPr>
            <w:tcW w:w="1560"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Hoonete pindala, m</w:t>
            </w:r>
            <w:r w:rsidRPr="00C12E5F">
              <w:rPr>
                <w:color w:val="FFFFFF"/>
                <w:sz w:val="17"/>
                <w:szCs w:val="17"/>
                <w:vertAlign w:val="superscript"/>
                <w:lang w:eastAsia="et-EE"/>
              </w:rPr>
              <w:t>2</w:t>
            </w:r>
          </w:p>
        </w:tc>
        <w:tc>
          <w:tcPr>
            <w:tcW w:w="884"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Maade arv, tk</w:t>
            </w:r>
          </w:p>
        </w:tc>
        <w:tc>
          <w:tcPr>
            <w:tcW w:w="1492" w:type="dxa"/>
            <w:hideMark/>
          </w:tcPr>
          <w:p w:rsidR="00B6319C" w:rsidRPr="00C12E5F" w:rsidRDefault="00B6319C" w:rsidP="00CD371C">
            <w:pPr>
              <w:jc w:val="center"/>
              <w:cnfStyle w:val="100000000000"/>
              <w:rPr>
                <w:color w:val="FFFFFF"/>
                <w:sz w:val="17"/>
                <w:szCs w:val="17"/>
                <w:lang w:eastAsia="et-EE"/>
              </w:rPr>
            </w:pPr>
            <w:r w:rsidRPr="00C12E5F">
              <w:rPr>
                <w:color w:val="FFFFFF"/>
                <w:sz w:val="17"/>
                <w:szCs w:val="17"/>
                <w:lang w:eastAsia="et-EE"/>
              </w:rPr>
              <w:t>Maa pindala, ha</w:t>
            </w:r>
            <w:r w:rsidRPr="00C12E5F">
              <w:rPr>
                <w:color w:val="000000"/>
                <w:sz w:val="17"/>
                <w:szCs w:val="17"/>
                <w:lang w:eastAsia="et-EE"/>
              </w:rPr>
              <w:t> </w:t>
            </w:r>
          </w:p>
        </w:tc>
      </w:tr>
      <w:tr w:rsidR="00B6319C" w:rsidRPr="00C12E5F" w:rsidTr="00C12E5F">
        <w:trPr>
          <w:cnfStyle w:val="000000100000"/>
          <w:trHeight w:val="314"/>
        </w:trPr>
        <w:tc>
          <w:tcPr>
            <w:cnfStyle w:val="001000000000"/>
            <w:tcW w:w="1590" w:type="dxa"/>
            <w:noWrap/>
            <w:hideMark/>
          </w:tcPr>
          <w:p w:rsidR="00B6319C" w:rsidRPr="00C12E5F" w:rsidRDefault="00B6319C" w:rsidP="00CD371C">
            <w:pPr>
              <w:jc w:val="left"/>
              <w:rPr>
                <w:color w:val="7F7F7F"/>
                <w:sz w:val="17"/>
                <w:szCs w:val="17"/>
                <w:lang w:eastAsia="et-EE"/>
              </w:rPr>
            </w:pPr>
            <w:r w:rsidRPr="00C12E5F">
              <w:rPr>
                <w:color w:val="7F7F7F"/>
                <w:sz w:val="17"/>
                <w:szCs w:val="17"/>
                <w:lang w:eastAsia="et-EE"/>
              </w:rPr>
              <w:t xml:space="preserve"> </w:t>
            </w:r>
            <w:r w:rsidRPr="00C12E5F">
              <w:rPr>
                <w:color w:val="000000"/>
                <w:sz w:val="17"/>
                <w:szCs w:val="17"/>
                <w:lang w:eastAsia="et-EE"/>
              </w:rPr>
              <w:t>Omandis (KV)</w:t>
            </w:r>
          </w:p>
        </w:tc>
        <w:tc>
          <w:tcPr>
            <w:tcW w:w="883"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46 332</w:t>
            </w:r>
          </w:p>
        </w:tc>
        <w:tc>
          <w:tcPr>
            <w:tcW w:w="1373"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1 213</w:t>
            </w:r>
          </w:p>
        </w:tc>
        <w:tc>
          <w:tcPr>
            <w:tcW w:w="1649" w:type="dxa"/>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2 449</w:t>
            </w:r>
          </w:p>
        </w:tc>
        <w:tc>
          <w:tcPr>
            <w:tcW w:w="1560"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1 535 059</w:t>
            </w:r>
          </w:p>
        </w:tc>
        <w:tc>
          <w:tcPr>
            <w:tcW w:w="884" w:type="dxa"/>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47 228</w:t>
            </w:r>
          </w:p>
        </w:tc>
        <w:tc>
          <w:tcPr>
            <w:tcW w:w="1492" w:type="dxa"/>
            <w:hideMark/>
          </w:tcPr>
          <w:p w:rsidR="00B6319C" w:rsidRPr="00C12E5F" w:rsidRDefault="00F412B3" w:rsidP="00CD371C">
            <w:pPr>
              <w:jc w:val="right"/>
              <w:cnfStyle w:val="000000100000"/>
              <w:rPr>
                <w:b/>
                <w:bCs/>
                <w:color w:val="000000"/>
                <w:sz w:val="17"/>
                <w:szCs w:val="17"/>
                <w:lang w:eastAsia="et-EE"/>
              </w:rPr>
            </w:pPr>
            <w:r>
              <w:rPr>
                <w:b/>
                <w:bCs/>
                <w:color w:val="000000"/>
                <w:sz w:val="17"/>
                <w:szCs w:val="17"/>
                <w:lang w:eastAsia="et-EE"/>
              </w:rPr>
              <w:t>1 608 69</w:t>
            </w:r>
            <w:r w:rsidR="00B6319C" w:rsidRPr="00C12E5F">
              <w:rPr>
                <w:b/>
                <w:bCs/>
                <w:color w:val="000000"/>
                <w:sz w:val="17"/>
                <w:szCs w:val="17"/>
                <w:lang w:eastAsia="et-EE"/>
              </w:rPr>
              <w:t>2</w:t>
            </w:r>
          </w:p>
        </w:tc>
      </w:tr>
      <w:tr w:rsidR="00B6319C" w:rsidRPr="00C12E5F" w:rsidTr="00C12E5F">
        <w:trPr>
          <w:cnfStyle w:val="000000010000"/>
          <w:trHeight w:val="461"/>
        </w:trPr>
        <w:tc>
          <w:tcPr>
            <w:cnfStyle w:val="001000000000"/>
            <w:tcW w:w="1590" w:type="dxa"/>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Kasutuslepingu alusel, sh</w:t>
            </w:r>
          </w:p>
        </w:tc>
        <w:tc>
          <w:tcPr>
            <w:tcW w:w="883" w:type="dxa"/>
            <w:noWrap/>
            <w:hideMark/>
          </w:tcPr>
          <w:p w:rsidR="00B6319C" w:rsidRPr="00C12E5F" w:rsidRDefault="00B6319C" w:rsidP="00CD371C">
            <w:pPr>
              <w:jc w:val="right"/>
              <w:cnfStyle w:val="000000010000"/>
              <w:rPr>
                <w:b/>
                <w:bCs/>
                <w:color w:val="000000"/>
                <w:sz w:val="17"/>
                <w:szCs w:val="17"/>
                <w:lang w:eastAsia="et-EE"/>
              </w:rPr>
            </w:pPr>
            <w:r w:rsidRPr="00C12E5F">
              <w:rPr>
                <w:b/>
                <w:bCs/>
                <w:color w:val="000000"/>
                <w:sz w:val="17"/>
                <w:szCs w:val="17"/>
                <w:lang w:eastAsia="et-EE"/>
              </w:rPr>
              <w:t>1 011</w:t>
            </w:r>
          </w:p>
        </w:tc>
        <w:tc>
          <w:tcPr>
            <w:tcW w:w="1373" w:type="dxa"/>
            <w:noWrap/>
            <w:hideMark/>
          </w:tcPr>
          <w:p w:rsidR="00B6319C" w:rsidRPr="00C12E5F" w:rsidRDefault="00B6319C" w:rsidP="00CD371C">
            <w:pPr>
              <w:jc w:val="right"/>
              <w:cnfStyle w:val="000000010000"/>
              <w:rPr>
                <w:b/>
                <w:bCs/>
                <w:color w:val="000000"/>
                <w:sz w:val="17"/>
                <w:szCs w:val="17"/>
                <w:lang w:eastAsia="et-EE"/>
              </w:rPr>
            </w:pPr>
            <w:r w:rsidRPr="00C12E5F">
              <w:rPr>
                <w:b/>
                <w:bCs/>
                <w:color w:val="000000"/>
                <w:sz w:val="17"/>
                <w:szCs w:val="17"/>
                <w:lang w:eastAsia="et-EE"/>
              </w:rPr>
              <w:t>714</w:t>
            </w:r>
          </w:p>
        </w:tc>
        <w:tc>
          <w:tcPr>
            <w:tcW w:w="1649" w:type="dxa"/>
            <w:hideMark/>
          </w:tcPr>
          <w:p w:rsidR="00B6319C" w:rsidRPr="00C12E5F" w:rsidRDefault="00B6319C" w:rsidP="00CD371C">
            <w:pPr>
              <w:jc w:val="right"/>
              <w:cnfStyle w:val="000000010000"/>
              <w:rPr>
                <w:b/>
                <w:bCs/>
                <w:color w:val="000000"/>
                <w:sz w:val="17"/>
                <w:szCs w:val="17"/>
                <w:lang w:eastAsia="et-EE"/>
              </w:rPr>
            </w:pPr>
            <w:r w:rsidRPr="00C12E5F">
              <w:rPr>
                <w:b/>
                <w:bCs/>
                <w:color w:val="000000"/>
                <w:sz w:val="17"/>
                <w:szCs w:val="17"/>
                <w:lang w:eastAsia="et-EE"/>
              </w:rPr>
              <w:t>844</w:t>
            </w:r>
          </w:p>
        </w:tc>
        <w:tc>
          <w:tcPr>
            <w:tcW w:w="1560" w:type="dxa"/>
            <w:noWrap/>
            <w:hideMark/>
          </w:tcPr>
          <w:p w:rsidR="00B6319C" w:rsidRPr="00C12E5F" w:rsidRDefault="00B6319C" w:rsidP="00CD371C">
            <w:pPr>
              <w:jc w:val="right"/>
              <w:cnfStyle w:val="000000010000"/>
              <w:rPr>
                <w:b/>
                <w:bCs/>
                <w:color w:val="000000"/>
                <w:sz w:val="17"/>
                <w:szCs w:val="17"/>
                <w:lang w:eastAsia="et-EE"/>
              </w:rPr>
            </w:pPr>
            <w:bookmarkStart w:id="107" w:name="RANGE!E39"/>
            <w:r w:rsidRPr="00C12E5F">
              <w:rPr>
                <w:b/>
                <w:bCs/>
                <w:color w:val="000000"/>
                <w:sz w:val="17"/>
                <w:szCs w:val="17"/>
                <w:lang w:eastAsia="et-EE"/>
              </w:rPr>
              <w:t>677 480</w:t>
            </w:r>
            <w:bookmarkEnd w:id="107"/>
          </w:p>
        </w:tc>
        <w:tc>
          <w:tcPr>
            <w:tcW w:w="884" w:type="dxa"/>
            <w:hideMark/>
          </w:tcPr>
          <w:p w:rsidR="00B6319C" w:rsidRPr="00C12E5F" w:rsidRDefault="00B6319C" w:rsidP="00CD371C">
            <w:pPr>
              <w:jc w:val="right"/>
              <w:cnfStyle w:val="000000010000"/>
              <w:rPr>
                <w:b/>
                <w:bCs/>
                <w:color w:val="000000"/>
                <w:sz w:val="17"/>
                <w:szCs w:val="17"/>
                <w:lang w:eastAsia="et-EE"/>
              </w:rPr>
            </w:pPr>
            <w:r w:rsidRPr="00C12E5F">
              <w:rPr>
                <w:b/>
                <w:bCs/>
                <w:color w:val="000000"/>
                <w:sz w:val="17"/>
                <w:szCs w:val="17"/>
                <w:lang w:eastAsia="et-EE"/>
              </w:rPr>
              <w:t>135</w:t>
            </w:r>
          </w:p>
        </w:tc>
        <w:tc>
          <w:tcPr>
            <w:tcW w:w="1492" w:type="dxa"/>
            <w:hideMark/>
          </w:tcPr>
          <w:p w:rsidR="00B6319C" w:rsidRPr="00C12E5F" w:rsidRDefault="006105A3" w:rsidP="00CD371C">
            <w:pPr>
              <w:jc w:val="right"/>
              <w:cnfStyle w:val="000000010000"/>
              <w:rPr>
                <w:b/>
                <w:bCs/>
                <w:color w:val="000000"/>
                <w:sz w:val="17"/>
                <w:szCs w:val="17"/>
                <w:lang w:eastAsia="et-EE"/>
              </w:rPr>
            </w:pPr>
            <w:r w:rsidRPr="00C12E5F">
              <w:rPr>
                <w:b/>
                <w:bCs/>
                <w:color w:val="000000"/>
                <w:sz w:val="17"/>
                <w:szCs w:val="17"/>
                <w:lang w:eastAsia="et-EE"/>
              </w:rPr>
              <w:t>239</w:t>
            </w:r>
          </w:p>
        </w:tc>
      </w:tr>
      <w:tr w:rsidR="00B6319C" w:rsidRPr="00C12E5F" w:rsidTr="00CD371C">
        <w:trPr>
          <w:cnfStyle w:val="000000100000"/>
          <w:trHeight w:val="300"/>
        </w:trPr>
        <w:tc>
          <w:tcPr>
            <w:cnfStyle w:val="001000000000"/>
            <w:tcW w:w="1590" w:type="dxa"/>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 xml:space="preserve">   Hoonestus-õigus (KX)</w:t>
            </w:r>
          </w:p>
        </w:tc>
        <w:tc>
          <w:tcPr>
            <w:tcW w:w="883" w:type="dxa"/>
            <w:noWrap/>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6</w:t>
            </w:r>
          </w:p>
        </w:tc>
        <w:tc>
          <w:tcPr>
            <w:tcW w:w="1373" w:type="dxa"/>
            <w:noWrap/>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4</w:t>
            </w:r>
          </w:p>
        </w:tc>
        <w:tc>
          <w:tcPr>
            <w:tcW w:w="1649" w:type="dxa"/>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4</w:t>
            </w:r>
          </w:p>
        </w:tc>
        <w:tc>
          <w:tcPr>
            <w:tcW w:w="1560" w:type="dxa"/>
            <w:noWrap/>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8 263</w:t>
            </w:r>
          </w:p>
        </w:tc>
        <w:tc>
          <w:tcPr>
            <w:tcW w:w="884" w:type="dxa"/>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 xml:space="preserve"> -</w:t>
            </w:r>
          </w:p>
        </w:tc>
        <w:tc>
          <w:tcPr>
            <w:tcW w:w="1492" w:type="dxa"/>
            <w:hideMark/>
          </w:tcPr>
          <w:p w:rsidR="00B6319C" w:rsidRPr="00C12E5F" w:rsidRDefault="00B6319C" w:rsidP="00CD371C">
            <w:pPr>
              <w:jc w:val="right"/>
              <w:cnfStyle w:val="000000100000"/>
              <w:rPr>
                <w:color w:val="000000"/>
                <w:sz w:val="17"/>
                <w:szCs w:val="17"/>
                <w:lang w:eastAsia="et-EE"/>
              </w:rPr>
            </w:pPr>
            <w:r w:rsidRPr="00C12E5F">
              <w:rPr>
                <w:color w:val="000000"/>
                <w:sz w:val="17"/>
                <w:szCs w:val="17"/>
                <w:lang w:eastAsia="et-EE"/>
              </w:rPr>
              <w:t xml:space="preserve"> -</w:t>
            </w:r>
          </w:p>
        </w:tc>
      </w:tr>
      <w:tr w:rsidR="00B6319C" w:rsidRPr="00C12E5F" w:rsidTr="00CD371C">
        <w:trPr>
          <w:cnfStyle w:val="000000010000"/>
          <w:trHeight w:val="300"/>
        </w:trPr>
        <w:tc>
          <w:tcPr>
            <w:cnfStyle w:val="001000000000"/>
            <w:tcW w:w="1590" w:type="dxa"/>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 xml:space="preserve">   Võlaõiguslik kasutusleping (KL)</w:t>
            </w:r>
          </w:p>
        </w:tc>
        <w:tc>
          <w:tcPr>
            <w:tcW w:w="883" w:type="dxa"/>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767</w:t>
            </w:r>
          </w:p>
        </w:tc>
        <w:tc>
          <w:tcPr>
            <w:tcW w:w="1373" w:type="dxa"/>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710</w:t>
            </w:r>
          </w:p>
        </w:tc>
        <w:tc>
          <w:tcPr>
            <w:tcW w:w="1649" w:type="dxa"/>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840</w:t>
            </w:r>
          </w:p>
        </w:tc>
        <w:tc>
          <w:tcPr>
            <w:tcW w:w="1560" w:type="dxa"/>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669 217</w:t>
            </w:r>
          </w:p>
        </w:tc>
        <w:tc>
          <w:tcPr>
            <w:tcW w:w="884" w:type="dxa"/>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135</w:t>
            </w:r>
          </w:p>
        </w:tc>
        <w:tc>
          <w:tcPr>
            <w:tcW w:w="1492" w:type="dxa"/>
            <w:hideMark/>
          </w:tcPr>
          <w:p w:rsidR="00B6319C" w:rsidRPr="00C12E5F" w:rsidRDefault="006105A3" w:rsidP="00CD371C">
            <w:pPr>
              <w:jc w:val="right"/>
              <w:cnfStyle w:val="000000010000"/>
              <w:rPr>
                <w:color w:val="000000"/>
                <w:sz w:val="17"/>
                <w:szCs w:val="17"/>
                <w:lang w:eastAsia="et-EE"/>
              </w:rPr>
            </w:pPr>
            <w:r w:rsidRPr="00C12E5F">
              <w:rPr>
                <w:color w:val="000000"/>
                <w:sz w:val="17"/>
                <w:szCs w:val="17"/>
                <w:lang w:eastAsia="et-EE"/>
              </w:rPr>
              <w:t>239</w:t>
            </w:r>
          </w:p>
        </w:tc>
      </w:tr>
      <w:tr w:rsidR="00B6319C" w:rsidRPr="00C12E5F" w:rsidTr="00CD371C">
        <w:trPr>
          <w:cnfStyle w:val="000000100000"/>
          <w:trHeight w:val="300"/>
        </w:trPr>
        <w:tc>
          <w:tcPr>
            <w:cnfStyle w:val="001000000000"/>
            <w:tcW w:w="1590" w:type="dxa"/>
            <w:noWrap/>
            <w:hideMark/>
          </w:tcPr>
          <w:p w:rsidR="00B6319C" w:rsidRPr="00C12E5F" w:rsidRDefault="00B6319C" w:rsidP="002E227C">
            <w:pPr>
              <w:ind w:firstLineChars="100" w:firstLine="171"/>
              <w:jc w:val="left"/>
              <w:rPr>
                <w:color w:val="808080"/>
                <w:sz w:val="17"/>
                <w:szCs w:val="17"/>
                <w:lang w:eastAsia="et-EE"/>
              </w:rPr>
            </w:pPr>
            <w:r w:rsidRPr="00C12E5F">
              <w:rPr>
                <w:color w:val="808080"/>
                <w:sz w:val="17"/>
                <w:szCs w:val="17"/>
                <w:lang w:eastAsia="et-EE"/>
              </w:rPr>
              <w:t>sh riigisisene kasutamise kokkulepe</w:t>
            </w:r>
          </w:p>
        </w:tc>
        <w:tc>
          <w:tcPr>
            <w:tcW w:w="883" w:type="dxa"/>
            <w:noWrap/>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117</w:t>
            </w:r>
          </w:p>
        </w:tc>
        <w:tc>
          <w:tcPr>
            <w:tcW w:w="1373" w:type="dxa"/>
            <w:noWrap/>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138</w:t>
            </w:r>
          </w:p>
        </w:tc>
        <w:tc>
          <w:tcPr>
            <w:tcW w:w="1649" w:type="dxa"/>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138</w:t>
            </w:r>
          </w:p>
        </w:tc>
        <w:tc>
          <w:tcPr>
            <w:tcW w:w="1560" w:type="dxa"/>
            <w:noWrap/>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26 252</w:t>
            </w:r>
          </w:p>
        </w:tc>
        <w:tc>
          <w:tcPr>
            <w:tcW w:w="884" w:type="dxa"/>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w:t>
            </w:r>
          </w:p>
        </w:tc>
        <w:tc>
          <w:tcPr>
            <w:tcW w:w="1492" w:type="dxa"/>
            <w:hideMark/>
          </w:tcPr>
          <w:p w:rsidR="00B6319C" w:rsidRPr="00C12E5F" w:rsidRDefault="00B6319C" w:rsidP="00CD371C">
            <w:pPr>
              <w:jc w:val="right"/>
              <w:cnfStyle w:val="000000100000"/>
              <w:rPr>
                <w:color w:val="808080"/>
                <w:sz w:val="17"/>
                <w:szCs w:val="17"/>
                <w:lang w:eastAsia="et-EE"/>
              </w:rPr>
            </w:pPr>
            <w:r w:rsidRPr="00C12E5F">
              <w:rPr>
                <w:color w:val="808080"/>
                <w:sz w:val="17"/>
                <w:szCs w:val="17"/>
                <w:lang w:eastAsia="et-EE"/>
              </w:rPr>
              <w:t>-</w:t>
            </w:r>
          </w:p>
        </w:tc>
      </w:tr>
      <w:tr w:rsidR="00B6319C" w:rsidRPr="00C12E5F" w:rsidTr="00C12E5F">
        <w:trPr>
          <w:cnfStyle w:val="000000010000"/>
          <w:trHeight w:val="300"/>
        </w:trPr>
        <w:tc>
          <w:tcPr>
            <w:cnfStyle w:val="001000000000"/>
            <w:tcW w:w="1590" w:type="dxa"/>
            <w:tcBorders>
              <w:bottom w:val="single" w:sz="4" w:space="0" w:color="auto"/>
            </w:tcBorders>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 xml:space="preserve"> Servituut (KS)</w:t>
            </w:r>
          </w:p>
        </w:tc>
        <w:tc>
          <w:tcPr>
            <w:tcW w:w="883" w:type="dxa"/>
            <w:tcBorders>
              <w:bottom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237</w:t>
            </w:r>
          </w:p>
        </w:tc>
        <w:tc>
          <w:tcPr>
            <w:tcW w:w="1373" w:type="dxa"/>
            <w:tcBorders>
              <w:bottom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 xml:space="preserve"> -</w:t>
            </w:r>
          </w:p>
        </w:tc>
        <w:tc>
          <w:tcPr>
            <w:tcW w:w="1649" w:type="dxa"/>
            <w:tcBorders>
              <w:bottom w:val="single" w:sz="4" w:space="0" w:color="auto"/>
            </w:tcBorders>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 xml:space="preserve"> -</w:t>
            </w:r>
          </w:p>
        </w:tc>
        <w:tc>
          <w:tcPr>
            <w:tcW w:w="1560" w:type="dxa"/>
            <w:tcBorders>
              <w:bottom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 xml:space="preserve"> -</w:t>
            </w:r>
          </w:p>
        </w:tc>
        <w:tc>
          <w:tcPr>
            <w:tcW w:w="884" w:type="dxa"/>
            <w:tcBorders>
              <w:bottom w:val="single" w:sz="4" w:space="0" w:color="auto"/>
            </w:tcBorders>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 xml:space="preserve"> -</w:t>
            </w:r>
          </w:p>
        </w:tc>
        <w:tc>
          <w:tcPr>
            <w:tcW w:w="1492" w:type="dxa"/>
            <w:tcBorders>
              <w:bottom w:val="single" w:sz="4" w:space="0" w:color="auto"/>
            </w:tcBorders>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 xml:space="preserve"> -</w:t>
            </w:r>
          </w:p>
        </w:tc>
      </w:tr>
      <w:tr w:rsidR="00B6319C" w:rsidRPr="00C12E5F" w:rsidTr="00C12E5F">
        <w:trPr>
          <w:cnfStyle w:val="000000100000"/>
          <w:trHeight w:val="288"/>
        </w:trPr>
        <w:tc>
          <w:tcPr>
            <w:cnfStyle w:val="001000000000"/>
            <w:tcW w:w="1590" w:type="dxa"/>
            <w:tcBorders>
              <w:top w:val="single" w:sz="4" w:space="0" w:color="auto"/>
              <w:left w:val="single" w:sz="4" w:space="0" w:color="auto"/>
              <w:bottom w:val="single" w:sz="4" w:space="0" w:color="auto"/>
            </w:tcBorders>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Kokku</w:t>
            </w:r>
            <w:r w:rsidRPr="00C12E5F">
              <w:rPr>
                <w:rStyle w:val="FootnoteReference"/>
                <w:color w:val="000000"/>
                <w:sz w:val="17"/>
                <w:szCs w:val="17"/>
                <w:lang w:eastAsia="et-EE"/>
              </w:rPr>
              <w:footnoteReference w:id="3"/>
            </w:r>
          </w:p>
        </w:tc>
        <w:tc>
          <w:tcPr>
            <w:tcW w:w="883" w:type="dxa"/>
            <w:tcBorders>
              <w:top w:val="single" w:sz="4" w:space="0" w:color="auto"/>
              <w:bottom w:val="single" w:sz="4" w:space="0" w:color="auto"/>
            </w:tcBorders>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47 226</w:t>
            </w:r>
          </w:p>
        </w:tc>
        <w:tc>
          <w:tcPr>
            <w:tcW w:w="1373" w:type="dxa"/>
            <w:tcBorders>
              <w:top w:val="single" w:sz="4" w:space="0" w:color="auto"/>
              <w:bottom w:val="single" w:sz="4" w:space="0" w:color="auto"/>
            </w:tcBorders>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1 789</w:t>
            </w:r>
          </w:p>
        </w:tc>
        <w:tc>
          <w:tcPr>
            <w:tcW w:w="1649" w:type="dxa"/>
            <w:tcBorders>
              <w:top w:val="single" w:sz="4" w:space="0" w:color="auto"/>
              <w:bottom w:val="single" w:sz="4" w:space="0" w:color="auto"/>
            </w:tcBorders>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3 155</w:t>
            </w:r>
          </w:p>
        </w:tc>
        <w:tc>
          <w:tcPr>
            <w:tcW w:w="1560" w:type="dxa"/>
            <w:tcBorders>
              <w:top w:val="single" w:sz="4" w:space="0" w:color="auto"/>
              <w:bottom w:val="single" w:sz="4" w:space="0" w:color="auto"/>
            </w:tcBorders>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2 186 287</w:t>
            </w:r>
          </w:p>
        </w:tc>
        <w:tc>
          <w:tcPr>
            <w:tcW w:w="884" w:type="dxa"/>
            <w:tcBorders>
              <w:top w:val="single" w:sz="4" w:space="0" w:color="auto"/>
              <w:bottom w:val="single" w:sz="4" w:space="0" w:color="auto"/>
            </w:tcBorders>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 xml:space="preserve"> 47 363 </w:t>
            </w:r>
            <w:r w:rsidR="000E5304">
              <w:rPr>
                <w:b/>
                <w:bCs/>
                <w:color w:val="000000"/>
                <w:sz w:val="17"/>
                <w:szCs w:val="17"/>
                <w:lang w:eastAsia="et-EE"/>
              </w:rPr>
              <w:t xml:space="preserve"> </w:t>
            </w:r>
            <w:r w:rsidRPr="00C12E5F">
              <w:rPr>
                <w:b/>
                <w:bCs/>
                <w:color w:val="000000"/>
                <w:sz w:val="17"/>
                <w:szCs w:val="17"/>
                <w:lang w:eastAsia="et-EE"/>
              </w:rPr>
              <w:t xml:space="preserve"> </w:t>
            </w:r>
          </w:p>
        </w:tc>
        <w:tc>
          <w:tcPr>
            <w:tcW w:w="1492" w:type="dxa"/>
            <w:tcBorders>
              <w:top w:val="single" w:sz="4" w:space="0" w:color="auto"/>
              <w:bottom w:val="single" w:sz="4" w:space="0" w:color="auto"/>
              <w:right w:val="single" w:sz="4" w:space="0" w:color="auto"/>
            </w:tcBorders>
            <w:hideMark/>
          </w:tcPr>
          <w:p w:rsidR="00B6319C" w:rsidRPr="00C12E5F" w:rsidRDefault="00F412B3" w:rsidP="00CD371C">
            <w:pPr>
              <w:jc w:val="right"/>
              <w:cnfStyle w:val="000000100000"/>
              <w:rPr>
                <w:b/>
                <w:bCs/>
                <w:color w:val="000000"/>
                <w:sz w:val="17"/>
                <w:szCs w:val="17"/>
                <w:lang w:eastAsia="et-EE"/>
              </w:rPr>
            </w:pPr>
            <w:r>
              <w:rPr>
                <w:b/>
                <w:bCs/>
                <w:color w:val="000000"/>
                <w:sz w:val="17"/>
                <w:szCs w:val="17"/>
                <w:lang w:eastAsia="et-EE"/>
              </w:rPr>
              <w:t xml:space="preserve"> 1 608 931</w:t>
            </w:r>
            <w:r w:rsidR="000E5304">
              <w:rPr>
                <w:b/>
                <w:bCs/>
                <w:color w:val="000000"/>
                <w:sz w:val="17"/>
                <w:szCs w:val="17"/>
                <w:lang w:eastAsia="et-EE"/>
              </w:rPr>
              <w:t xml:space="preserve"> </w:t>
            </w:r>
          </w:p>
        </w:tc>
      </w:tr>
      <w:tr w:rsidR="00B6319C" w:rsidRPr="00C12E5F" w:rsidTr="00C12E5F">
        <w:trPr>
          <w:cnfStyle w:val="000000010000"/>
          <w:trHeight w:val="288"/>
        </w:trPr>
        <w:tc>
          <w:tcPr>
            <w:cnfStyle w:val="001000000000"/>
            <w:tcW w:w="1590" w:type="dxa"/>
            <w:tcBorders>
              <w:top w:val="single" w:sz="4" w:space="0" w:color="auto"/>
            </w:tcBorders>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sh RMK</w:t>
            </w:r>
          </w:p>
        </w:tc>
        <w:tc>
          <w:tcPr>
            <w:tcW w:w="883" w:type="dxa"/>
            <w:tcBorders>
              <w:top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20 999</w:t>
            </w:r>
          </w:p>
        </w:tc>
        <w:tc>
          <w:tcPr>
            <w:tcW w:w="1373" w:type="dxa"/>
            <w:tcBorders>
              <w:top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294</w:t>
            </w:r>
          </w:p>
        </w:tc>
        <w:tc>
          <w:tcPr>
            <w:tcW w:w="1649" w:type="dxa"/>
            <w:tcBorders>
              <w:top w:val="single" w:sz="4" w:space="0" w:color="auto"/>
            </w:tcBorders>
            <w:noWrap/>
            <w:hideMark/>
          </w:tcPr>
          <w:p w:rsidR="00B6319C" w:rsidRPr="00C12E5F" w:rsidRDefault="00B6319C" w:rsidP="00CD371C">
            <w:pPr>
              <w:jc w:val="right"/>
              <w:cnfStyle w:val="000000010000"/>
              <w:rPr>
                <w:sz w:val="17"/>
                <w:szCs w:val="17"/>
                <w:lang w:eastAsia="et-EE"/>
              </w:rPr>
            </w:pPr>
            <w:r w:rsidRPr="00C12E5F">
              <w:rPr>
                <w:sz w:val="17"/>
                <w:szCs w:val="17"/>
                <w:lang w:eastAsia="et-EE"/>
              </w:rPr>
              <w:t>552</w:t>
            </w:r>
          </w:p>
        </w:tc>
        <w:tc>
          <w:tcPr>
            <w:tcW w:w="1560" w:type="dxa"/>
            <w:tcBorders>
              <w:top w:val="single" w:sz="4" w:space="0" w:color="auto"/>
            </w:tcBorders>
            <w:noWrap/>
            <w:hideMark/>
          </w:tcPr>
          <w:p w:rsidR="00B6319C" w:rsidRPr="00C12E5F" w:rsidRDefault="00B6319C" w:rsidP="00CD371C">
            <w:pPr>
              <w:jc w:val="right"/>
              <w:cnfStyle w:val="000000010000"/>
              <w:rPr>
                <w:sz w:val="17"/>
                <w:szCs w:val="17"/>
                <w:lang w:eastAsia="et-EE"/>
              </w:rPr>
            </w:pPr>
            <w:r w:rsidRPr="00C12E5F">
              <w:rPr>
                <w:sz w:val="17"/>
                <w:szCs w:val="17"/>
                <w:lang w:eastAsia="et-EE"/>
              </w:rPr>
              <w:t>87 984</w:t>
            </w:r>
          </w:p>
        </w:tc>
        <w:tc>
          <w:tcPr>
            <w:tcW w:w="884" w:type="dxa"/>
            <w:tcBorders>
              <w:top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17 599</w:t>
            </w:r>
          </w:p>
        </w:tc>
        <w:tc>
          <w:tcPr>
            <w:tcW w:w="1492" w:type="dxa"/>
            <w:tcBorders>
              <w:top w:val="single" w:sz="4" w:space="0" w:color="auto"/>
            </w:tcBorders>
            <w:noWrap/>
            <w:hideMark/>
          </w:tcPr>
          <w:p w:rsidR="00B6319C" w:rsidRPr="00C12E5F" w:rsidRDefault="00B6319C" w:rsidP="00CD371C">
            <w:pPr>
              <w:jc w:val="right"/>
              <w:cnfStyle w:val="000000010000"/>
              <w:rPr>
                <w:color w:val="000000"/>
                <w:sz w:val="17"/>
                <w:szCs w:val="17"/>
                <w:lang w:eastAsia="et-EE"/>
              </w:rPr>
            </w:pPr>
            <w:r w:rsidRPr="00C12E5F">
              <w:rPr>
                <w:color w:val="000000"/>
                <w:sz w:val="17"/>
                <w:szCs w:val="17"/>
                <w:lang w:eastAsia="et-EE"/>
              </w:rPr>
              <w:t>1 353 251</w:t>
            </w:r>
          </w:p>
        </w:tc>
      </w:tr>
      <w:tr w:rsidR="00B6319C" w:rsidRPr="00C12E5F" w:rsidTr="00CD371C">
        <w:trPr>
          <w:cnfStyle w:val="000000100000"/>
          <w:trHeight w:val="288"/>
        </w:trPr>
        <w:tc>
          <w:tcPr>
            <w:cnfStyle w:val="001000000000"/>
            <w:tcW w:w="1590" w:type="dxa"/>
            <w:noWrap/>
            <w:hideMark/>
          </w:tcPr>
          <w:p w:rsidR="00B6319C" w:rsidRPr="00C12E5F" w:rsidRDefault="00B6319C" w:rsidP="00CD371C">
            <w:pPr>
              <w:jc w:val="left"/>
              <w:rPr>
                <w:color w:val="000000"/>
                <w:sz w:val="17"/>
                <w:szCs w:val="17"/>
                <w:lang w:eastAsia="et-EE"/>
              </w:rPr>
            </w:pPr>
            <w:r w:rsidRPr="00C12E5F">
              <w:rPr>
                <w:color w:val="000000"/>
                <w:sz w:val="17"/>
                <w:szCs w:val="17"/>
                <w:lang w:eastAsia="et-EE"/>
              </w:rPr>
              <w:t>Kokku ilma RMK-ta</w:t>
            </w:r>
          </w:p>
        </w:tc>
        <w:tc>
          <w:tcPr>
            <w:tcW w:w="883"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26 227</w:t>
            </w:r>
          </w:p>
        </w:tc>
        <w:tc>
          <w:tcPr>
            <w:tcW w:w="1373"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1 495</w:t>
            </w:r>
          </w:p>
        </w:tc>
        <w:tc>
          <w:tcPr>
            <w:tcW w:w="1649"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2 603</w:t>
            </w:r>
          </w:p>
        </w:tc>
        <w:tc>
          <w:tcPr>
            <w:tcW w:w="1560"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2 098 303</w:t>
            </w:r>
          </w:p>
        </w:tc>
        <w:tc>
          <w:tcPr>
            <w:tcW w:w="884"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29 764</w:t>
            </w:r>
          </w:p>
        </w:tc>
        <w:tc>
          <w:tcPr>
            <w:tcW w:w="1492" w:type="dxa"/>
            <w:noWrap/>
            <w:hideMark/>
          </w:tcPr>
          <w:p w:rsidR="00B6319C" w:rsidRPr="00C12E5F" w:rsidRDefault="00B6319C" w:rsidP="00CD371C">
            <w:pPr>
              <w:jc w:val="right"/>
              <w:cnfStyle w:val="000000100000"/>
              <w:rPr>
                <w:b/>
                <w:bCs/>
                <w:color w:val="000000"/>
                <w:sz w:val="17"/>
                <w:szCs w:val="17"/>
                <w:lang w:eastAsia="et-EE"/>
              </w:rPr>
            </w:pPr>
            <w:r w:rsidRPr="00C12E5F">
              <w:rPr>
                <w:b/>
                <w:bCs/>
                <w:color w:val="000000"/>
                <w:sz w:val="17"/>
                <w:szCs w:val="17"/>
                <w:lang w:eastAsia="et-EE"/>
              </w:rPr>
              <w:t>25</w:t>
            </w:r>
            <w:r w:rsidR="006105A3" w:rsidRPr="00C12E5F">
              <w:rPr>
                <w:b/>
                <w:bCs/>
                <w:color w:val="000000"/>
                <w:sz w:val="17"/>
                <w:szCs w:val="17"/>
                <w:lang w:eastAsia="et-EE"/>
              </w:rPr>
              <w:t xml:space="preserve">5 </w:t>
            </w:r>
            <w:r w:rsidR="00F412B3">
              <w:rPr>
                <w:b/>
                <w:bCs/>
                <w:color w:val="000000"/>
                <w:sz w:val="17"/>
                <w:szCs w:val="17"/>
                <w:lang w:eastAsia="et-EE"/>
              </w:rPr>
              <w:t>680</w:t>
            </w:r>
          </w:p>
        </w:tc>
      </w:tr>
    </w:tbl>
    <w:p w:rsidR="00B6319C" w:rsidRDefault="00B6319C" w:rsidP="00351253">
      <w:pPr>
        <w:pStyle w:val="ListParagraph"/>
      </w:pPr>
      <w:r>
        <w:t>44% kõigist registreeritud varadest ja 84% maa pindalast on RMK valitsemisel.</w:t>
      </w:r>
    </w:p>
    <w:p w:rsidR="00B6319C" w:rsidRDefault="00B6319C" w:rsidP="00351253">
      <w:pPr>
        <w:pStyle w:val="ListParagraph"/>
      </w:pPr>
      <w:r>
        <w:t xml:space="preserve">Riigi hoonete pindalast ca </w:t>
      </w:r>
      <w:r w:rsidR="002835CB">
        <w:t>71</w:t>
      </w:r>
      <w:r w:rsidR="00891404">
        <w:t>%</w:t>
      </w:r>
      <w:r>
        <w:t xml:space="preserve"> </w:t>
      </w:r>
      <w:r w:rsidR="00891404">
        <w:t>on omandis ning</w:t>
      </w:r>
      <w:r w:rsidR="002835CB">
        <w:t xml:space="preserve"> 29</w:t>
      </w:r>
      <w:r w:rsidR="00891404">
        <w:t>%</w:t>
      </w:r>
      <w:r>
        <w:t xml:space="preserve"> lepingu alusel kasutatav. Riigi maa pindalast kasutatakse lepingu alusel vaid </w:t>
      </w:r>
      <w:r w:rsidR="006105A3" w:rsidRPr="006105A3">
        <w:t>0,01</w:t>
      </w:r>
      <w:r w:rsidRPr="006105A3">
        <w:t>%,</w:t>
      </w:r>
      <w:r>
        <w:t xml:space="preserve"> enamus riigi maast on riigi omandis. Need proportsioonid ei ole viimastel aastatel muutunud. </w:t>
      </w:r>
    </w:p>
    <w:p w:rsidR="00B6319C" w:rsidRDefault="00B6319C" w:rsidP="00351253">
      <w:pPr>
        <w:pStyle w:val="ListParagraph"/>
      </w:pPr>
      <w:r>
        <w:t>Kahe aastaga (võrreldes 31.12.2012) on suurenenud nii omandis olevate varade arv (4079 võrra, 10%), kui lepingu alusel kasutatavate varade arv (720 võrra, 250%).</w:t>
      </w:r>
    </w:p>
    <w:p w:rsidR="00B6319C" w:rsidRDefault="00B6319C" w:rsidP="00351253">
      <w:pPr>
        <w:pStyle w:val="ListParagraph"/>
      </w:pPr>
      <w:r>
        <w:t xml:space="preserve">Muutused portfellis kajastavad pigem tööd registriandmete korrastamisel, vähem reaalset varade liikumist. </w:t>
      </w:r>
    </w:p>
    <w:p w:rsidR="00B6319C" w:rsidRPr="00013B1D" w:rsidRDefault="00B6319C" w:rsidP="009D0F77">
      <w:pPr>
        <w:pStyle w:val="Pealkiri3"/>
      </w:pPr>
      <w:bookmarkStart w:id="108" w:name="_Toc411870322"/>
      <w:bookmarkStart w:id="109" w:name="_Toc412019276"/>
      <w:bookmarkStart w:id="110" w:name="_Toc418016345"/>
      <w:bookmarkStart w:id="111" w:name="_Toc433980686"/>
      <w:r w:rsidRPr="00013B1D">
        <w:t xml:space="preserve">Riigi </w:t>
      </w:r>
      <w:r w:rsidRPr="009D0F77">
        <w:t>kinnisvaraportfellis</w:t>
      </w:r>
      <w:r w:rsidRPr="00013B1D">
        <w:t xml:space="preserve"> </w:t>
      </w:r>
      <w:r w:rsidRPr="0034698C">
        <w:t>olevad</w:t>
      </w:r>
      <w:r w:rsidRPr="00013B1D">
        <w:t xml:space="preserve"> hooned</w:t>
      </w:r>
      <w:bookmarkEnd w:id="108"/>
      <w:bookmarkEnd w:id="109"/>
      <w:bookmarkEnd w:id="110"/>
      <w:bookmarkEnd w:id="111"/>
    </w:p>
    <w:p w:rsidR="00B6319C" w:rsidRDefault="00B6319C" w:rsidP="00B6319C">
      <w:r>
        <w:t>Riigi kinnisvaraportfelli kuuluvad nii riigi omandis kui kasutusse võetud hooned. Riigi hoonete portfelli seisu kajastab järgmine joonis (</w:t>
      </w:r>
      <w:r w:rsidR="00A85FDC">
        <w:fldChar w:fldCharType="begin"/>
      </w:r>
      <w:r>
        <w:instrText xml:space="preserve"> REF _Ref417653499 \h </w:instrText>
      </w:r>
      <w:r w:rsidR="00A85FDC">
        <w:fldChar w:fldCharType="separate"/>
      </w:r>
      <w:r w:rsidR="00477322">
        <w:t xml:space="preserve">Joonis </w:t>
      </w:r>
      <w:r w:rsidR="00477322">
        <w:rPr>
          <w:noProof/>
        </w:rPr>
        <w:t>2</w:t>
      </w:r>
      <w:r w:rsidR="00A85FDC">
        <w:fldChar w:fldCharType="end"/>
      </w:r>
      <w:r>
        <w:t>). Kuna riigi kinnisvarastrateegia fookusesse ei kuulu Kaitseministeeriumi ega RMK varad, on nimetatud valitsejate portfellid joonisel eristatud.</w:t>
      </w:r>
    </w:p>
    <w:p w:rsidR="00B6319C" w:rsidRDefault="00B6319C" w:rsidP="00B6319C">
      <w:pPr>
        <w:pStyle w:val="Caption"/>
        <w:jc w:val="both"/>
      </w:pPr>
      <w:bookmarkStart w:id="112" w:name="_Ref417653499"/>
      <w:bookmarkStart w:id="113" w:name="_Ref417653495"/>
      <w:r>
        <w:t xml:space="preserve">Joonis </w:t>
      </w:r>
      <w:fldSimple w:instr=" SEQ Joonis \* ARABIC ">
        <w:r w:rsidR="00477322">
          <w:rPr>
            <w:noProof/>
          </w:rPr>
          <w:t>2</w:t>
        </w:r>
      </w:fldSimple>
      <w:bookmarkEnd w:id="112"/>
      <w:r>
        <w:t>. Riigi hoonete portfelli seis</w:t>
      </w:r>
      <w:bookmarkEnd w:id="113"/>
    </w:p>
    <w:p w:rsidR="00B6319C" w:rsidRDefault="00B6319C" w:rsidP="00FD7830">
      <w:pPr>
        <w:spacing w:before="120" w:after="120"/>
      </w:pPr>
      <w:r w:rsidRPr="00506980">
        <w:rPr>
          <w:noProof/>
          <w:lang w:eastAsia="et-EE"/>
        </w:rPr>
        <w:drawing>
          <wp:inline distT="0" distB="0" distL="0" distR="0">
            <wp:extent cx="3698185" cy="2454965"/>
            <wp:effectExtent l="19050" t="0" r="16565" b="248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19C" w:rsidRDefault="00B6319C" w:rsidP="00FD7830">
      <w:pPr>
        <w:spacing w:before="120"/>
      </w:pPr>
      <w:r w:rsidRPr="00484457">
        <w:t>Rii</w:t>
      </w:r>
      <w:r>
        <w:t>gi hoonete portfelli dünaamika on esitatud järgneval joonisel (</w:t>
      </w:r>
      <w:fldSimple w:instr=" REF _Ref410026690 \h  \* MERGEFORMAT ">
        <w:r w:rsidR="00477322">
          <w:t>Joonis 3</w:t>
        </w:r>
      </w:fldSimple>
      <w:r>
        <w:t>).</w:t>
      </w:r>
    </w:p>
    <w:p w:rsidR="00B6319C" w:rsidRDefault="00B6319C" w:rsidP="00B6319C">
      <w:pPr>
        <w:pStyle w:val="Caption"/>
        <w:jc w:val="both"/>
      </w:pPr>
      <w:bookmarkStart w:id="114" w:name="_Ref410026690"/>
      <w:r>
        <w:t xml:space="preserve">Joonis </w:t>
      </w:r>
      <w:fldSimple w:instr=" SEQ Joonis \* ARABIC ">
        <w:r w:rsidR="00477322">
          <w:rPr>
            <w:noProof/>
          </w:rPr>
          <w:t>3</w:t>
        </w:r>
      </w:fldSimple>
      <w:bookmarkEnd w:id="114"/>
      <w:r>
        <w:t>. Riigi omandis ja lepingu alusel kasutatavad hooned 2012-2014</w:t>
      </w:r>
    </w:p>
    <w:p w:rsidR="00B6319C" w:rsidRDefault="00B6319C" w:rsidP="00B6319C">
      <w:pPr>
        <w:pStyle w:val="Caption"/>
        <w:jc w:val="both"/>
      </w:pPr>
      <w:r w:rsidRPr="00F44263">
        <w:rPr>
          <w:noProof/>
          <w:u w:val="single"/>
          <w:lang w:eastAsia="et-EE"/>
        </w:rPr>
        <w:drawing>
          <wp:inline distT="0" distB="0" distL="0" distR="0">
            <wp:extent cx="5591175" cy="3981450"/>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319C" w:rsidRDefault="00B6319C" w:rsidP="00B6319C"/>
    <w:p w:rsidR="00B6319C" w:rsidRPr="00D749BC" w:rsidRDefault="00B6319C" w:rsidP="00683BB5">
      <w:pPr>
        <w:pStyle w:val="Pealkiri4"/>
      </w:pPr>
      <w:r w:rsidRPr="00E24172">
        <w:t xml:space="preserve">Riigi </w:t>
      </w:r>
      <w:r w:rsidRPr="0034698C">
        <w:t>omandis</w:t>
      </w:r>
      <w:r>
        <w:t xml:space="preserve"> olevad</w:t>
      </w:r>
      <w:r w:rsidRPr="00E24172">
        <w:t xml:space="preserve"> hooned</w:t>
      </w:r>
    </w:p>
    <w:p w:rsidR="00B6319C" w:rsidRDefault="00B6319C" w:rsidP="00351253">
      <w:pPr>
        <w:pStyle w:val="ListParagraph"/>
      </w:pPr>
      <w:r w:rsidRPr="00E24172">
        <w:t>Riigi omandis</w:t>
      </w:r>
      <w:r>
        <w:t xml:space="preserve"> on 31.12.2014 seisuga 2453 hoonet või hooneosa pindalaga 1 543 322 m</w:t>
      </w:r>
      <w:r w:rsidRPr="00D749BC">
        <w:rPr>
          <w:rFonts w:ascii="Times New Roman" w:hAnsi="Times New Roman"/>
        </w:rPr>
        <w:t>²</w:t>
      </w:r>
      <w:r>
        <w:t>. Omandis olevatest hoonetest 25 (25 140 m</w:t>
      </w:r>
      <w:r w:rsidRPr="00D749BC">
        <w:rPr>
          <w:rFonts w:ascii="Times New Roman" w:hAnsi="Times New Roman"/>
        </w:rPr>
        <w:t>²</w:t>
      </w:r>
      <w:r>
        <w:t>) asuvad välismaal ja 2428 (1 518 182 m</w:t>
      </w:r>
      <w:r w:rsidRPr="00D749BC">
        <w:rPr>
          <w:rFonts w:ascii="Times New Roman" w:hAnsi="Times New Roman"/>
        </w:rPr>
        <w:t>²</w:t>
      </w:r>
      <w:r>
        <w:t xml:space="preserve">) Eestis. </w:t>
      </w:r>
    </w:p>
    <w:p w:rsidR="00B6319C" w:rsidRDefault="00B6319C" w:rsidP="00351253">
      <w:pPr>
        <w:pStyle w:val="ListParagraph"/>
      </w:pPr>
      <w:r>
        <w:t>Eestis asuvatest hoonetest 1765 (1 267 783 m</w:t>
      </w:r>
      <w:r w:rsidRPr="008A0DBD">
        <w:rPr>
          <w:rFonts w:ascii="Times New Roman" w:hAnsi="Times New Roman"/>
        </w:rPr>
        <w:t>²</w:t>
      </w:r>
      <w:r>
        <w:t xml:space="preserve">) on kantud ehitisregistrisse, mis on 73% </w:t>
      </w:r>
      <w:r w:rsidR="0042276B">
        <w:t xml:space="preserve">Eestis asuvate </w:t>
      </w:r>
      <w:r>
        <w:t>hoone</w:t>
      </w:r>
      <w:r w:rsidR="0042276B">
        <w:t>te arvust ja 84</w:t>
      </w:r>
      <w:r>
        <w:t>% pindalast. Seega vajab ehitisregistrisse kandm</w:t>
      </w:r>
      <w:r w:rsidR="002C578E">
        <w:t>ist veel 27% riigi hoonetest (663</w:t>
      </w:r>
      <w:r>
        <w:t xml:space="preserve"> tk, </w:t>
      </w:r>
      <w:r w:rsidR="002C578E">
        <w:t>250 399</w:t>
      </w:r>
      <w:r>
        <w:t xml:space="preserve"> m</w:t>
      </w:r>
      <w:r w:rsidRPr="008A0DBD">
        <w:rPr>
          <w:rFonts w:ascii="Times New Roman" w:hAnsi="Times New Roman"/>
        </w:rPr>
        <w:t>²</w:t>
      </w:r>
      <w:r>
        <w:t>). Tulemus on oluliselt parem võrreldes eelmises koon</w:t>
      </w:r>
      <w:r w:rsidR="00B3041A">
        <w:t>d</w:t>
      </w:r>
      <w:r>
        <w:t xml:space="preserve">aruandes esitatuga, mil teadaolevalt vajas EHR-is registreerimist </w:t>
      </w:r>
      <w:r w:rsidRPr="00E24172">
        <w:t xml:space="preserve">42 </w:t>
      </w:r>
      <w:r w:rsidRPr="00EE768D">
        <w:t>%</w:t>
      </w:r>
      <w:r>
        <w:t xml:space="preserve"> hoonete arvust ja 34% pindalast. See on 2014. aastal </w:t>
      </w:r>
      <w:r w:rsidR="00B3041A">
        <w:t>läbi viidud</w:t>
      </w:r>
      <w:r>
        <w:t xml:space="preserve"> andmekorje üks tulemustest. Hoonete registreeritus EHR-is valitsejate kaupa on esitatud lisas</w:t>
      </w:r>
      <w:r w:rsidR="00FC326E">
        <w:t xml:space="preserve"> </w:t>
      </w:r>
      <w:r>
        <w:t>olevas tabelis (</w:t>
      </w:r>
      <w:r w:rsidR="00ED24B2">
        <w:t>Lisa 2,</w:t>
      </w:r>
      <w:r w:rsidR="00A85FDC">
        <w:fldChar w:fldCharType="begin"/>
      </w:r>
      <w:r w:rsidR="00ED24B2">
        <w:instrText xml:space="preserve"> REF _Ref427304319 \h </w:instrText>
      </w:r>
      <w:r w:rsidR="00A85FDC">
        <w:fldChar w:fldCharType="separate"/>
      </w:r>
      <w:r w:rsidR="00477322">
        <w:t>Lisa 2</w:t>
      </w:r>
      <w:r w:rsidR="00477322" w:rsidRPr="00864A81">
        <w:t xml:space="preserve">. </w:t>
      </w:r>
      <w:r w:rsidR="00477322">
        <w:t xml:space="preserve">Riigi </w:t>
      </w:r>
      <w:r w:rsidR="00477322" w:rsidRPr="004F5682">
        <w:t>kinnisvara</w:t>
      </w:r>
      <w:r w:rsidR="00477322">
        <w:t xml:space="preserve"> portfell</w:t>
      </w:r>
      <w:r w:rsidR="00A85FDC">
        <w:fldChar w:fldCharType="end"/>
      </w:r>
      <w:r w:rsidR="00ED24B2">
        <w:t xml:space="preserve"> </w:t>
      </w:r>
      <w:r w:rsidR="00A85FDC">
        <w:fldChar w:fldCharType="begin"/>
      </w:r>
      <w:r w:rsidR="00B3041A">
        <w:instrText xml:space="preserve"> REF _Ref411869832 \h </w:instrText>
      </w:r>
      <w:r w:rsidR="00A85FDC">
        <w:fldChar w:fldCharType="separate"/>
      </w:r>
      <w:r w:rsidR="00477322">
        <w:t xml:space="preserve">Tabel </w:t>
      </w:r>
      <w:r w:rsidR="00477322">
        <w:rPr>
          <w:noProof/>
        </w:rPr>
        <w:t>2</w:t>
      </w:r>
      <w:r w:rsidR="00A85FDC">
        <w:fldChar w:fldCharType="end"/>
      </w:r>
      <w:r w:rsidRPr="00B3041A">
        <w:t>)</w:t>
      </w:r>
      <w:r w:rsidR="00B3041A">
        <w:t xml:space="preserve">. Riigi hoonete registreerimisest ehitisregistris on juttu ka peatükis </w:t>
      </w:r>
      <w:r w:rsidR="00A85FDC">
        <w:fldChar w:fldCharType="begin"/>
      </w:r>
      <w:r w:rsidR="00B3041A">
        <w:instrText xml:space="preserve"> REF _Ref423622166 \r \h </w:instrText>
      </w:r>
      <w:r w:rsidR="00A85FDC">
        <w:fldChar w:fldCharType="separate"/>
      </w:r>
      <w:r w:rsidR="00477322">
        <w:t>2.1.7</w:t>
      </w:r>
      <w:r w:rsidR="00A85FDC">
        <w:fldChar w:fldCharType="end"/>
      </w:r>
      <w:r w:rsidR="00B3041A">
        <w:t>.</w:t>
      </w:r>
    </w:p>
    <w:p w:rsidR="00B6319C" w:rsidRDefault="00B6319C" w:rsidP="00351253">
      <w:pPr>
        <w:pStyle w:val="ListParagraph"/>
      </w:pPr>
      <w:r>
        <w:t>Eestis asuvatest hoonetest 1443 on sisekliima tagamisega</w:t>
      </w:r>
      <w:r>
        <w:rPr>
          <w:rStyle w:val="FootnoteReference"/>
        </w:rPr>
        <w:footnoteReference w:id="4"/>
      </w:r>
      <w:r>
        <w:t>. Energiamärgis on väljastatud neist 246 hoonele. Ülevaate sisekliima tagamisega hoonetest ja energiamärgiste väljastamisest ministeeriumite kaupa annab lisas olev tabel (</w:t>
      </w:r>
      <w:r w:rsidR="00ED24B2">
        <w:t xml:space="preserve">Lisa 2, </w:t>
      </w:r>
      <w:r w:rsidR="00A85FDC">
        <w:fldChar w:fldCharType="begin"/>
      </w:r>
      <w:r>
        <w:instrText xml:space="preserve"> REF _Ref411869832 \h </w:instrText>
      </w:r>
      <w:r w:rsidR="00A85FDC">
        <w:fldChar w:fldCharType="separate"/>
      </w:r>
      <w:r w:rsidR="00477322">
        <w:t xml:space="preserve">Tabel </w:t>
      </w:r>
      <w:r w:rsidR="00477322">
        <w:rPr>
          <w:noProof/>
        </w:rPr>
        <w:t>2</w:t>
      </w:r>
      <w:r w:rsidR="00A85FDC">
        <w:fldChar w:fldCharType="end"/>
      </w:r>
      <w:r>
        <w:t>).</w:t>
      </w:r>
      <w:r w:rsidR="002F1DEB">
        <w:t xml:space="preserve"> Riigi hoonete energiatõhususele on pühendatud peatükk </w:t>
      </w:r>
      <w:r w:rsidR="00A85FDC">
        <w:fldChar w:fldCharType="begin"/>
      </w:r>
      <w:r w:rsidR="002F1DEB">
        <w:instrText xml:space="preserve"> REF _Ref423622312 \r \h </w:instrText>
      </w:r>
      <w:r w:rsidR="00A85FDC">
        <w:fldChar w:fldCharType="separate"/>
      </w:r>
      <w:r w:rsidR="00477322">
        <w:t>2.2</w:t>
      </w:r>
      <w:r w:rsidR="00A85FDC">
        <w:fldChar w:fldCharType="end"/>
      </w:r>
      <w:r w:rsidR="002F1DEB">
        <w:t>.</w:t>
      </w:r>
    </w:p>
    <w:p w:rsidR="00B6319C" w:rsidRPr="002E1E7F" w:rsidRDefault="00B6319C" w:rsidP="00351253">
      <w:pPr>
        <w:pStyle w:val="ListParagraph"/>
      </w:pPr>
      <w:r>
        <w:t>Omandis olevate hoonete arv on aruandlusperioodil vähenenud 726 võrra (23%), hoonete pindala on vähenenud 117 042 m</w:t>
      </w:r>
      <w:r w:rsidRPr="00C84947">
        <w:rPr>
          <w:vertAlign w:val="superscript"/>
        </w:rPr>
        <w:t>2</w:t>
      </w:r>
      <w:r>
        <w:t xml:space="preserve"> võrra (7%). Tegeli</w:t>
      </w:r>
      <w:r w:rsidRPr="00025348">
        <w:t>k hoonete arvu ja pindala vähenemine on olnud suurem, kuid tegelikku muutust ei ole varasema</w:t>
      </w:r>
      <w:r>
        <w:t>te</w:t>
      </w:r>
      <w:r w:rsidRPr="00025348">
        <w:t xml:space="preserve"> ebatäpsete RKVR-i andmete põhjal võimalik korrektselt esitada</w:t>
      </w:r>
      <w:r w:rsidRPr="00025348">
        <w:rPr>
          <w:sz w:val="16"/>
          <w:szCs w:val="16"/>
        </w:rPr>
        <w:t>.</w:t>
      </w:r>
      <w:r w:rsidR="00F96800">
        <w:rPr>
          <w:sz w:val="16"/>
          <w:szCs w:val="16"/>
        </w:rPr>
        <w:t xml:space="preserve"> </w:t>
      </w:r>
    </w:p>
    <w:p w:rsidR="00B6319C" w:rsidRDefault="00B6319C" w:rsidP="00351253">
      <w:pPr>
        <w:pStyle w:val="ListParagraph"/>
      </w:pPr>
      <w:r w:rsidRPr="00E24172">
        <w:t xml:space="preserve">Riigi omandis </w:t>
      </w:r>
      <w:r w:rsidRPr="00351253">
        <w:t>olevate</w:t>
      </w:r>
      <w:r w:rsidRPr="00E24172">
        <w:t xml:space="preserve"> hoonete pinnast </w:t>
      </w:r>
      <w:r>
        <w:t>92%</w:t>
      </w:r>
      <w:r w:rsidRPr="00E24172">
        <w:t xml:space="preserve"> </w:t>
      </w:r>
      <w:r>
        <w:t xml:space="preserve">on omakasutuses, </w:t>
      </w:r>
      <w:r w:rsidRPr="00E24172">
        <w:t>kolmandatele isikutele on kasutusse antud 6% ja teistele riigiasutustele 2% pinnast.</w:t>
      </w:r>
      <w:r>
        <w:t xml:space="preserve"> Kasutusse andmist kajastab detailsemalt peatükk </w:t>
      </w:r>
      <w:r w:rsidR="00A85FDC">
        <w:fldChar w:fldCharType="begin"/>
      </w:r>
      <w:r w:rsidR="002F1DEB">
        <w:instrText xml:space="preserve"> REF _Ref423622406 \r \h </w:instrText>
      </w:r>
      <w:r w:rsidR="00A85FDC">
        <w:fldChar w:fldCharType="separate"/>
      </w:r>
      <w:r w:rsidR="00477322">
        <w:t>1.4</w:t>
      </w:r>
      <w:r w:rsidR="00A85FDC">
        <w:fldChar w:fldCharType="end"/>
      </w:r>
      <w:r w:rsidRPr="00225564">
        <w:t>.</w:t>
      </w:r>
    </w:p>
    <w:p w:rsidR="00B6319C" w:rsidRPr="003F1B7D" w:rsidRDefault="00B6319C" w:rsidP="00351253">
      <w:pPr>
        <w:pStyle w:val="ListParagraph"/>
      </w:pPr>
      <w:r>
        <w:t>Omandis olevate hoonete jagunemisest valitsejate kaupa annab ülevaate lisas</w:t>
      </w:r>
      <w:r w:rsidR="00ED24B2">
        <w:t xml:space="preserve"> 2</w:t>
      </w:r>
      <w:r>
        <w:t xml:space="preserve"> olev tabel (</w:t>
      </w:r>
      <w:r w:rsidR="00A85FDC">
        <w:rPr>
          <w:highlight w:val="yellow"/>
        </w:rPr>
        <w:fldChar w:fldCharType="begin"/>
      </w:r>
      <w:r w:rsidR="00ED24B2">
        <w:rPr>
          <w:highlight w:val="yellow"/>
        </w:rPr>
        <w:instrText xml:space="preserve"> REF _Ref427304852 \h </w:instrText>
      </w:r>
      <w:r w:rsidR="00A85FDC">
        <w:rPr>
          <w:highlight w:val="yellow"/>
        </w:rPr>
      </w:r>
      <w:r w:rsidR="00A85FDC">
        <w:rPr>
          <w:highlight w:val="yellow"/>
        </w:rPr>
        <w:fldChar w:fldCharType="separate"/>
      </w:r>
      <w:r w:rsidR="00477322">
        <w:t xml:space="preserve">Tabel </w:t>
      </w:r>
      <w:r w:rsidR="00477322">
        <w:rPr>
          <w:noProof/>
        </w:rPr>
        <w:t>1</w:t>
      </w:r>
      <w:r w:rsidR="00A85FDC">
        <w:rPr>
          <w:highlight w:val="yellow"/>
        </w:rPr>
        <w:fldChar w:fldCharType="end"/>
      </w:r>
      <w:r>
        <w:t>).</w:t>
      </w:r>
    </w:p>
    <w:p w:rsidR="00B6319C" w:rsidRPr="00D749BC" w:rsidRDefault="00B6319C" w:rsidP="00683BB5">
      <w:pPr>
        <w:pStyle w:val="Pealkiri4"/>
      </w:pPr>
      <w:r w:rsidRPr="00D749BC">
        <w:t>Lepingu alusel kasutatavad hooned</w:t>
      </w:r>
    </w:p>
    <w:p w:rsidR="00B6319C" w:rsidRPr="000E6128" w:rsidRDefault="00B6319C" w:rsidP="00351253">
      <w:pPr>
        <w:pStyle w:val="ListParagraph"/>
        <w:rPr>
          <w:rFonts w:ascii="Times New Roman" w:hAnsi="Times New Roman"/>
        </w:rPr>
      </w:pPr>
      <w:r w:rsidRPr="00E24172">
        <w:t xml:space="preserve">Riik </w:t>
      </w:r>
      <w:r w:rsidR="00FC326E">
        <w:rPr>
          <w:bCs/>
        </w:rPr>
        <w:t>kasuta</w:t>
      </w:r>
      <w:r w:rsidRPr="00E24172">
        <w:rPr>
          <w:bCs/>
        </w:rPr>
        <w:t xml:space="preserve">b lepingu alusel </w:t>
      </w:r>
      <w:r>
        <w:rPr>
          <w:bCs/>
        </w:rPr>
        <w:t>702 hoonet või hooneosa</w:t>
      </w:r>
      <w:r w:rsidRPr="00E24172">
        <w:t xml:space="preserve"> kokku 642 965 m²</w:t>
      </w:r>
      <w:r w:rsidR="00FC326E">
        <w:t xml:space="preserve"> </w:t>
      </w:r>
      <w:r>
        <w:t>(arvestamata riigisiseseid kokkuleppeid)</w:t>
      </w:r>
      <w:r w:rsidRPr="00E24172">
        <w:t>, sh</w:t>
      </w:r>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717"/>
        <w:gridCol w:w="5354"/>
      </w:tblGrid>
      <w:tr w:rsidR="00B6319C" w:rsidTr="00CD371C">
        <w:tc>
          <w:tcPr>
            <w:tcW w:w="3717" w:type="dxa"/>
          </w:tcPr>
          <w:p w:rsidR="00B6319C" w:rsidRPr="00712A9B" w:rsidRDefault="00B6319C" w:rsidP="00C803F7">
            <w:pPr>
              <w:pStyle w:val="Loend1"/>
              <w:rPr>
                <w:rFonts w:ascii="Times New Roman" w:hAnsi="Times New Roman"/>
                <w:lang w:val="et-EE"/>
              </w:rPr>
            </w:pPr>
            <w:r w:rsidRPr="00712A9B">
              <w:rPr>
                <w:lang w:val="et-EE"/>
              </w:rPr>
              <w:t xml:space="preserve">RKAS-ilt on kasutusse võetud 475 hoonet pinnaga 530 121 m² </w:t>
            </w:r>
          </w:p>
          <w:p w:rsidR="00B6319C" w:rsidRPr="00607E04" w:rsidRDefault="00B6319C" w:rsidP="00C803F7">
            <w:pPr>
              <w:pStyle w:val="Loend1"/>
              <w:rPr>
                <w:rFonts w:ascii="Times New Roman" w:hAnsi="Times New Roman"/>
                <w:lang w:val="et-EE"/>
              </w:rPr>
            </w:pPr>
            <w:r w:rsidRPr="00712A9B">
              <w:rPr>
                <w:lang w:val="et-EE"/>
              </w:rPr>
              <w:t>Teistelt isikutelt üürib riik 227 hoones pinda kokku 112 843 m², sh</w:t>
            </w:r>
            <w:r w:rsidR="00607E04">
              <w:rPr>
                <w:lang w:val="et-EE"/>
              </w:rPr>
              <w:t xml:space="preserve"> </w:t>
            </w:r>
            <w:r w:rsidRPr="00712A9B">
              <w:rPr>
                <w:lang w:val="et-EE"/>
              </w:rPr>
              <w:t>KOV-idelt 138 hoones 11 002 m</w:t>
            </w:r>
            <w:r w:rsidRPr="00607E04">
              <w:rPr>
                <w:rFonts w:ascii="Times New Roman" w:hAnsi="Times New Roman"/>
                <w:lang w:val="et-EE"/>
              </w:rPr>
              <w:t>² (</w:t>
            </w:r>
            <w:r w:rsidRPr="00712A9B">
              <w:rPr>
                <w:lang w:val="et-EE"/>
              </w:rPr>
              <w:t xml:space="preserve">peamiselt Politsei- ja Piirivalveameti ning Päästeameti poolt) (vt. </w:t>
            </w:r>
            <w:fldSimple w:instr=" REF _Ref417657969 \h  \* MERGEFORMAT ">
              <w:r w:rsidR="00477322" w:rsidRPr="00607E04">
                <w:rPr>
                  <w:lang w:val="et-EE"/>
                </w:rPr>
                <w:t xml:space="preserve">Joonis </w:t>
              </w:r>
              <w:r w:rsidR="00477322">
                <w:rPr>
                  <w:lang w:val="et-EE"/>
                </w:rPr>
                <w:t>4</w:t>
              </w:r>
            </w:fldSimple>
            <w:r w:rsidRPr="00712A9B">
              <w:rPr>
                <w:lang w:val="et-EE"/>
              </w:rPr>
              <w:t>).</w:t>
            </w:r>
          </w:p>
          <w:p w:rsidR="00B6319C" w:rsidRDefault="00B6319C" w:rsidP="00CD371C">
            <w:pPr>
              <w:rPr>
                <w:rFonts w:ascii="Times New Roman" w:hAnsi="Times New Roman"/>
              </w:rPr>
            </w:pPr>
          </w:p>
        </w:tc>
        <w:tc>
          <w:tcPr>
            <w:tcW w:w="5354" w:type="dxa"/>
          </w:tcPr>
          <w:p w:rsidR="00B6319C" w:rsidRPr="00607E04" w:rsidRDefault="00B6319C" w:rsidP="00227C08">
            <w:pPr>
              <w:pStyle w:val="Caption"/>
              <w:spacing w:before="0"/>
              <w:jc w:val="both"/>
              <w:rPr>
                <w:lang w:val="et-EE"/>
              </w:rPr>
            </w:pPr>
            <w:bookmarkStart w:id="115" w:name="_Ref417657969"/>
            <w:r w:rsidRPr="00607E04">
              <w:rPr>
                <w:lang w:val="et-EE"/>
              </w:rPr>
              <w:t xml:space="preserve">Joonis </w:t>
            </w:r>
            <w:r w:rsidR="00A85FDC">
              <w:fldChar w:fldCharType="begin"/>
            </w:r>
            <w:r w:rsidR="00635636">
              <w:rPr>
                <w:lang w:val="et-EE"/>
              </w:rPr>
              <w:instrText xml:space="preserve"> SEQ Joonis \* ARABIC </w:instrText>
            </w:r>
            <w:r w:rsidR="00A85FDC">
              <w:fldChar w:fldCharType="separate"/>
            </w:r>
            <w:r w:rsidR="00477322">
              <w:rPr>
                <w:noProof/>
                <w:lang w:val="et-EE"/>
              </w:rPr>
              <w:t>4</w:t>
            </w:r>
            <w:r w:rsidR="00A85FDC">
              <w:fldChar w:fldCharType="end"/>
            </w:r>
            <w:bookmarkEnd w:id="115"/>
            <w:r w:rsidRPr="00607E04">
              <w:rPr>
                <w:lang w:val="et-EE"/>
              </w:rPr>
              <w:t>. Riigile hoonestatud vara kasutamiseks andjad pinna järgi</w:t>
            </w:r>
          </w:p>
          <w:p w:rsidR="00B6319C" w:rsidRPr="000E6128" w:rsidRDefault="00FC326E" w:rsidP="00712A9B">
            <w:pPr>
              <w:pStyle w:val="ListParagraph"/>
              <w:numPr>
                <w:ilvl w:val="0"/>
                <w:numId w:val="0"/>
              </w:numPr>
              <w:ind w:left="641"/>
            </w:pPr>
            <w:r w:rsidRPr="00163468">
              <w:rPr>
                <w:noProof/>
              </w:rPr>
              <w:drawing>
                <wp:inline distT="0" distB="0" distL="0" distR="0">
                  <wp:extent cx="2781874" cy="1858297"/>
                  <wp:effectExtent l="19050" t="0" r="18476" b="8603"/>
                  <wp:docPr id="3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B6319C" w:rsidRDefault="00B6319C" w:rsidP="00351253">
      <w:pPr>
        <w:pStyle w:val="ListParagraph"/>
      </w:pPr>
      <w:r>
        <w:t>Lisaks eelnimetatule on 138 hoones 26 252 m² pinda kasutusse võetud riigisiseste kokkulepete alusel teistelt riigiasutustelt. Riigisiseselt kasutusse võetud pind sisaldub ka omandis olevas pinnas.</w:t>
      </w:r>
    </w:p>
    <w:p w:rsidR="00B6319C" w:rsidRDefault="00B6319C" w:rsidP="00351253">
      <w:pPr>
        <w:pStyle w:val="ListParagraph"/>
      </w:pPr>
      <w:r>
        <w:t>Lepingu alusel kasutatavate hoonete arv on aruandeperioodil RKVR</w:t>
      </w:r>
      <w:r w:rsidR="00746C6C">
        <w:t>-i</w:t>
      </w:r>
      <w:r>
        <w:t xml:space="preserve"> andmetel suurenenud 1,7 korda, 438 hoone võrra ja üüripind 2,4 korda, 453 199 m</w:t>
      </w:r>
      <w:r w:rsidRPr="00886F37">
        <w:t xml:space="preserve">² </w:t>
      </w:r>
      <w:r>
        <w:t>võrra. Vastav dünaamika on kajastatud joonisel (</w:t>
      </w:r>
      <w:r w:rsidR="00A85FDC">
        <w:fldChar w:fldCharType="begin"/>
      </w:r>
      <w:r>
        <w:instrText xml:space="preserve"> REF _Ref410026690 \h </w:instrText>
      </w:r>
      <w:r w:rsidR="00A85FDC">
        <w:fldChar w:fldCharType="separate"/>
      </w:r>
      <w:r w:rsidR="00477322">
        <w:t xml:space="preserve">Joonis </w:t>
      </w:r>
      <w:r w:rsidR="00477322">
        <w:rPr>
          <w:noProof/>
        </w:rPr>
        <w:t>3</w:t>
      </w:r>
      <w:r w:rsidR="00A85FDC">
        <w:fldChar w:fldCharType="end"/>
      </w:r>
      <w:r>
        <w:t xml:space="preserve">). Valdav osa kasvust on seotud hoonestatud varade RKAS-ile üle andmise ja tagasirendiga. Kasvu üheks oluliseks põhjuseks on ka registriandmete korrastamine, mille tulemusena on registrisse kantud juba varasematel perioodidel sõlmitud lepingud ja korrastatud pinnaandmed. </w:t>
      </w:r>
    </w:p>
    <w:p w:rsidR="005B0860" w:rsidRPr="00574518" w:rsidRDefault="00FE7591" w:rsidP="00351253">
      <w:pPr>
        <w:pStyle w:val="ListParagraph"/>
      </w:pPr>
      <w:r>
        <w:t>Kasutustasu koondinfo RKVR-</w:t>
      </w:r>
      <w:r w:rsidR="0083753C">
        <w:t>i</w:t>
      </w:r>
      <w:r>
        <w:t xml:space="preserve">s ei ole usaldusväärne, kuna andmete kvaliteet on ebaühtlane. </w:t>
      </w:r>
      <w:r w:rsidR="00B6319C">
        <w:t xml:space="preserve">Riik maksab </w:t>
      </w:r>
      <w:r w:rsidR="00705454" w:rsidRPr="00C803F7">
        <w:t>RKVR</w:t>
      </w:r>
      <w:r w:rsidR="0083753C">
        <w:t>-i</w:t>
      </w:r>
      <w:r w:rsidR="00C803F7" w:rsidRPr="00C803F7">
        <w:t xml:space="preserve"> andmete</w:t>
      </w:r>
      <w:r w:rsidR="005B0860" w:rsidRPr="00C803F7">
        <w:t>l</w:t>
      </w:r>
      <w:r w:rsidR="005B0860">
        <w:t xml:space="preserve"> </w:t>
      </w:r>
      <w:r w:rsidR="00B6319C">
        <w:t xml:space="preserve">kasutustasu </w:t>
      </w:r>
      <w:r w:rsidR="00B6319C" w:rsidRPr="00705454">
        <w:rPr>
          <w:b/>
        </w:rPr>
        <w:t>47 mln eurot aastas</w:t>
      </w:r>
      <w:r w:rsidR="00705454">
        <w:rPr>
          <w:b/>
        </w:rPr>
        <w:t xml:space="preserve"> </w:t>
      </w:r>
      <w:r w:rsidR="00705454">
        <w:t>(ilma käibemaksu</w:t>
      </w:r>
      <w:r>
        <w:t xml:space="preserve"> ja kõikide teenusteta</w:t>
      </w:r>
      <w:r w:rsidR="00705454">
        <w:t>)</w:t>
      </w:r>
      <w:r w:rsidR="00B6319C" w:rsidRPr="008D2AE2">
        <w:t xml:space="preserve">, </w:t>
      </w:r>
      <w:r w:rsidR="00B6319C">
        <w:t>sh RKAS-ilt üüritud pindade eest 37,8 miljonit eurot aastas</w:t>
      </w:r>
      <w:r w:rsidR="00B6319C" w:rsidRPr="003074D1">
        <w:t xml:space="preserve"> (Vt Lisa</w:t>
      </w:r>
      <w:r w:rsidR="00ED24B2">
        <w:t xml:space="preserve"> 2,</w:t>
      </w:r>
      <w:r w:rsidR="00B6319C" w:rsidRPr="003074D1">
        <w:t xml:space="preserve"> </w:t>
      </w:r>
      <w:fldSimple w:instr=" REF _Ref417896465 \h  \* MERGEFORMAT ">
        <w:r w:rsidR="00477322">
          <w:t>Tabel 10</w:t>
        </w:r>
      </w:fldSimple>
      <w:r w:rsidR="00B6319C" w:rsidRPr="003074D1">
        <w:t>)</w:t>
      </w:r>
      <w:r w:rsidR="0083753C">
        <w:t>.</w:t>
      </w:r>
      <w:r w:rsidR="00B6319C" w:rsidRPr="007D62DD">
        <w:t xml:space="preserve"> </w:t>
      </w:r>
      <w:r w:rsidR="00B6319C">
        <w:t>K</w:t>
      </w:r>
      <w:r w:rsidR="00B6319C" w:rsidRPr="008D2AE2">
        <w:t xml:space="preserve">eskmine kasutustasu kõigi hoonestatud vara lepingute peale kokku on </w:t>
      </w:r>
      <w:r w:rsidR="00B6319C">
        <w:t>6,10</w:t>
      </w:r>
      <w:r w:rsidR="00B6319C" w:rsidRPr="008D2AE2">
        <w:t xml:space="preserve"> €/m²</w:t>
      </w:r>
      <w:r w:rsidR="00B6319C">
        <w:t xml:space="preserve">/kuus, RKAS-iga sõlmitud lepingute keskmine kasutustasu on 5,94 </w:t>
      </w:r>
      <w:r w:rsidR="00B6319C" w:rsidRPr="008D2AE2">
        <w:t>€/m²</w:t>
      </w:r>
      <w:r w:rsidR="00B6319C">
        <w:t xml:space="preserve"> ja teiste isikutega sõlmitud lepingutel 6,85 </w:t>
      </w:r>
      <w:r w:rsidR="00B6319C" w:rsidRPr="008D2AE2">
        <w:t>€/m²</w:t>
      </w:r>
      <w:r w:rsidR="00B6319C">
        <w:t xml:space="preserve">. </w:t>
      </w:r>
      <w:r w:rsidR="00B6319C" w:rsidRPr="00574518">
        <w:t xml:space="preserve">Kasutustasu suurust mõjutab asjaolu, et kasutustasus võivad sisalduda erinevad teenused, sh tarbimisteenused. </w:t>
      </w:r>
      <w:r w:rsidR="005B0860">
        <w:t xml:space="preserve">Võrdluseks: riigi saldoandmike infosüsteemi alusel maksis riik üüri ja majandamiskulusid (koos kõrvalteenuste ja käibemaksuga) </w:t>
      </w:r>
      <w:r w:rsidR="00705454">
        <w:t xml:space="preserve">2014. aastal </w:t>
      </w:r>
      <w:r w:rsidR="00705454" w:rsidRPr="00705454">
        <w:rPr>
          <w:b/>
        </w:rPr>
        <w:t>83,3</w:t>
      </w:r>
      <w:r w:rsidR="005B0860" w:rsidRPr="00705454">
        <w:rPr>
          <w:b/>
        </w:rPr>
        <w:t xml:space="preserve"> mln eurot</w:t>
      </w:r>
      <w:r w:rsidR="005B0860">
        <w:t>, millest RKAS-</w:t>
      </w:r>
      <w:r w:rsidR="0083753C">
        <w:t>i</w:t>
      </w:r>
      <w:r w:rsidR="005B0860">
        <w:t>le 66,8 mln eurot</w:t>
      </w:r>
      <w:r w:rsidR="00224BA2">
        <w:t xml:space="preserve"> (</w:t>
      </w:r>
      <w:r w:rsidR="0083753C">
        <w:t>ilma</w:t>
      </w:r>
      <w:r w:rsidR="00224BA2">
        <w:t xml:space="preserve"> kapitalirendilepingute kapitalikomponendi põhiosa makse</w:t>
      </w:r>
      <w:r w:rsidR="00A24C2A">
        <w:t>teta</w:t>
      </w:r>
      <w:r w:rsidR="00224BA2">
        <w:t>)</w:t>
      </w:r>
      <w:r w:rsidR="005B0860">
        <w:t xml:space="preserve"> ja teistele partneritele 16,5 mln </w:t>
      </w:r>
      <w:r w:rsidR="00705454">
        <w:t xml:space="preserve">eurot. </w:t>
      </w:r>
    </w:p>
    <w:p w:rsidR="00B6319C" w:rsidRDefault="00B6319C" w:rsidP="0034698C">
      <w:pPr>
        <w:pStyle w:val="Pealkiri3"/>
      </w:pPr>
      <w:bookmarkStart w:id="116" w:name="_Toc418016346"/>
      <w:bookmarkStart w:id="117" w:name="_Toc433980687"/>
      <w:r w:rsidRPr="005675A1">
        <w:t xml:space="preserve">Riigi </w:t>
      </w:r>
      <w:r w:rsidRPr="0034698C">
        <w:t>kinnisvaraportfellis</w:t>
      </w:r>
      <w:r w:rsidRPr="005675A1">
        <w:t xml:space="preserve"> olev maa</w:t>
      </w:r>
      <w:bookmarkEnd w:id="116"/>
      <w:bookmarkEnd w:id="117"/>
    </w:p>
    <w:p w:rsidR="00B6319C" w:rsidRPr="001E7BEB" w:rsidRDefault="00B6319C" w:rsidP="00B6319C">
      <w:r>
        <w:t>Riigi portfellis olev maa on valdavas enamuses riigi omandis. Kasutusse on võetud alla 1% portfelli mahust.</w:t>
      </w:r>
    </w:p>
    <w:p w:rsidR="00B6319C" w:rsidRPr="00FC420E" w:rsidRDefault="00B6319C" w:rsidP="00683BB5">
      <w:pPr>
        <w:pStyle w:val="Pealkiri4"/>
      </w:pPr>
      <w:r w:rsidRPr="00E24172">
        <w:t xml:space="preserve">Riigi </w:t>
      </w:r>
      <w:r w:rsidRPr="00EE0C91">
        <w:t>omandis</w:t>
      </w:r>
      <w:r w:rsidRPr="00E24172">
        <w:t xml:space="preserve"> </w:t>
      </w:r>
      <w:r>
        <w:t xml:space="preserve">olev </w:t>
      </w:r>
      <w:r w:rsidRPr="00E24172">
        <w:t>maa</w:t>
      </w:r>
    </w:p>
    <w:p w:rsidR="00B6319C" w:rsidRDefault="00B6319C" w:rsidP="00351253">
      <w:pPr>
        <w:pStyle w:val="ListParagraph"/>
      </w:pPr>
      <w:r w:rsidRPr="00E24172">
        <w:t>Riigi omandis</w:t>
      </w:r>
      <w:r>
        <w:t xml:space="preserve"> on </w:t>
      </w:r>
      <w:r w:rsidRPr="00C31778">
        <w:t>47 228</w:t>
      </w:r>
      <w:r>
        <w:t xml:space="preserve"> katastriüksust kogupindalaga </w:t>
      </w:r>
      <w:r w:rsidRPr="00E24172">
        <w:t>1 608 842</w:t>
      </w:r>
      <w:r>
        <w:t xml:space="preserve"> ha. Riigi omandis oleva maa pindala moodustab ca 35% Eesti pindalast (37% katastris registreerimisele kuuluvast pindalast). </w:t>
      </w:r>
    </w:p>
    <w:p w:rsidR="00B6319C" w:rsidRPr="00EB56E7" w:rsidRDefault="00B6319C" w:rsidP="00351253">
      <w:pPr>
        <w:pStyle w:val="ListParagraph"/>
        <w:rPr>
          <w:rFonts w:eastAsiaTheme="majorEastAsia"/>
        </w:rPr>
      </w:pPr>
      <w:r w:rsidRPr="00EB56E7">
        <w:rPr>
          <w:rFonts w:eastAsiaTheme="majorEastAsia"/>
        </w:rPr>
        <w:t>Riigi maaportfell on aastate lõikes kasvanud peamiselt maareformi seaduse</w:t>
      </w:r>
      <w:r>
        <w:rPr>
          <w:rFonts w:eastAsiaTheme="majorEastAsia"/>
        </w:rPr>
        <w:t xml:space="preserve"> (MaaRS)</w:t>
      </w:r>
      <w:r w:rsidRPr="00EB56E7">
        <w:rPr>
          <w:rFonts w:eastAsiaTheme="majorEastAsia"/>
        </w:rPr>
        <w:t xml:space="preserve"> alusel riigi omandisse jäetud maa arvelt. </w:t>
      </w:r>
      <w:r w:rsidR="00473F94">
        <w:rPr>
          <w:rFonts w:eastAsiaTheme="majorEastAsia"/>
        </w:rPr>
        <w:t xml:space="preserve">Maaportfell kasvu kajastab </w:t>
      </w:r>
      <w:r w:rsidR="00A85FDC">
        <w:rPr>
          <w:rFonts w:eastAsiaTheme="majorEastAsia"/>
        </w:rPr>
        <w:fldChar w:fldCharType="begin"/>
      </w:r>
      <w:r w:rsidR="00473F94">
        <w:rPr>
          <w:rFonts w:eastAsiaTheme="majorEastAsia"/>
        </w:rPr>
        <w:instrText xml:space="preserve"> REF _Ref423630532 \h </w:instrText>
      </w:r>
      <w:r w:rsidR="00A85FDC">
        <w:rPr>
          <w:rFonts w:eastAsiaTheme="majorEastAsia"/>
        </w:rPr>
      </w:r>
      <w:r w:rsidR="00A85FDC">
        <w:rPr>
          <w:rFonts w:eastAsiaTheme="majorEastAsia"/>
        </w:rPr>
        <w:fldChar w:fldCharType="separate"/>
      </w:r>
      <w:r w:rsidR="00477322">
        <w:t xml:space="preserve">Joonis </w:t>
      </w:r>
      <w:r w:rsidR="00477322">
        <w:rPr>
          <w:noProof/>
        </w:rPr>
        <w:t>5</w:t>
      </w:r>
      <w:r w:rsidR="00A85FDC">
        <w:rPr>
          <w:rFonts w:eastAsiaTheme="majorEastAsia"/>
        </w:rPr>
        <w:fldChar w:fldCharType="end"/>
      </w:r>
      <w:r w:rsidR="00473F94">
        <w:rPr>
          <w:rFonts w:eastAsiaTheme="majorEastAsia"/>
        </w:rPr>
        <w:t>.</w:t>
      </w:r>
    </w:p>
    <w:p w:rsidR="00B6319C" w:rsidRDefault="00B6319C" w:rsidP="00B6319C">
      <w:pPr>
        <w:pStyle w:val="Caption"/>
        <w:jc w:val="both"/>
      </w:pPr>
      <w:bookmarkStart w:id="118" w:name="_Ref423630532"/>
      <w:r>
        <w:t xml:space="preserve">Joonis </w:t>
      </w:r>
      <w:fldSimple w:instr=" SEQ Joonis \* ARABIC ">
        <w:r w:rsidR="00477322">
          <w:rPr>
            <w:noProof/>
          </w:rPr>
          <w:t>5</w:t>
        </w:r>
      </w:fldSimple>
      <w:bookmarkEnd w:id="118"/>
      <w:r>
        <w:t>. Riigi maabilanss aastate lõikes</w:t>
      </w:r>
    </w:p>
    <w:p w:rsidR="00B6319C" w:rsidRDefault="00016723" w:rsidP="00225F8B">
      <w:pPr>
        <w:spacing w:before="120" w:after="120"/>
      </w:pPr>
      <w:r w:rsidRPr="00016723">
        <w:rPr>
          <w:noProof/>
          <w:lang w:eastAsia="et-EE"/>
        </w:rPr>
        <w:drawing>
          <wp:inline distT="0" distB="0" distL="0" distR="0">
            <wp:extent cx="5760720" cy="3184748"/>
            <wp:effectExtent l="19050" t="0" r="1143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3161" w:rsidRDefault="00803161" w:rsidP="00B6319C">
      <w:pPr>
        <w:spacing w:before="120"/>
      </w:pPr>
    </w:p>
    <w:p w:rsidR="00473F94" w:rsidRDefault="00473F94" w:rsidP="00351253">
      <w:pPr>
        <w:pStyle w:val="ListParagraph"/>
      </w:pPr>
      <w:r>
        <w:t>Reformimata</w:t>
      </w:r>
      <w:r w:rsidDel="00FC420E">
        <w:t xml:space="preserve"> on veel</w:t>
      </w:r>
      <w:r>
        <w:t xml:space="preserve"> ca 160 000 ha maad (</w:t>
      </w:r>
      <w:r w:rsidDel="00FC420E">
        <w:t>3,</w:t>
      </w:r>
      <w:r>
        <w:t>4</w:t>
      </w:r>
      <w:r w:rsidDel="00FC420E">
        <w:t>% katastris registreerimisele kuuluvast maast</w:t>
      </w:r>
      <w:r>
        <w:t xml:space="preserve">). Reformimata maast ca 125 000 ha tuleb Maa-ameti </w:t>
      </w:r>
      <w:r w:rsidDel="00FC420E">
        <w:t xml:space="preserve">andmetel </w:t>
      </w:r>
      <w:r>
        <w:t xml:space="preserve">vormistada riigi omandisse (vt ka peatükk </w:t>
      </w:r>
      <w:r w:rsidR="00A85FDC">
        <w:fldChar w:fldCharType="begin"/>
      </w:r>
      <w:r>
        <w:instrText xml:space="preserve"> REF _Ref423630423 \r \h </w:instrText>
      </w:r>
      <w:r w:rsidR="00A85FDC">
        <w:fldChar w:fldCharType="separate"/>
      </w:r>
      <w:r w:rsidR="00477322">
        <w:t>1.2.1</w:t>
      </w:r>
      <w:r w:rsidR="00A85FDC">
        <w:fldChar w:fldCharType="end"/>
      </w:r>
      <w:r>
        <w:t xml:space="preserve">). </w:t>
      </w:r>
    </w:p>
    <w:p w:rsidR="00B6319C" w:rsidRDefault="00B6319C" w:rsidP="00351253">
      <w:pPr>
        <w:pStyle w:val="ListParagraph"/>
      </w:pPr>
      <w:r>
        <w:t>82% riigi maa pindalast on maatulundusmaa, millest olulise osa moodustab riigimetsamaa. Maakasutuse sihtotstarvete kaupa jaguneb riigi maaportfell järgmiselt (</w:t>
      </w:r>
      <w:r w:rsidR="00A85FDC">
        <w:fldChar w:fldCharType="begin"/>
      </w:r>
      <w:r>
        <w:instrText xml:space="preserve"> REF _Ref417901590 \h </w:instrText>
      </w:r>
      <w:r w:rsidR="00A85FDC">
        <w:fldChar w:fldCharType="separate"/>
      </w:r>
      <w:r w:rsidR="00477322" w:rsidRPr="00225F8B">
        <w:t xml:space="preserve">Joonis </w:t>
      </w:r>
      <w:r w:rsidR="00477322">
        <w:rPr>
          <w:noProof/>
        </w:rPr>
        <w:t>6</w:t>
      </w:r>
      <w:r w:rsidR="00A85FDC">
        <w:fldChar w:fldCharType="end"/>
      </w:r>
      <w:r>
        <w:t>).</w:t>
      </w:r>
    </w:p>
    <w:p w:rsidR="00CF1467" w:rsidRDefault="00CF1467" w:rsidP="00351253">
      <w:pPr>
        <w:pStyle w:val="ListParagraph"/>
      </w:pPr>
      <w:r>
        <w:t>Enamus riigi maast on Keskkonnaministeeriumi, sh RMK valitsemisel (</w:t>
      </w:r>
      <w:r w:rsidR="00A85FDC">
        <w:fldChar w:fldCharType="begin"/>
      </w:r>
      <w:r>
        <w:instrText xml:space="preserve"> REF _Ref417901879 \h </w:instrText>
      </w:r>
      <w:r w:rsidR="00A85FDC">
        <w:fldChar w:fldCharType="separate"/>
      </w:r>
      <w:r w:rsidR="00477322" w:rsidRPr="00225F8B">
        <w:t xml:space="preserve">Joonis </w:t>
      </w:r>
      <w:r w:rsidR="00477322">
        <w:rPr>
          <w:noProof/>
        </w:rPr>
        <w:t>7</w:t>
      </w:r>
      <w:r w:rsidR="00A85FDC">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4928"/>
      </w:tblGrid>
      <w:tr w:rsidR="00B6319C" w:rsidTr="00CD371C">
        <w:trPr>
          <w:trHeight w:val="2461"/>
        </w:trPr>
        <w:tc>
          <w:tcPr>
            <w:tcW w:w="4503" w:type="dxa"/>
          </w:tcPr>
          <w:p w:rsidR="00B6319C" w:rsidRPr="00225F8B" w:rsidRDefault="00B6319C" w:rsidP="00CD371C">
            <w:pPr>
              <w:pStyle w:val="Caption"/>
              <w:jc w:val="both"/>
              <w:rPr>
                <w:lang w:val="et-EE"/>
              </w:rPr>
            </w:pPr>
            <w:bookmarkStart w:id="119" w:name="_Ref417901590"/>
            <w:r w:rsidRPr="00225F8B">
              <w:rPr>
                <w:lang w:val="et-EE"/>
              </w:rPr>
              <w:t xml:space="preserve">Joonis </w:t>
            </w:r>
            <w:r w:rsidR="00A85FDC">
              <w:fldChar w:fldCharType="begin"/>
            </w:r>
            <w:r w:rsidR="00635636">
              <w:rPr>
                <w:lang w:val="et-EE"/>
              </w:rPr>
              <w:instrText xml:space="preserve"> SEQ Joonis \* ARABIC </w:instrText>
            </w:r>
            <w:r w:rsidR="00A85FDC">
              <w:fldChar w:fldCharType="separate"/>
            </w:r>
            <w:r w:rsidR="00477322">
              <w:rPr>
                <w:noProof/>
                <w:lang w:val="et-EE"/>
              </w:rPr>
              <w:t>6</w:t>
            </w:r>
            <w:r w:rsidR="00A85FDC">
              <w:fldChar w:fldCharType="end"/>
            </w:r>
            <w:bookmarkEnd w:id="119"/>
            <w:r w:rsidRPr="00225F8B">
              <w:rPr>
                <w:lang w:val="et-EE"/>
              </w:rPr>
              <w:t>. Riigi omandis oleva maa sihtotstarbeline jaotus</w:t>
            </w:r>
          </w:p>
          <w:p w:rsidR="00B6319C" w:rsidRPr="00225F8B" w:rsidRDefault="00B6319C" w:rsidP="00225F8B">
            <w:pPr>
              <w:spacing w:before="120" w:after="120"/>
              <w:rPr>
                <w:lang w:val="et-EE"/>
              </w:rPr>
            </w:pPr>
            <w:r w:rsidRPr="00225F8B">
              <w:rPr>
                <w:noProof/>
                <w:lang w:eastAsia="et-EE"/>
              </w:rPr>
              <w:drawing>
                <wp:inline distT="0" distB="0" distL="0" distR="0">
                  <wp:extent cx="2628285" cy="2455606"/>
                  <wp:effectExtent l="19050" t="0" r="19665" b="1844"/>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928" w:type="dxa"/>
          </w:tcPr>
          <w:p w:rsidR="00B6319C" w:rsidRPr="00225F8B" w:rsidRDefault="00B6319C" w:rsidP="00CD371C">
            <w:pPr>
              <w:pStyle w:val="Caption"/>
              <w:jc w:val="both"/>
              <w:rPr>
                <w:lang w:val="et-EE"/>
              </w:rPr>
            </w:pPr>
            <w:bookmarkStart w:id="120" w:name="_Ref417901879"/>
            <w:r w:rsidRPr="00225F8B">
              <w:rPr>
                <w:lang w:val="et-EE"/>
              </w:rPr>
              <w:t xml:space="preserve">Joonis </w:t>
            </w:r>
            <w:r w:rsidR="00A85FDC">
              <w:fldChar w:fldCharType="begin"/>
            </w:r>
            <w:r w:rsidR="00635636">
              <w:rPr>
                <w:lang w:val="et-EE"/>
              </w:rPr>
              <w:instrText xml:space="preserve"> SEQ Joonis \* ARABIC </w:instrText>
            </w:r>
            <w:r w:rsidR="00A85FDC">
              <w:fldChar w:fldCharType="separate"/>
            </w:r>
            <w:r w:rsidR="00477322">
              <w:rPr>
                <w:noProof/>
                <w:lang w:val="et-EE"/>
              </w:rPr>
              <w:t>7</w:t>
            </w:r>
            <w:r w:rsidR="00A85FDC">
              <w:fldChar w:fldCharType="end"/>
            </w:r>
            <w:bookmarkEnd w:id="120"/>
            <w:r w:rsidRPr="00225F8B">
              <w:rPr>
                <w:lang w:val="et-EE"/>
              </w:rPr>
              <w:t>. Riigi omandis oleva maa jagunemine valitsejate kaupa</w:t>
            </w:r>
          </w:p>
          <w:p w:rsidR="00B6319C" w:rsidRPr="00225F8B" w:rsidRDefault="00B6319C" w:rsidP="00225F8B">
            <w:pPr>
              <w:spacing w:before="120" w:after="120"/>
              <w:rPr>
                <w:lang w:val="et-EE"/>
              </w:rPr>
            </w:pPr>
            <w:r w:rsidRPr="00225F8B">
              <w:rPr>
                <w:noProof/>
                <w:lang w:eastAsia="et-EE"/>
              </w:rPr>
              <w:drawing>
                <wp:inline distT="0" distB="0" distL="0" distR="0">
                  <wp:extent cx="2449645" cy="2454336"/>
                  <wp:effectExtent l="19050" t="0" r="26855" b="3114"/>
                  <wp:docPr id="2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EE0C91" w:rsidRDefault="00B6319C" w:rsidP="00225F8B">
      <w:r>
        <w:t>Ülevaate riigi omandis olevatest maadest riigivara valitsejate kaupa ning maade sihtotstarbelisest jagunemisest annavad lisas</w:t>
      </w:r>
      <w:r w:rsidR="00CF1467">
        <w:t xml:space="preserve"> 2</w:t>
      </w:r>
      <w:r>
        <w:t xml:space="preserve"> olevad tabelid (</w:t>
      </w:r>
      <w:fldSimple w:instr=" REF _Ref423630921 \h  \* MERGEFORMAT ">
        <w:r w:rsidR="00477322">
          <w:t xml:space="preserve">Tabel </w:t>
        </w:r>
        <w:r w:rsidR="00477322">
          <w:rPr>
            <w:noProof/>
          </w:rPr>
          <w:t>3</w:t>
        </w:r>
      </w:fldSimple>
      <w:r w:rsidR="006105A3">
        <w:t xml:space="preserve"> </w:t>
      </w:r>
      <w:r>
        <w:t>ja</w:t>
      </w:r>
      <w:r w:rsidR="00452355">
        <w:t xml:space="preserve"> </w:t>
      </w:r>
      <w:r w:rsidR="00A85FDC">
        <w:fldChar w:fldCharType="begin"/>
      </w:r>
      <w:r w:rsidR="00452355">
        <w:instrText xml:space="preserve"> REF _Ref423636542 \h </w:instrText>
      </w:r>
      <w:r w:rsidR="00A85FDC">
        <w:fldChar w:fldCharType="separate"/>
      </w:r>
      <w:r w:rsidR="00477322" w:rsidRPr="007E7D70">
        <w:t xml:space="preserve">Tabel </w:t>
      </w:r>
      <w:r w:rsidR="00477322">
        <w:rPr>
          <w:noProof/>
        </w:rPr>
        <w:t>4</w:t>
      </w:r>
      <w:r w:rsidR="00A85FDC">
        <w:fldChar w:fldCharType="end"/>
      </w:r>
      <w:r w:rsidR="00452355">
        <w:t>)</w:t>
      </w:r>
      <w:r>
        <w:t>.</w:t>
      </w:r>
    </w:p>
    <w:p w:rsidR="00B6319C" w:rsidRPr="00EE0C91" w:rsidRDefault="00B6319C" w:rsidP="00683BB5">
      <w:pPr>
        <w:pStyle w:val="Pealkiri4"/>
        <w:rPr>
          <w:b/>
          <w:u w:val="single"/>
        </w:rPr>
      </w:pPr>
      <w:r w:rsidRPr="00E24172">
        <w:t>Kasutuslepingu alusel kasutatav maa</w:t>
      </w:r>
    </w:p>
    <w:p w:rsidR="00B6319C" w:rsidRPr="0008128C" w:rsidRDefault="006105A3" w:rsidP="0008128C">
      <w:pPr>
        <w:pStyle w:val="ListParagraph"/>
      </w:pPr>
      <w:r w:rsidRPr="0008128C">
        <w:t>Riik kasutab p</w:t>
      </w:r>
      <w:r w:rsidR="00B6319C" w:rsidRPr="0008128C">
        <w:t>õllumajanduslike rendilepingute alusel 239 ha</w:t>
      </w:r>
      <w:r w:rsidRPr="0008128C">
        <w:t xml:space="preserve"> maad</w:t>
      </w:r>
      <w:r w:rsidR="00B6319C" w:rsidRPr="0008128C">
        <w:t xml:space="preserve"> </w:t>
      </w:r>
      <w:r w:rsidRPr="0008128C">
        <w:t xml:space="preserve">(arvestamata riigisiseseid kasutuskokkuleppeid). Tegemist on </w:t>
      </w:r>
      <w:r w:rsidR="00B6319C" w:rsidRPr="0008128C">
        <w:t>HTM-i valitsemisalas olevatele kutsekoolidele põllumajanduslikku kasutusse võetud maa</w:t>
      </w:r>
      <w:r w:rsidRPr="0008128C">
        <w:t>ga</w:t>
      </w:r>
      <w:r w:rsidR="00B6319C" w:rsidRPr="0008128C">
        <w:t>. Riik maksab kasutusse võetud maade eest kasutustasu 11 664 € aastas.</w:t>
      </w:r>
    </w:p>
    <w:p w:rsidR="00B6319C" w:rsidRDefault="00B6319C" w:rsidP="00351253">
      <w:pPr>
        <w:pStyle w:val="ListParagraph"/>
        <w:rPr>
          <w:szCs w:val="22"/>
        </w:rPr>
      </w:pPr>
      <w:r>
        <w:t>237 juhul on riigi kasuks seatud isiklik kasutusõigus, kasutusvaldus või servituut. 235 valdavalt teeservituuti on seatud riigile tasuta. Tasu on määratud kahel korral, millest ühel juhul maksab riik kasutusvalduse tasu 7 317 €/kuus RKAS-ile (Politsei- ja Piirivalveameti Vasknarva kordoni hoonestusõiguse ja kasutusvalduse leping) ja teisel juhul on seatud tähtajatu isiklik kasutusõigus Raikküla Kooli tegevuseks ning toimimiseks vajaliku juurdepääsutee ehitamiseks, kasutamiseks ja majandamiseks 1,75 € kuustasu eest. Nimetatud lepingute alusel kasutatava maa pinnaandmeid RKVR-is ei koguta.</w:t>
      </w:r>
    </w:p>
    <w:p w:rsidR="00B6319C" w:rsidRDefault="00B6319C" w:rsidP="00351253">
      <w:pPr>
        <w:pStyle w:val="ListParagraph"/>
      </w:pPr>
      <w:r>
        <w:t xml:space="preserve">Lisaks eelpool nimetatule kasutab riik 23,97 ha maad ka riigisiseste kasutuskokkulepete alusel, sellest kasutab Eesti Taimekasvatuse Instituut </w:t>
      </w:r>
      <w:r w:rsidR="005F4E0A">
        <w:t>13,96 ha ja Olustvere</w:t>
      </w:r>
      <w:r>
        <w:t xml:space="preserve"> Teenindus ja Maa</w:t>
      </w:r>
      <w:r w:rsidR="005F4E0A">
        <w:t>ma</w:t>
      </w:r>
      <w:r>
        <w:t>janduskool 10,01 ha. Kasutamiseks andjad on Põllumajandusuuringute Keskus ja RMK.</w:t>
      </w:r>
    </w:p>
    <w:p w:rsidR="00B6319C" w:rsidRDefault="00B6319C" w:rsidP="0034698C">
      <w:pPr>
        <w:pStyle w:val="Pealkiri2"/>
      </w:pPr>
      <w:bookmarkStart w:id="121" w:name="_Toc411870323"/>
      <w:bookmarkStart w:id="122" w:name="_Toc418016347"/>
      <w:bookmarkStart w:id="123" w:name="_Toc433980688"/>
      <w:r>
        <w:t xml:space="preserve">Riigivara </w:t>
      </w:r>
      <w:r w:rsidRPr="0034698C">
        <w:t>omandamine</w:t>
      </w:r>
      <w:bookmarkEnd w:id="121"/>
      <w:bookmarkEnd w:id="122"/>
      <w:bookmarkEnd w:id="123"/>
    </w:p>
    <w:p w:rsidR="00B6319C" w:rsidRDefault="00B6319C" w:rsidP="00B6319C">
      <w:pPr>
        <w:rPr>
          <w:rFonts w:eastAsiaTheme="majorEastAsia"/>
        </w:rPr>
      </w:pPr>
      <w:r w:rsidRPr="00B64ECA">
        <w:rPr>
          <w:rFonts w:eastAsiaTheme="majorEastAsia"/>
        </w:rPr>
        <w:t>Tulenevalt riigivaraseaduse §</w:t>
      </w:r>
      <w:r w:rsidR="00955181">
        <w:rPr>
          <w:rFonts w:eastAsiaTheme="majorEastAsia"/>
        </w:rPr>
        <w:t xml:space="preserve"> </w:t>
      </w:r>
      <w:r w:rsidRPr="00B64ECA">
        <w:rPr>
          <w:rFonts w:eastAsiaTheme="majorEastAsia"/>
        </w:rPr>
        <w:t xml:space="preserve">10-st omandab riik vara õigusakti ja tehingu alusel, kui vara on riigile vajalik seaduses sätestatud eesmärgil või kui riigile vara omandamise kohustus tuleneb seadusest. Muul juhul võib riik vara omandada üksnes Vabariigi Valitsuse nõusolekul. </w:t>
      </w:r>
    </w:p>
    <w:p w:rsidR="00B6319C" w:rsidRPr="00934094" w:rsidRDefault="00B6319C" w:rsidP="00351253">
      <w:pPr>
        <w:pStyle w:val="ListParagraph"/>
        <w:rPr>
          <w:rFonts w:ascii="Times New Roman" w:eastAsiaTheme="majorEastAsia" w:hAnsi="Times New Roman"/>
        </w:rPr>
      </w:pPr>
      <w:r w:rsidRPr="00934094">
        <w:rPr>
          <w:rFonts w:eastAsiaTheme="majorEastAsia"/>
        </w:rPr>
        <w:t xml:space="preserve">Aruandeperioodil on riik </w:t>
      </w:r>
      <w:r w:rsidRPr="00934094">
        <w:rPr>
          <w:rFonts w:eastAsiaTheme="majorEastAsia"/>
          <w:b/>
        </w:rPr>
        <w:t>omandanud</w:t>
      </w:r>
      <w:r>
        <w:rPr>
          <w:rFonts w:eastAsiaTheme="majorEastAsia"/>
        </w:rPr>
        <w:t xml:space="preserve"> 8839 </w:t>
      </w:r>
      <w:r w:rsidRPr="00934094">
        <w:rPr>
          <w:rFonts w:eastAsiaTheme="majorEastAsia"/>
        </w:rPr>
        <w:t xml:space="preserve">kinnistut, sh 76 hoonestatud kinnistut. Omandatud on </w:t>
      </w:r>
      <w:r w:rsidR="006B747E">
        <w:rPr>
          <w:color w:val="000000"/>
        </w:rPr>
        <w:t>131 111</w:t>
      </w:r>
      <w:r>
        <w:rPr>
          <w:rFonts w:eastAsiaTheme="majorEastAsia"/>
        </w:rPr>
        <w:t xml:space="preserve"> hektarit maad ning 18 271</w:t>
      </w:r>
      <w:r w:rsidRPr="00934094">
        <w:rPr>
          <w:rFonts w:eastAsiaTheme="majorEastAsia"/>
        </w:rPr>
        <w:t xml:space="preserve"> m</w:t>
      </w:r>
      <w:r w:rsidRPr="00934094">
        <w:rPr>
          <w:rFonts w:ascii="Times New Roman" w:eastAsiaTheme="majorEastAsia" w:hAnsi="Times New Roman"/>
        </w:rPr>
        <w:t>²</w:t>
      </w:r>
      <w:r w:rsidR="00C12E5F">
        <w:rPr>
          <w:rFonts w:ascii="Times New Roman" w:eastAsiaTheme="majorEastAsia" w:hAnsi="Times New Roman"/>
        </w:rPr>
        <w:t xml:space="preserve"> hooneid</w:t>
      </w:r>
      <w:r w:rsidRPr="00934094">
        <w:rPr>
          <w:rFonts w:ascii="Times New Roman" w:eastAsiaTheme="majorEastAsia" w:hAnsi="Times New Roman"/>
        </w:rPr>
        <w:t xml:space="preserve">. </w:t>
      </w:r>
    </w:p>
    <w:p w:rsidR="00B6319C" w:rsidRDefault="00B6319C" w:rsidP="00B6319C">
      <w:pPr>
        <w:spacing w:before="120"/>
        <w:rPr>
          <w:rFonts w:eastAsiaTheme="majorEastAsia"/>
        </w:rPr>
      </w:pPr>
      <w:r w:rsidRPr="00EE2022">
        <w:rPr>
          <w:rFonts w:eastAsiaTheme="majorEastAsia"/>
        </w:rPr>
        <w:t xml:space="preserve">Ülevaate omandamisest alamliigiti annab </w:t>
      </w:r>
      <w:r w:rsidR="00A85FDC">
        <w:rPr>
          <w:rFonts w:eastAsiaTheme="majorEastAsia"/>
          <w:highlight w:val="green"/>
        </w:rPr>
        <w:fldChar w:fldCharType="begin"/>
      </w:r>
      <w:r>
        <w:rPr>
          <w:rFonts w:eastAsiaTheme="majorEastAsia"/>
        </w:rPr>
        <w:instrText xml:space="preserve"> REF _Ref411938103 \h </w:instrText>
      </w:r>
      <w:r w:rsidR="00A85FDC">
        <w:rPr>
          <w:rFonts w:eastAsiaTheme="majorEastAsia"/>
          <w:highlight w:val="green"/>
        </w:rPr>
      </w:r>
      <w:r w:rsidR="00A85FDC">
        <w:rPr>
          <w:rFonts w:eastAsiaTheme="majorEastAsia"/>
          <w:highlight w:val="green"/>
        </w:rPr>
        <w:fldChar w:fldCharType="separate"/>
      </w:r>
      <w:r w:rsidR="00477322">
        <w:t xml:space="preserve">Tabel </w:t>
      </w:r>
      <w:r w:rsidR="00477322">
        <w:rPr>
          <w:noProof/>
        </w:rPr>
        <w:t>2</w:t>
      </w:r>
      <w:r w:rsidR="00A85FDC">
        <w:rPr>
          <w:rFonts w:eastAsiaTheme="majorEastAsia"/>
          <w:highlight w:val="green"/>
        </w:rPr>
        <w:fldChar w:fldCharType="end"/>
      </w:r>
      <w:r w:rsidRPr="00EE2022">
        <w:rPr>
          <w:rFonts w:eastAsiaTheme="majorEastAsia"/>
        </w:rPr>
        <w:t xml:space="preserve">. </w:t>
      </w:r>
    </w:p>
    <w:p w:rsidR="00B6319C" w:rsidRDefault="00B6319C" w:rsidP="00B6319C">
      <w:pPr>
        <w:pStyle w:val="Caption"/>
      </w:pPr>
      <w:bookmarkStart w:id="124" w:name="_Ref411938103"/>
      <w:r>
        <w:t xml:space="preserve">Tabel </w:t>
      </w:r>
      <w:fldSimple w:instr=" SEQ Tabel \* ARABIC ">
        <w:r w:rsidR="00477322">
          <w:rPr>
            <w:noProof/>
          </w:rPr>
          <w:t>2</w:t>
        </w:r>
      </w:fldSimple>
      <w:bookmarkEnd w:id="124"/>
      <w:r>
        <w:t>. Omandamine alamliikide kaupa</w:t>
      </w:r>
    </w:p>
    <w:tbl>
      <w:tblPr>
        <w:tblW w:w="9219" w:type="dxa"/>
        <w:tblInd w:w="65" w:type="dxa"/>
        <w:tblCellMar>
          <w:left w:w="70" w:type="dxa"/>
          <w:right w:w="70" w:type="dxa"/>
        </w:tblCellMar>
        <w:tblLook w:val="04A0"/>
      </w:tblPr>
      <w:tblGrid>
        <w:gridCol w:w="2132"/>
        <w:gridCol w:w="850"/>
        <w:gridCol w:w="1134"/>
        <w:gridCol w:w="1276"/>
        <w:gridCol w:w="1134"/>
        <w:gridCol w:w="1417"/>
        <w:gridCol w:w="1276"/>
      </w:tblGrid>
      <w:tr w:rsidR="00B6319C" w:rsidRPr="00C12E5F" w:rsidTr="00524F93">
        <w:trPr>
          <w:trHeight w:hRule="exact" w:val="573"/>
        </w:trPr>
        <w:tc>
          <w:tcPr>
            <w:tcW w:w="2132" w:type="dxa"/>
            <w:tcBorders>
              <w:top w:val="single" w:sz="4" w:space="0" w:color="auto"/>
              <w:left w:val="single" w:sz="4" w:space="0" w:color="auto"/>
              <w:bottom w:val="nil"/>
              <w:right w:val="single" w:sz="4" w:space="0" w:color="auto"/>
            </w:tcBorders>
            <w:shd w:val="clear" w:color="DBE5F1" w:fill="DBEEF3"/>
            <w:hideMark/>
          </w:tcPr>
          <w:p w:rsidR="00B6319C" w:rsidRPr="00C12E5F" w:rsidRDefault="00B6319C" w:rsidP="00524F93">
            <w:pPr>
              <w:spacing w:before="120"/>
              <w:jc w:val="center"/>
              <w:rPr>
                <w:rFonts w:cs="Arial"/>
                <w:b/>
                <w:bCs/>
                <w:color w:val="000000"/>
                <w:sz w:val="17"/>
                <w:szCs w:val="17"/>
                <w:lang w:eastAsia="et-EE"/>
              </w:rPr>
            </w:pPr>
            <w:r w:rsidRPr="00C12E5F">
              <w:rPr>
                <w:rFonts w:cs="Arial"/>
                <w:b/>
                <w:bCs/>
                <w:color w:val="000000"/>
                <w:sz w:val="17"/>
                <w:szCs w:val="17"/>
                <w:lang w:eastAsia="et-EE"/>
              </w:rPr>
              <w:t>Alamliik</w:t>
            </w:r>
          </w:p>
        </w:tc>
        <w:tc>
          <w:tcPr>
            <w:tcW w:w="850" w:type="dxa"/>
            <w:tcBorders>
              <w:top w:val="single" w:sz="4" w:space="0" w:color="auto"/>
              <w:left w:val="nil"/>
              <w:bottom w:val="single" w:sz="4" w:space="0" w:color="auto"/>
              <w:right w:val="single" w:sz="4" w:space="0" w:color="auto"/>
            </w:tcBorders>
            <w:shd w:val="clear" w:color="000000" w:fill="DBEEF3"/>
            <w:hideMark/>
          </w:tcPr>
          <w:p w:rsidR="00B6319C" w:rsidRPr="00C12E5F" w:rsidRDefault="00B6319C" w:rsidP="00524F93">
            <w:pPr>
              <w:spacing w:before="120"/>
              <w:jc w:val="center"/>
              <w:rPr>
                <w:rFonts w:cs="Arial"/>
                <w:b/>
                <w:bCs/>
                <w:sz w:val="17"/>
                <w:szCs w:val="17"/>
                <w:lang w:eastAsia="et-EE"/>
              </w:rPr>
            </w:pPr>
            <w:r w:rsidRPr="00C12E5F">
              <w:rPr>
                <w:rFonts w:cs="Arial"/>
                <w:b/>
                <w:bCs/>
                <w:sz w:val="17"/>
                <w:szCs w:val="17"/>
                <w:lang w:eastAsia="et-EE"/>
              </w:rPr>
              <w:t>Aasta</w:t>
            </w:r>
          </w:p>
        </w:tc>
        <w:tc>
          <w:tcPr>
            <w:tcW w:w="1134" w:type="dxa"/>
            <w:tcBorders>
              <w:top w:val="single" w:sz="4" w:space="0" w:color="auto"/>
              <w:left w:val="nil"/>
              <w:bottom w:val="single" w:sz="4" w:space="0" w:color="auto"/>
              <w:right w:val="nil"/>
            </w:tcBorders>
            <w:shd w:val="clear" w:color="000000" w:fill="DBEEF3"/>
            <w:hideMark/>
          </w:tcPr>
          <w:p w:rsidR="00B6319C" w:rsidRPr="00C12E5F" w:rsidRDefault="00B6319C" w:rsidP="00524F93">
            <w:pPr>
              <w:spacing w:before="120"/>
              <w:jc w:val="center"/>
              <w:rPr>
                <w:rFonts w:cs="Arial"/>
                <w:b/>
                <w:bCs/>
                <w:sz w:val="17"/>
                <w:szCs w:val="17"/>
                <w:lang w:eastAsia="et-EE"/>
              </w:rPr>
            </w:pPr>
            <w:r w:rsidRPr="00C12E5F">
              <w:rPr>
                <w:rFonts w:cs="Arial"/>
                <w:b/>
                <w:bCs/>
                <w:sz w:val="17"/>
                <w:szCs w:val="17"/>
                <w:lang w:eastAsia="et-EE"/>
              </w:rPr>
              <w:t>Kinnistute arv</w:t>
            </w:r>
          </w:p>
        </w:tc>
        <w:tc>
          <w:tcPr>
            <w:tcW w:w="1276" w:type="dxa"/>
            <w:tcBorders>
              <w:top w:val="single" w:sz="4" w:space="0" w:color="auto"/>
              <w:left w:val="single" w:sz="4" w:space="0" w:color="auto"/>
              <w:bottom w:val="single" w:sz="4" w:space="0" w:color="auto"/>
              <w:right w:val="single" w:sz="4" w:space="0" w:color="auto"/>
            </w:tcBorders>
            <w:shd w:val="clear" w:color="000000" w:fill="DBEEF3"/>
            <w:hideMark/>
          </w:tcPr>
          <w:p w:rsidR="00B6319C" w:rsidRPr="00C12E5F" w:rsidRDefault="00B6319C" w:rsidP="00524F93">
            <w:pPr>
              <w:spacing w:before="120"/>
              <w:jc w:val="center"/>
              <w:rPr>
                <w:rFonts w:cs="Arial"/>
                <w:b/>
                <w:bCs/>
                <w:sz w:val="17"/>
                <w:szCs w:val="17"/>
                <w:lang w:eastAsia="et-EE"/>
              </w:rPr>
            </w:pPr>
            <w:r w:rsidRPr="00C12E5F">
              <w:rPr>
                <w:rFonts w:cs="Arial"/>
                <w:b/>
                <w:bCs/>
                <w:sz w:val="17"/>
                <w:szCs w:val="17"/>
                <w:lang w:eastAsia="et-EE"/>
              </w:rPr>
              <w:t>Kinnistute pindala (ha)</w:t>
            </w:r>
          </w:p>
        </w:tc>
        <w:tc>
          <w:tcPr>
            <w:tcW w:w="1134" w:type="dxa"/>
            <w:tcBorders>
              <w:top w:val="single" w:sz="4" w:space="0" w:color="auto"/>
              <w:left w:val="nil"/>
              <w:bottom w:val="single" w:sz="4" w:space="0" w:color="auto"/>
              <w:right w:val="single" w:sz="4" w:space="0" w:color="auto"/>
            </w:tcBorders>
            <w:shd w:val="clear" w:color="000000" w:fill="DBEEF3"/>
            <w:hideMark/>
          </w:tcPr>
          <w:p w:rsidR="00B6319C" w:rsidRPr="00C12E5F" w:rsidRDefault="00B6319C" w:rsidP="00524F93">
            <w:pPr>
              <w:spacing w:before="120"/>
              <w:jc w:val="center"/>
              <w:rPr>
                <w:rFonts w:cs="Arial"/>
                <w:b/>
                <w:bCs/>
                <w:sz w:val="17"/>
                <w:szCs w:val="17"/>
                <w:lang w:eastAsia="et-EE"/>
              </w:rPr>
            </w:pPr>
            <w:r w:rsidRPr="00C12E5F">
              <w:rPr>
                <w:rFonts w:cs="Arial"/>
                <w:b/>
                <w:bCs/>
                <w:sz w:val="17"/>
                <w:szCs w:val="17"/>
                <w:lang w:eastAsia="et-EE"/>
              </w:rPr>
              <w:t>Hoonete arv</w:t>
            </w:r>
          </w:p>
        </w:tc>
        <w:tc>
          <w:tcPr>
            <w:tcW w:w="1417" w:type="dxa"/>
            <w:tcBorders>
              <w:top w:val="single" w:sz="4" w:space="0" w:color="auto"/>
              <w:left w:val="nil"/>
              <w:bottom w:val="single" w:sz="4" w:space="0" w:color="auto"/>
              <w:right w:val="single" w:sz="4" w:space="0" w:color="auto"/>
            </w:tcBorders>
            <w:shd w:val="clear" w:color="000000" w:fill="DBEEF3"/>
            <w:hideMark/>
          </w:tcPr>
          <w:p w:rsidR="00B6319C" w:rsidRPr="00C12E5F" w:rsidRDefault="00B6319C" w:rsidP="00524F93">
            <w:pPr>
              <w:spacing w:before="120"/>
              <w:jc w:val="center"/>
              <w:rPr>
                <w:rFonts w:cs="Arial"/>
                <w:b/>
                <w:bCs/>
                <w:sz w:val="17"/>
                <w:szCs w:val="17"/>
                <w:lang w:eastAsia="et-EE"/>
              </w:rPr>
            </w:pPr>
            <w:r w:rsidRPr="00C12E5F">
              <w:rPr>
                <w:rFonts w:cs="Arial"/>
                <w:b/>
                <w:bCs/>
                <w:sz w:val="17"/>
                <w:szCs w:val="17"/>
                <w:lang w:eastAsia="et-EE"/>
              </w:rPr>
              <w:t>Hoonete pind (m²)</w:t>
            </w:r>
          </w:p>
        </w:tc>
        <w:tc>
          <w:tcPr>
            <w:tcW w:w="1276" w:type="dxa"/>
            <w:tcBorders>
              <w:top w:val="single" w:sz="4" w:space="0" w:color="auto"/>
              <w:left w:val="nil"/>
              <w:bottom w:val="single" w:sz="4" w:space="0" w:color="auto"/>
              <w:right w:val="single" w:sz="4" w:space="0" w:color="auto"/>
            </w:tcBorders>
            <w:shd w:val="clear" w:color="000000" w:fill="DBEEF3"/>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Tehingu väärtus/ hind (€)</w:t>
            </w:r>
          </w:p>
        </w:tc>
      </w:tr>
      <w:tr w:rsidR="00B6319C" w:rsidRPr="00C12E5F" w:rsidTr="00524F93">
        <w:trPr>
          <w:trHeight w:hRule="exact" w:val="284"/>
        </w:trPr>
        <w:tc>
          <w:tcPr>
            <w:tcW w:w="213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Riigi omandisse jätmine</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4 151</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75 021,16</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32</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3 351</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single" w:sz="4" w:space="0" w:color="auto"/>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3 995</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54 704,96</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8</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670</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000000" w:fill="FFFFFF"/>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Ostmine</w:t>
            </w: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242</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150,30</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6</w:t>
            </w: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626</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3 498 324</w:t>
            </w: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296</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131,33</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18</w:t>
            </w: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11 210</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12 574 936</w:t>
            </w: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000000" w:fill="FFFFFF"/>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Tasaarveldamine looduskaitseseaduse alusel</w:t>
            </w: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54</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373,67</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2 669 172</w:t>
            </w: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0,24</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556 000</w:t>
            </w: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000000" w:fill="FFFFFF"/>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Omandamine looduskaitseseaduse alusel</w:t>
            </w: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35</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345,86</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2 288 399</w:t>
            </w: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25</w:t>
            </w:r>
          </w:p>
        </w:tc>
        <w:tc>
          <w:tcPr>
            <w:tcW w:w="1276"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266,63</w:t>
            </w:r>
          </w:p>
        </w:tc>
        <w:tc>
          <w:tcPr>
            <w:tcW w:w="1134"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000000" w:fill="FFFFFF"/>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3 783 830</w:t>
            </w: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Omandist loobumine</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7</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3,01</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72</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11</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7,04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1 437</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Hõivamine (peremehetu ehitis)</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4</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151</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C12E5F" w:rsidP="00524F93">
            <w:pPr>
              <w:spacing w:before="0"/>
              <w:jc w:val="center"/>
              <w:rPr>
                <w:rFonts w:cs="Arial"/>
                <w:sz w:val="17"/>
                <w:szCs w:val="17"/>
                <w:lang w:eastAsia="et-EE"/>
              </w:rPr>
            </w:pPr>
            <w:r>
              <w:rPr>
                <w:rFonts w:cs="Arial"/>
                <w:sz w:val="17"/>
                <w:szCs w:val="17"/>
                <w:lang w:eastAsia="et-EE"/>
              </w:rPr>
              <w:t>-</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Sundvõõrandamine</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4</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1,10</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10,84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36 000</w:t>
            </w: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Konfiskeerimine</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7,32</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359</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9</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84,85</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6</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395</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Kinkimine</w:t>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1,45</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r w:rsidRPr="00C12E5F">
              <w:rPr>
                <w:rFonts w:cs="Arial"/>
                <w:sz w:val="17"/>
                <w:szCs w:val="17"/>
                <w:lang w:eastAsia="et-EE"/>
              </w:rPr>
              <w:t>-</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Kinnistute jagamine</w:t>
            </w:r>
            <w:r w:rsidRPr="00C12E5F">
              <w:rPr>
                <w:rStyle w:val="FootnoteReference"/>
                <w:color w:val="808080" w:themeColor="background1" w:themeShade="80"/>
                <w:sz w:val="17"/>
                <w:szCs w:val="17"/>
                <w:lang w:eastAsia="et-EE"/>
              </w:rPr>
              <w:footnoteReference w:id="5"/>
            </w: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2013</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204</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773,09</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28</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11 650</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color w:val="808080" w:themeColor="background1" w:themeShade="80"/>
                <w:sz w:val="17"/>
                <w:szCs w:val="17"/>
                <w:lang w:eastAsia="et-EE"/>
              </w:rPr>
            </w:pPr>
          </w:p>
        </w:tc>
        <w:tc>
          <w:tcPr>
            <w:tcW w:w="850"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2014</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115</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805,09</w:t>
            </w:r>
          </w:p>
        </w:tc>
        <w:tc>
          <w:tcPr>
            <w:tcW w:w="1134"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38</w:t>
            </w:r>
          </w:p>
        </w:tc>
        <w:tc>
          <w:tcPr>
            <w:tcW w:w="1417"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r w:rsidRPr="00C12E5F">
              <w:rPr>
                <w:rFonts w:cs="Arial"/>
                <w:color w:val="808080" w:themeColor="background1" w:themeShade="80"/>
                <w:sz w:val="17"/>
                <w:szCs w:val="17"/>
                <w:lang w:eastAsia="et-EE"/>
              </w:rPr>
              <w:t>21 824</w:t>
            </w:r>
          </w:p>
        </w:tc>
        <w:tc>
          <w:tcPr>
            <w:tcW w:w="1276" w:type="dxa"/>
            <w:tcBorders>
              <w:top w:val="nil"/>
              <w:left w:val="nil"/>
              <w:bottom w:val="single" w:sz="4" w:space="0" w:color="auto"/>
              <w:right w:val="single" w:sz="4" w:space="0" w:color="auto"/>
            </w:tcBorders>
            <w:shd w:val="clear" w:color="auto" w:fill="auto"/>
            <w:noWrap/>
            <w:hideMark/>
          </w:tcPr>
          <w:p w:rsidR="00B6319C" w:rsidRPr="00C12E5F" w:rsidRDefault="00B6319C" w:rsidP="00524F93">
            <w:pPr>
              <w:spacing w:before="0"/>
              <w:jc w:val="center"/>
              <w:rPr>
                <w:rFonts w:cs="Arial"/>
                <w:color w:val="808080" w:themeColor="background1" w:themeShade="80"/>
                <w:sz w:val="17"/>
                <w:szCs w:val="17"/>
                <w:lang w:eastAsia="et-EE"/>
              </w:rPr>
            </w:pPr>
          </w:p>
        </w:tc>
      </w:tr>
      <w:tr w:rsidR="00B6319C" w:rsidRPr="00C12E5F" w:rsidTr="00524F93">
        <w:trPr>
          <w:trHeight w:hRule="exact" w:val="284"/>
        </w:trPr>
        <w:tc>
          <w:tcPr>
            <w:tcW w:w="2132" w:type="dxa"/>
            <w:vMerge w:val="restart"/>
            <w:tcBorders>
              <w:top w:val="nil"/>
              <w:left w:val="single" w:sz="4" w:space="0" w:color="auto"/>
              <w:bottom w:val="single" w:sz="4" w:space="0" w:color="000000"/>
              <w:right w:val="single" w:sz="4" w:space="0" w:color="auto"/>
            </w:tcBorders>
            <w:shd w:val="clear" w:color="000000" w:fill="DBEEF3"/>
            <w:noWrap/>
            <w:vAlign w:val="bottom"/>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Kokku</w:t>
            </w:r>
          </w:p>
        </w:tc>
        <w:tc>
          <w:tcPr>
            <w:tcW w:w="850"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2013</w:t>
            </w:r>
          </w:p>
        </w:tc>
        <w:tc>
          <w:tcPr>
            <w:tcW w:w="1134"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4 500</w:t>
            </w:r>
          </w:p>
        </w:tc>
        <w:tc>
          <w:tcPr>
            <w:tcW w:w="1276"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75 905</w:t>
            </w:r>
          </w:p>
        </w:tc>
        <w:tc>
          <w:tcPr>
            <w:tcW w:w="1134"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41</w:t>
            </w:r>
          </w:p>
        </w:tc>
        <w:tc>
          <w:tcPr>
            <w:tcW w:w="1417"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4 559</w:t>
            </w:r>
          </w:p>
        </w:tc>
        <w:tc>
          <w:tcPr>
            <w:tcW w:w="1276"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8 455 895</w:t>
            </w:r>
          </w:p>
        </w:tc>
      </w:tr>
      <w:tr w:rsidR="00B6319C" w:rsidRPr="00C12E5F" w:rsidTr="00524F93">
        <w:trPr>
          <w:trHeight w:hRule="exact" w:val="284"/>
        </w:trPr>
        <w:tc>
          <w:tcPr>
            <w:tcW w:w="2132" w:type="dxa"/>
            <w:vMerge/>
            <w:tcBorders>
              <w:top w:val="nil"/>
              <w:left w:val="single" w:sz="4" w:space="0" w:color="auto"/>
              <w:bottom w:val="single" w:sz="4" w:space="0" w:color="000000"/>
              <w:right w:val="single" w:sz="4" w:space="0" w:color="auto"/>
            </w:tcBorders>
            <w:vAlign w:val="center"/>
            <w:hideMark/>
          </w:tcPr>
          <w:p w:rsidR="00B6319C" w:rsidRPr="00C12E5F" w:rsidRDefault="00B6319C" w:rsidP="00524F93">
            <w:pPr>
              <w:spacing w:before="0"/>
              <w:jc w:val="left"/>
              <w:rPr>
                <w:rFonts w:cs="Arial"/>
                <w:b/>
                <w:bCs/>
                <w:sz w:val="17"/>
                <w:szCs w:val="17"/>
                <w:lang w:eastAsia="et-EE"/>
              </w:rPr>
            </w:pPr>
          </w:p>
        </w:tc>
        <w:tc>
          <w:tcPr>
            <w:tcW w:w="850"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2014</w:t>
            </w:r>
          </w:p>
        </w:tc>
        <w:tc>
          <w:tcPr>
            <w:tcW w:w="1134"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4 339</w:t>
            </w:r>
          </w:p>
        </w:tc>
        <w:tc>
          <w:tcPr>
            <w:tcW w:w="1276"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55 206</w:t>
            </w:r>
          </w:p>
        </w:tc>
        <w:tc>
          <w:tcPr>
            <w:tcW w:w="1134"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34</w:t>
            </w:r>
          </w:p>
        </w:tc>
        <w:tc>
          <w:tcPr>
            <w:tcW w:w="1417"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13 712</w:t>
            </w:r>
          </w:p>
        </w:tc>
        <w:tc>
          <w:tcPr>
            <w:tcW w:w="1276" w:type="dxa"/>
            <w:tcBorders>
              <w:top w:val="nil"/>
              <w:left w:val="nil"/>
              <w:bottom w:val="single" w:sz="4" w:space="0" w:color="auto"/>
              <w:right w:val="single" w:sz="4" w:space="0" w:color="auto"/>
            </w:tcBorders>
            <w:shd w:val="clear" w:color="000000" w:fill="DBEEF3"/>
            <w:noWrap/>
            <w:hideMark/>
          </w:tcPr>
          <w:p w:rsidR="00B6319C" w:rsidRPr="00C12E5F" w:rsidRDefault="00B6319C" w:rsidP="00524F93">
            <w:pPr>
              <w:spacing w:before="0"/>
              <w:jc w:val="center"/>
              <w:rPr>
                <w:rFonts w:cs="Arial"/>
                <w:b/>
                <w:bCs/>
                <w:sz w:val="17"/>
                <w:szCs w:val="17"/>
                <w:lang w:eastAsia="et-EE"/>
              </w:rPr>
            </w:pPr>
            <w:r w:rsidRPr="00C12E5F">
              <w:rPr>
                <w:rFonts w:cs="Arial"/>
                <w:b/>
                <w:bCs/>
                <w:sz w:val="17"/>
                <w:szCs w:val="17"/>
                <w:lang w:eastAsia="et-EE"/>
              </w:rPr>
              <w:t>16 950 766</w:t>
            </w:r>
          </w:p>
        </w:tc>
      </w:tr>
    </w:tbl>
    <w:p w:rsidR="00B6319C" w:rsidRDefault="00B6319C" w:rsidP="00524F93">
      <w:pPr>
        <w:pStyle w:val="Caption"/>
        <w:spacing w:before="0"/>
      </w:pPr>
    </w:p>
    <w:p w:rsidR="00B6319C" w:rsidRPr="001F6B9A" w:rsidRDefault="00B6319C" w:rsidP="00B6319C">
      <w:pPr>
        <w:rPr>
          <w:rFonts w:ascii="Times New Roman" w:eastAsiaTheme="majorEastAsia" w:hAnsi="Times New Roman"/>
          <w:sz w:val="24"/>
        </w:rPr>
      </w:pPr>
      <w:r>
        <w:rPr>
          <w:rFonts w:ascii="Times New Roman" w:eastAsiaTheme="majorEastAsia" w:hAnsi="Times New Roman"/>
          <w:sz w:val="24"/>
        </w:rPr>
        <w:t>Järgn</w:t>
      </w:r>
      <w:r w:rsidR="00524F93">
        <w:rPr>
          <w:rFonts w:ascii="Times New Roman" w:eastAsiaTheme="majorEastAsia" w:hAnsi="Times New Roman"/>
          <w:sz w:val="24"/>
        </w:rPr>
        <w:t>e</w:t>
      </w:r>
      <w:r>
        <w:rPr>
          <w:rFonts w:ascii="Times New Roman" w:eastAsiaTheme="majorEastAsia" w:hAnsi="Times New Roman"/>
          <w:sz w:val="24"/>
        </w:rPr>
        <w:t>vates peatükkides 1.2.1 – 1.2.5 on antud detailsem ülevaade riigivara omandamisest alamliikide kaupa.</w:t>
      </w:r>
    </w:p>
    <w:p w:rsidR="00B6319C" w:rsidRPr="001F6B9A" w:rsidRDefault="00B6319C" w:rsidP="0034698C">
      <w:pPr>
        <w:pStyle w:val="Pealkiri3"/>
      </w:pPr>
      <w:bookmarkStart w:id="125" w:name="_Toc418016348"/>
      <w:bookmarkStart w:id="126" w:name="_Ref423630423"/>
      <w:bookmarkStart w:id="127" w:name="_Toc433980689"/>
      <w:r w:rsidRPr="001F6B9A">
        <w:t xml:space="preserve">Riigi </w:t>
      </w:r>
      <w:r w:rsidRPr="0034698C">
        <w:t>omandisse</w:t>
      </w:r>
      <w:r w:rsidRPr="001F6B9A">
        <w:t xml:space="preserve"> jätmine</w:t>
      </w:r>
      <w:bookmarkEnd w:id="125"/>
      <w:bookmarkEnd w:id="126"/>
      <w:bookmarkEnd w:id="127"/>
    </w:p>
    <w:p w:rsidR="00B6319C" w:rsidRPr="009E65F8" w:rsidRDefault="00B6319C" w:rsidP="009E65F8">
      <w:r w:rsidRPr="009E65F8">
        <w:t>Maad jäetakse riigi om</w:t>
      </w:r>
      <w:r w:rsidR="00524F93" w:rsidRPr="009E65F8">
        <w:t>andisse Maareformi seaduse</w:t>
      </w:r>
      <w:r w:rsidRPr="009E65F8">
        <w:t xml:space="preserve"> § 31 lõike 1 alusel. </w:t>
      </w:r>
    </w:p>
    <w:p w:rsidR="00B6319C" w:rsidRPr="00EB56E7" w:rsidRDefault="00B6319C" w:rsidP="00351253">
      <w:pPr>
        <w:pStyle w:val="ListParagraph"/>
        <w:rPr>
          <w:rFonts w:eastAsiaTheme="majorEastAsia"/>
        </w:rPr>
      </w:pPr>
      <w:r>
        <w:rPr>
          <w:rFonts w:eastAsiaTheme="majorEastAsia"/>
        </w:rPr>
        <w:t xml:space="preserve">Aruandeperioodil </w:t>
      </w:r>
      <w:r w:rsidRPr="00EB56E7">
        <w:rPr>
          <w:rFonts w:eastAsiaTheme="majorEastAsia"/>
        </w:rPr>
        <w:t xml:space="preserve">omandatud kinnistutest </w:t>
      </w:r>
      <w:r>
        <w:rPr>
          <w:rFonts w:eastAsiaTheme="majorEastAsia"/>
        </w:rPr>
        <w:t>92</w:t>
      </w:r>
      <w:r w:rsidRPr="00EB56E7">
        <w:rPr>
          <w:rFonts w:eastAsiaTheme="majorEastAsia"/>
        </w:rPr>
        <w:t xml:space="preserve">% </w:t>
      </w:r>
      <w:r>
        <w:rPr>
          <w:rFonts w:eastAsiaTheme="majorEastAsia"/>
        </w:rPr>
        <w:t xml:space="preserve">(pindalaliselt 99%) </w:t>
      </w:r>
      <w:r w:rsidRPr="00EB56E7">
        <w:rPr>
          <w:rFonts w:eastAsiaTheme="majorEastAsia"/>
        </w:rPr>
        <w:t xml:space="preserve">on </w:t>
      </w:r>
      <w:r>
        <w:rPr>
          <w:rFonts w:eastAsiaTheme="majorEastAsia"/>
        </w:rPr>
        <w:t>omandatud maa riigi omandisse jätmise teel.</w:t>
      </w:r>
    </w:p>
    <w:p w:rsidR="00B6319C" w:rsidRDefault="00B6319C" w:rsidP="00351253">
      <w:pPr>
        <w:pStyle w:val="ListParagraph"/>
        <w:rPr>
          <w:rFonts w:eastAsiaTheme="majorEastAsia"/>
        </w:rPr>
      </w:pPr>
      <w:r w:rsidRPr="00EB56E7">
        <w:rPr>
          <w:rFonts w:eastAsiaTheme="majorEastAsia"/>
        </w:rPr>
        <w:t>Maa riigi omandisse jätmi</w:t>
      </w:r>
      <w:r>
        <w:rPr>
          <w:rFonts w:eastAsiaTheme="majorEastAsia"/>
        </w:rPr>
        <w:t>se kõrgaeg on möödas, viimase nelja aasta keskmisena</w:t>
      </w:r>
      <w:r w:rsidRPr="00EB56E7">
        <w:rPr>
          <w:rFonts w:eastAsiaTheme="majorEastAsia"/>
        </w:rPr>
        <w:t xml:space="preserve"> on riigi omandisse </w:t>
      </w:r>
      <w:r>
        <w:rPr>
          <w:rFonts w:eastAsiaTheme="majorEastAsia"/>
        </w:rPr>
        <w:t>jäetud keskmiselt</w:t>
      </w:r>
      <w:r w:rsidRPr="00EB56E7">
        <w:rPr>
          <w:rFonts w:eastAsiaTheme="majorEastAsia"/>
        </w:rPr>
        <w:t xml:space="preserve"> 6</w:t>
      </w:r>
      <w:r>
        <w:rPr>
          <w:rFonts w:eastAsiaTheme="majorEastAsia"/>
        </w:rPr>
        <w:t>4</w:t>
      </w:r>
      <w:r w:rsidRPr="00EB56E7">
        <w:rPr>
          <w:rFonts w:eastAsiaTheme="majorEastAsia"/>
        </w:rPr>
        <w:t xml:space="preserve"> </w:t>
      </w:r>
      <w:r w:rsidR="00524F93">
        <w:rPr>
          <w:rFonts w:eastAsiaTheme="majorEastAsia"/>
        </w:rPr>
        <w:t>000</w:t>
      </w:r>
      <w:r w:rsidRPr="00EB56E7">
        <w:rPr>
          <w:rFonts w:eastAsiaTheme="majorEastAsia"/>
        </w:rPr>
        <w:t xml:space="preserve"> hektarit maad</w:t>
      </w:r>
      <w:r>
        <w:rPr>
          <w:rFonts w:eastAsiaTheme="majorEastAsia"/>
        </w:rPr>
        <w:t xml:space="preserve"> aastas</w:t>
      </w:r>
      <w:r w:rsidRPr="00EB56E7">
        <w:rPr>
          <w:rFonts w:eastAsiaTheme="majorEastAsia"/>
        </w:rPr>
        <w:t>. Võrreldes 2013. aas</w:t>
      </w:r>
      <w:r>
        <w:rPr>
          <w:rFonts w:eastAsiaTheme="majorEastAsia"/>
        </w:rPr>
        <w:t xml:space="preserve">taga on 2014. aastal toimunud maa riigi omandisse jätmise mahus </w:t>
      </w:r>
      <w:r w:rsidRPr="00EB56E7">
        <w:rPr>
          <w:rFonts w:eastAsiaTheme="majorEastAsia"/>
        </w:rPr>
        <w:t xml:space="preserve">27% </w:t>
      </w:r>
      <w:r>
        <w:rPr>
          <w:rFonts w:eastAsiaTheme="majorEastAsia"/>
        </w:rPr>
        <w:t>langus</w:t>
      </w:r>
      <w:r w:rsidRPr="00EB56E7">
        <w:rPr>
          <w:rFonts w:eastAsiaTheme="majorEastAsia"/>
        </w:rPr>
        <w:t>.</w:t>
      </w:r>
      <w:r>
        <w:rPr>
          <w:rFonts w:eastAsiaTheme="majorEastAsia"/>
        </w:rPr>
        <w:t xml:space="preserve"> Ka riigi omandisse jäetava maaüks</w:t>
      </w:r>
      <w:r w:rsidR="00524F93">
        <w:rPr>
          <w:rFonts w:eastAsiaTheme="majorEastAsia"/>
        </w:rPr>
        <w:t>use keskmine suurus väheneb (vt</w:t>
      </w:r>
      <w:r>
        <w:rPr>
          <w:rFonts w:eastAsiaTheme="majorEastAsia"/>
        </w:rPr>
        <w:t xml:space="preserve"> </w:t>
      </w:r>
      <w:r w:rsidR="00A85FDC">
        <w:rPr>
          <w:rFonts w:eastAsiaTheme="majorEastAsia"/>
        </w:rPr>
        <w:fldChar w:fldCharType="begin"/>
      </w:r>
      <w:r>
        <w:rPr>
          <w:rFonts w:eastAsiaTheme="majorEastAsia"/>
        </w:rPr>
        <w:instrText xml:space="preserve"> REF _Ref417472451 \h </w:instrText>
      </w:r>
      <w:r w:rsidR="00A85FDC">
        <w:rPr>
          <w:rFonts w:eastAsiaTheme="majorEastAsia"/>
        </w:rPr>
      </w:r>
      <w:r w:rsidR="00A85FDC">
        <w:rPr>
          <w:rFonts w:eastAsiaTheme="majorEastAsia"/>
        </w:rPr>
        <w:fldChar w:fldCharType="separate"/>
      </w:r>
      <w:r w:rsidR="00477322">
        <w:t xml:space="preserve">Joonis </w:t>
      </w:r>
      <w:r w:rsidR="00477322">
        <w:rPr>
          <w:noProof/>
        </w:rPr>
        <w:t>8</w:t>
      </w:r>
      <w:r w:rsidR="00A85FDC">
        <w:rPr>
          <w:rFonts w:eastAsiaTheme="majorEastAsia"/>
        </w:rPr>
        <w:fldChar w:fldCharType="end"/>
      </w:r>
      <w:r w:rsidR="00524F93">
        <w:rPr>
          <w:rFonts w:eastAsiaTheme="majorEastAsia"/>
        </w:rPr>
        <w:t>)</w:t>
      </w:r>
      <w:r>
        <w:rPr>
          <w:rFonts w:eastAsiaTheme="majorEastAsia"/>
        </w:rPr>
        <w:t>.</w:t>
      </w:r>
    </w:p>
    <w:p w:rsidR="00B6319C" w:rsidRPr="00313E6E" w:rsidRDefault="00B6319C" w:rsidP="00351253">
      <w:pPr>
        <w:pStyle w:val="ListParagraph"/>
        <w:rPr>
          <w:rFonts w:eastAsiaTheme="majorEastAsia"/>
        </w:rPr>
      </w:pPr>
      <w:r w:rsidRPr="00313E6E">
        <w:rPr>
          <w:rFonts w:eastAsiaTheme="majorEastAsia"/>
        </w:rPr>
        <w:t>Aruandeperioodil on 96% riigi omandisse jäetud maast omandatud Keskkonnaministeeriumi poolt enamasti RMK valdusesse. Maa riigi omandisse jätmist valitsejate kaupa iseloomustab järgnev joonis (</w:t>
      </w:r>
      <w:r w:rsidR="00A85FDC" w:rsidRPr="00313E6E">
        <w:rPr>
          <w:rFonts w:eastAsiaTheme="majorEastAsia"/>
        </w:rPr>
        <w:fldChar w:fldCharType="begin"/>
      </w:r>
      <w:r w:rsidRPr="00313E6E">
        <w:rPr>
          <w:rFonts w:eastAsiaTheme="majorEastAsia"/>
        </w:rPr>
        <w:instrText xml:space="preserve"> REF _Ref417472451 \h </w:instrText>
      </w:r>
      <w:r w:rsidR="00A85FDC" w:rsidRPr="00313E6E">
        <w:rPr>
          <w:rFonts w:eastAsiaTheme="majorEastAsia"/>
        </w:rPr>
      </w:r>
      <w:r w:rsidR="00A85FDC" w:rsidRPr="00313E6E">
        <w:rPr>
          <w:rFonts w:eastAsiaTheme="majorEastAsia"/>
        </w:rPr>
        <w:fldChar w:fldCharType="separate"/>
      </w:r>
      <w:r w:rsidR="00477322">
        <w:t xml:space="preserve">Joonis </w:t>
      </w:r>
      <w:r w:rsidR="00477322">
        <w:rPr>
          <w:noProof/>
        </w:rPr>
        <w:t>8</w:t>
      </w:r>
      <w:r w:rsidR="00A85FDC" w:rsidRPr="00313E6E">
        <w:rPr>
          <w:rFonts w:eastAsiaTheme="majorEastAsia"/>
        </w:rPr>
        <w:fldChar w:fldCharType="end"/>
      </w:r>
      <w:r w:rsidRPr="00313E6E">
        <w:rPr>
          <w:rFonts w:eastAsiaTheme="majorEastAsia"/>
        </w:rPr>
        <w:t>).</w:t>
      </w:r>
    </w:p>
    <w:p w:rsidR="00B6319C" w:rsidRDefault="00B6319C" w:rsidP="00B6319C">
      <w:pPr>
        <w:pStyle w:val="Caption"/>
        <w:jc w:val="both"/>
      </w:pPr>
      <w:bookmarkStart w:id="128" w:name="_Ref417472451"/>
      <w:r>
        <w:t xml:space="preserve">Joonis </w:t>
      </w:r>
      <w:fldSimple w:instr=" SEQ Joonis \* ARABIC ">
        <w:r w:rsidR="00477322">
          <w:rPr>
            <w:noProof/>
          </w:rPr>
          <w:t>8</w:t>
        </w:r>
      </w:fldSimple>
      <w:bookmarkEnd w:id="128"/>
      <w:r>
        <w:t>. Maa riigi omandisse jätmine omandajate kaupa aastate lõikes</w:t>
      </w:r>
    </w:p>
    <w:p w:rsidR="00B6319C" w:rsidRPr="00EE2022" w:rsidRDefault="00B6319C" w:rsidP="00524F93">
      <w:pPr>
        <w:spacing w:before="120"/>
        <w:rPr>
          <w:rFonts w:eastAsiaTheme="majorEastAsia"/>
        </w:rPr>
      </w:pPr>
      <w:r w:rsidRPr="001F0C97">
        <w:rPr>
          <w:rFonts w:eastAsiaTheme="majorEastAsia"/>
          <w:noProof/>
          <w:lang w:eastAsia="et-EE"/>
        </w:rPr>
        <w:drawing>
          <wp:inline distT="0" distB="0" distL="0" distR="0">
            <wp:extent cx="5851525" cy="3865142"/>
            <wp:effectExtent l="19050" t="0" r="15875" b="2008"/>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6319C" w:rsidRPr="00313E6E" w:rsidRDefault="00B6319C" w:rsidP="00351253">
      <w:pPr>
        <w:pStyle w:val="ListParagraph"/>
      </w:pPr>
      <w:r>
        <w:t xml:space="preserve">Maa-ameti poolt </w:t>
      </w:r>
      <w:r w:rsidRPr="00313E6E">
        <w:t xml:space="preserve">2014. aasta detsembris teostatud analüüsi järgi on maareformi käigus vajalik riigi omandisse vormistada veel ca </w:t>
      </w:r>
      <w:smartTag w:uri="urn:schemas-microsoft-com:office:smarttags" w:element="metricconverter">
        <w:smartTagPr>
          <w:attr w:name="ProductID" w:val="125 000 ha"/>
        </w:smartTagPr>
        <w:r w:rsidRPr="00313E6E">
          <w:t>125 000 ha</w:t>
        </w:r>
      </w:smartTag>
      <w:r w:rsidRPr="00313E6E">
        <w:t xml:space="preserve"> maad, millest Maa-ameti portfelli lisandub hinnanguliselt ca </w:t>
      </w:r>
      <w:smartTag w:uri="urn:schemas-microsoft-com:office:smarttags" w:element="metricconverter">
        <w:smartTagPr>
          <w:attr w:name="ProductID" w:val="75 000 ha"/>
        </w:smartTagPr>
        <w:r w:rsidRPr="00313E6E">
          <w:t>75 000 ha</w:t>
        </w:r>
      </w:smartTag>
      <w:r w:rsidRPr="00313E6E">
        <w:t xml:space="preserve"> maad. Sellest maast 20%-30% on looduskaitseliste piirangutega või asu</w:t>
      </w:r>
      <w:r>
        <w:t>b</w:t>
      </w:r>
      <w:r w:rsidRPr="00313E6E">
        <w:t xml:space="preserve"> maardla-alal ja 70%-80% on piiranguteta maa. Kuna maareformi riigimaade osas alles teostatakse, siis selgub maareservi jääva maa lõplik kogus alles maareformi lõpuleviimisel.</w:t>
      </w:r>
    </w:p>
    <w:p w:rsidR="00B6319C" w:rsidRPr="004B76CC" w:rsidRDefault="00B6319C" w:rsidP="0034698C">
      <w:pPr>
        <w:pStyle w:val="Pealkiri3"/>
        <w:rPr>
          <w:rFonts w:eastAsiaTheme="majorEastAsia"/>
        </w:rPr>
      </w:pPr>
      <w:bookmarkStart w:id="129" w:name="_Toc418016349"/>
      <w:bookmarkStart w:id="130" w:name="_Toc433980690"/>
      <w:r w:rsidRPr="006768AA">
        <w:rPr>
          <w:rFonts w:eastAsiaTheme="majorEastAsia"/>
        </w:rPr>
        <w:t>Ostmine</w:t>
      </w:r>
      <w:r w:rsidRPr="004B76CC">
        <w:rPr>
          <w:rFonts w:eastAsiaTheme="majorEastAsia"/>
        </w:rPr>
        <w:t xml:space="preserve"> ja </w:t>
      </w:r>
      <w:r w:rsidRPr="0034698C">
        <w:rPr>
          <w:rFonts w:eastAsiaTheme="majorEastAsia"/>
        </w:rPr>
        <w:t>sundvõõrandamine</w:t>
      </w:r>
      <w:bookmarkEnd w:id="129"/>
      <w:bookmarkEnd w:id="130"/>
    </w:p>
    <w:p w:rsidR="00B6319C" w:rsidRPr="00DB7EFA" w:rsidRDefault="00B6319C" w:rsidP="00351253">
      <w:pPr>
        <w:pStyle w:val="ListParagraph"/>
        <w:rPr>
          <w:rFonts w:eastAsiaTheme="majorEastAsia"/>
        </w:rPr>
      </w:pPr>
      <w:r w:rsidRPr="00DB7EFA">
        <w:rPr>
          <w:rFonts w:eastAsiaTheme="majorEastAsia"/>
          <w:b/>
        </w:rPr>
        <w:t>Riik on</w:t>
      </w:r>
      <w:r w:rsidRPr="00DB7EFA">
        <w:rPr>
          <w:rFonts w:eastAsiaTheme="majorEastAsia"/>
        </w:rPr>
        <w:t xml:space="preserve"> aruandeperioodil kinnisvara </w:t>
      </w:r>
      <w:r w:rsidRPr="00DB7EFA">
        <w:rPr>
          <w:rFonts w:eastAsiaTheme="majorEastAsia"/>
          <w:b/>
        </w:rPr>
        <w:t>ostnud</w:t>
      </w:r>
      <w:r w:rsidRPr="00DB7EFA">
        <w:rPr>
          <w:rFonts w:eastAsiaTheme="majorEastAsia"/>
        </w:rPr>
        <w:t xml:space="preserve"> </w:t>
      </w:r>
      <w:r>
        <w:rPr>
          <w:rFonts w:eastAsiaTheme="majorEastAsia"/>
        </w:rPr>
        <w:t>16</w:t>
      </w:r>
      <w:r w:rsidRPr="00DB7EFA">
        <w:rPr>
          <w:rFonts w:eastAsiaTheme="majorEastAsia"/>
        </w:rPr>
        <w:t xml:space="preserve"> miljoni euro eest, kokku 538 kinnistut pindalaga 282 ha. Sealhulgas on ostetud 18 hoonestatud kinnistut kokku 24 hoonega ja </w:t>
      </w:r>
      <w:r>
        <w:rPr>
          <w:rFonts w:eastAsiaTheme="majorEastAsia"/>
        </w:rPr>
        <w:t xml:space="preserve">hoonete </w:t>
      </w:r>
      <w:r w:rsidRPr="00DB7EFA">
        <w:rPr>
          <w:rFonts w:eastAsiaTheme="majorEastAsia"/>
        </w:rPr>
        <w:t>pinnaga 11 836 m</w:t>
      </w:r>
      <w:r w:rsidRPr="00DB7EFA">
        <w:rPr>
          <w:rFonts w:eastAsiaTheme="majorEastAsia"/>
          <w:vertAlign w:val="superscript"/>
        </w:rPr>
        <w:t>2</w:t>
      </w:r>
      <w:r w:rsidRPr="00DB7EFA">
        <w:rPr>
          <w:rFonts w:eastAsiaTheme="majorEastAsia"/>
        </w:rPr>
        <w:t>:</w:t>
      </w:r>
    </w:p>
    <w:p w:rsidR="00B6319C" w:rsidRDefault="00B6319C" w:rsidP="002F4A30">
      <w:pPr>
        <w:pStyle w:val="ListParagraph"/>
        <w:numPr>
          <w:ilvl w:val="2"/>
          <w:numId w:val="22"/>
        </w:numPr>
        <w:rPr>
          <w:rFonts w:eastAsiaTheme="majorEastAsia"/>
        </w:rPr>
      </w:pPr>
      <w:r w:rsidRPr="00F56692">
        <w:rPr>
          <w:rFonts w:eastAsiaTheme="majorEastAsia"/>
        </w:rPr>
        <w:t>517 ostutehingut on teostatud Majandus- ja Kommunikatsiooniministeeriumi valitsemisalas Maanteeameti poolt teede ehitamiseks vajalike maadena</w:t>
      </w:r>
      <w:r>
        <w:rPr>
          <w:rFonts w:eastAsiaTheme="majorEastAsia"/>
        </w:rPr>
        <w:t>, sh on soetatud 3 hoonestatud kinnistut Tallinn-Tartu-Võru-Luhamaa maantee ehitamise eesmärgil</w:t>
      </w:r>
      <w:r w:rsidRPr="00F56692">
        <w:rPr>
          <w:rFonts w:eastAsiaTheme="majorEastAsia"/>
        </w:rPr>
        <w:t xml:space="preserve">. </w:t>
      </w:r>
    </w:p>
    <w:p w:rsidR="00B6319C" w:rsidRPr="00F56692" w:rsidRDefault="00B6319C" w:rsidP="002F4A30">
      <w:pPr>
        <w:pStyle w:val="ListParagraph"/>
        <w:numPr>
          <w:ilvl w:val="2"/>
          <w:numId w:val="22"/>
        </w:numPr>
        <w:rPr>
          <w:rFonts w:eastAsiaTheme="majorEastAsia"/>
        </w:rPr>
      </w:pPr>
      <w:r w:rsidRPr="00F56692">
        <w:rPr>
          <w:rFonts w:eastAsiaTheme="majorEastAsia"/>
        </w:rPr>
        <w:t>Teised valitsejad on teinud üksikuid ostutehinguid</w:t>
      </w:r>
      <w:r>
        <w:rPr>
          <w:rFonts w:eastAsiaTheme="majorEastAsia"/>
        </w:rPr>
        <w:t xml:space="preserve"> ning kandnud RKVR-i juba varem soetatud varasid</w:t>
      </w:r>
      <w:r w:rsidRPr="00F56692">
        <w:rPr>
          <w:rFonts w:eastAsiaTheme="majorEastAsia"/>
        </w:rPr>
        <w:t xml:space="preserve">. </w:t>
      </w:r>
    </w:p>
    <w:p w:rsidR="00B6319C" w:rsidRPr="00DB7EFA" w:rsidRDefault="00B6319C" w:rsidP="00351253">
      <w:pPr>
        <w:pStyle w:val="ListParagraph"/>
        <w:rPr>
          <w:rFonts w:eastAsiaTheme="majorEastAsia"/>
        </w:rPr>
      </w:pPr>
      <w:r w:rsidRPr="00DB7EFA">
        <w:rPr>
          <w:rFonts w:eastAsiaTheme="majorEastAsia"/>
          <w:b/>
        </w:rPr>
        <w:t>Sundvõõrandamise teel on</w:t>
      </w:r>
      <w:r w:rsidRPr="00DB7EFA">
        <w:rPr>
          <w:rFonts w:eastAsiaTheme="majorEastAsia"/>
        </w:rPr>
        <w:t xml:space="preserve"> Maanteeamet eraisikutelt </w:t>
      </w:r>
      <w:r w:rsidRPr="00DB7EFA">
        <w:rPr>
          <w:rFonts w:eastAsiaTheme="majorEastAsia"/>
          <w:b/>
        </w:rPr>
        <w:t>omandanud</w:t>
      </w:r>
      <w:r w:rsidRPr="00DB7EFA">
        <w:rPr>
          <w:rFonts w:eastAsiaTheme="majorEastAsia"/>
        </w:rPr>
        <w:t xml:space="preserve"> 6 kinnistut</w:t>
      </w:r>
      <w:r>
        <w:rPr>
          <w:rFonts w:eastAsiaTheme="majorEastAsia"/>
        </w:rPr>
        <w:t xml:space="preserve"> väärtusega</w:t>
      </w:r>
      <w:r w:rsidR="00655E30">
        <w:rPr>
          <w:rFonts w:eastAsiaTheme="majorEastAsia"/>
        </w:rPr>
        <w:t xml:space="preserve"> </w:t>
      </w:r>
      <w:r>
        <w:rPr>
          <w:rFonts w:eastAsiaTheme="majorEastAsia"/>
        </w:rPr>
        <w:t>36 000 €. Tegemist</w:t>
      </w:r>
      <w:r w:rsidRPr="00DB7EFA">
        <w:rPr>
          <w:rFonts w:eastAsiaTheme="majorEastAsia"/>
        </w:rPr>
        <w:t xml:space="preserve"> on hoonestamata maaüksus</w:t>
      </w:r>
      <w:r>
        <w:rPr>
          <w:rFonts w:eastAsiaTheme="majorEastAsia"/>
        </w:rPr>
        <w:t>tega</w:t>
      </w:r>
      <w:r w:rsidRPr="00DB7EFA">
        <w:rPr>
          <w:rFonts w:eastAsiaTheme="majorEastAsia"/>
        </w:rPr>
        <w:t xml:space="preserve"> Tallinn-Tartu-Võru-Luhamaa maantee </w:t>
      </w:r>
      <w:r>
        <w:rPr>
          <w:rFonts w:eastAsiaTheme="majorEastAsia"/>
        </w:rPr>
        <w:t>ehitamiseks.</w:t>
      </w:r>
    </w:p>
    <w:p w:rsidR="00B6319C" w:rsidRPr="008C043E" w:rsidRDefault="00B6319C" w:rsidP="0034698C">
      <w:pPr>
        <w:pStyle w:val="Pealkiri3"/>
        <w:rPr>
          <w:rFonts w:eastAsiaTheme="majorEastAsia"/>
        </w:rPr>
      </w:pPr>
      <w:bookmarkStart w:id="131" w:name="_Toc418016350"/>
      <w:bookmarkStart w:id="132" w:name="_Toc433980691"/>
      <w:r w:rsidRPr="008C043E">
        <w:rPr>
          <w:rFonts w:eastAsiaTheme="majorEastAsia"/>
        </w:rPr>
        <w:t xml:space="preserve">Omandist </w:t>
      </w:r>
      <w:r w:rsidRPr="0034698C">
        <w:rPr>
          <w:rFonts w:eastAsiaTheme="majorEastAsia"/>
        </w:rPr>
        <w:t>loobumine</w:t>
      </w:r>
      <w:r w:rsidRPr="008C043E">
        <w:rPr>
          <w:rFonts w:eastAsiaTheme="majorEastAsia"/>
        </w:rPr>
        <w:t>, konfiskeerimine, hõivamine</w:t>
      </w:r>
      <w:bookmarkEnd w:id="131"/>
      <w:bookmarkEnd w:id="132"/>
      <w:r w:rsidRPr="008C043E">
        <w:rPr>
          <w:rFonts w:eastAsiaTheme="majorEastAsia"/>
        </w:rPr>
        <w:t xml:space="preserve"> </w:t>
      </w:r>
    </w:p>
    <w:p w:rsidR="00B6319C" w:rsidRDefault="00B6319C" w:rsidP="00B6319C">
      <w:r>
        <w:t xml:space="preserve">Asjaõigusseaduse (AÕS) alusel </w:t>
      </w:r>
      <w:r w:rsidRPr="003013D1">
        <w:t xml:space="preserve">on </w:t>
      </w:r>
      <w:r>
        <w:t>r</w:t>
      </w:r>
      <w:r w:rsidRPr="003013D1">
        <w:t>iik kohustatud korraldama kinnisasja hõivamist</w:t>
      </w:r>
      <w:r>
        <w:t>, kui tegemist on peremehetu vara või omandist loobumisega</w:t>
      </w:r>
      <w:r w:rsidRPr="003013D1">
        <w:t>.</w:t>
      </w:r>
      <w:r>
        <w:t xml:space="preserve"> Samuti omandab riik karistusseadustiku alusel kohtuotsusega konfiskeeritud vara. Tegemist on üksikute tehingutega.</w:t>
      </w:r>
    </w:p>
    <w:p w:rsidR="00B6319C" w:rsidRPr="007813A3" w:rsidRDefault="00B6319C" w:rsidP="00351253">
      <w:pPr>
        <w:pStyle w:val="ListParagraph"/>
        <w:rPr>
          <w:rFonts w:eastAsiaTheme="majorEastAsia"/>
        </w:rPr>
      </w:pPr>
      <w:r>
        <w:t>Hõivamise juhtumeid oli aruandlusperioodi jooksul kokku 4, konfiskeerimisi 11 ja omandist loobumisi 18. Hõivatud ja konfiskeeritud varade väärtuste kohta RKVR-is infot ei koguta.</w:t>
      </w:r>
    </w:p>
    <w:p w:rsidR="00B6319C" w:rsidRPr="00343ACB" w:rsidRDefault="00B6319C" w:rsidP="00351253">
      <w:pPr>
        <w:pStyle w:val="ListParagraph"/>
        <w:rPr>
          <w:rFonts w:eastAsiaTheme="majorEastAsia"/>
        </w:rPr>
      </w:pPr>
      <w:r w:rsidRPr="00343ACB">
        <w:rPr>
          <w:rFonts w:eastAsiaTheme="majorEastAsia"/>
        </w:rPr>
        <w:t>Aruandlusperioodil on süvenenud praktika, kus eraisikud loobuvad oma varast. Välja on kujunenud kaks mustrit: elamupiirkonnasisestest teemaa kinnistutest ja ääremaastuvates piirkonda</w:t>
      </w:r>
      <w:r>
        <w:rPr>
          <w:rFonts w:eastAsiaTheme="majorEastAsia"/>
        </w:rPr>
        <w:t>des asuvatest (</w:t>
      </w:r>
      <w:r w:rsidR="009E65F8">
        <w:rPr>
          <w:rFonts w:eastAsiaTheme="majorEastAsia"/>
        </w:rPr>
        <w:t>nt Püssi, Mõisaküla) korteriomanditest loob</w:t>
      </w:r>
      <w:r w:rsidRPr="00343ACB">
        <w:rPr>
          <w:rFonts w:eastAsiaTheme="majorEastAsia"/>
        </w:rPr>
        <w:t xml:space="preserve">umine. </w:t>
      </w:r>
    </w:p>
    <w:p w:rsidR="0094634D" w:rsidRDefault="009E65F8" w:rsidP="0094634D">
      <w:pPr>
        <w:pStyle w:val="ListParagraph"/>
        <w:rPr>
          <w:rFonts w:eastAsiaTheme="majorEastAsia"/>
        </w:rPr>
      </w:pPr>
      <w:r>
        <w:rPr>
          <w:rFonts w:eastAsiaTheme="majorEastAsia"/>
        </w:rPr>
        <w:t>AÕS-i</w:t>
      </w:r>
      <w:r w:rsidR="00B6319C" w:rsidRPr="00343ACB">
        <w:rPr>
          <w:rFonts w:eastAsiaTheme="majorEastAsia"/>
        </w:rPr>
        <w:t xml:space="preserve"> kohaselt on omandist loobutud kinnistute hõivajaks </w:t>
      </w:r>
      <w:r w:rsidR="00BA62A1">
        <w:rPr>
          <w:rFonts w:eastAsiaTheme="majorEastAsia"/>
        </w:rPr>
        <w:t>riik</w:t>
      </w:r>
      <w:r w:rsidR="00B6319C" w:rsidRPr="00343ACB">
        <w:rPr>
          <w:rFonts w:eastAsiaTheme="majorEastAsia"/>
        </w:rPr>
        <w:t xml:space="preserve">. Kohaliku omavalitsuse korralduse seaduse (KOKS) § 6 kohaselt on kohalik omavalitsus vastutav teede ja tänavate korrashoiu eest, kuid antud juhul on teemaade omandist loobumised problemaatilised, kuna loobutud maatükkidel ei ole teed ega tänavavalgustus välja </w:t>
      </w:r>
      <w:r>
        <w:rPr>
          <w:rFonts w:eastAsiaTheme="majorEastAsia"/>
        </w:rPr>
        <w:t>ehitatud</w:t>
      </w:r>
      <w:r w:rsidR="00B6319C" w:rsidRPr="00343ACB">
        <w:rPr>
          <w:rFonts w:eastAsiaTheme="majorEastAsia"/>
        </w:rPr>
        <w:t>. Taristu väljaehitamisega kaasnevad kohustused, millest kinnistu eelmine omanik on loobunud. Kohalikku omavalitsust ei saa kohustada selliseid kinnistuid üle võtma, samas ei ole ka riik huvitatud kohustusi enda kanda võtma. Võimalus on teemaa kinnistud võõrandada kohalikele elanikele, kelle huvi taristu välja ehitamiseks on kõige tugevam. Iga üksikjuhtum on siiski oma nüanssidega ning ka kohalikud elanikud ei pruugi olla kulude kandmisest huvitatud.</w:t>
      </w:r>
    </w:p>
    <w:p w:rsidR="00B6319C" w:rsidRDefault="00B6319C" w:rsidP="0094634D">
      <w:pPr>
        <w:pStyle w:val="ListParagraph"/>
        <w:rPr>
          <w:rFonts w:eastAsiaTheme="majorEastAsia"/>
        </w:rPr>
      </w:pPr>
      <w:r w:rsidRPr="0094634D">
        <w:rPr>
          <w:rFonts w:eastAsiaTheme="majorEastAsia"/>
        </w:rPr>
        <w:t>Loobutud korteriomandid asuvad sageli maha jäetud majades, kus elanikke enam pole. Selliste korterite hõivamisega saab riik endale kohustuse ja vastutuse, turg neile korteritele sageli puudub.</w:t>
      </w:r>
    </w:p>
    <w:p w:rsidR="00FE2E29" w:rsidRPr="0094634D" w:rsidRDefault="00FE2E29" w:rsidP="0094634D">
      <w:pPr>
        <w:pStyle w:val="ListParagraph"/>
        <w:rPr>
          <w:rFonts w:eastAsiaTheme="majorEastAsia"/>
        </w:rPr>
      </w:pPr>
      <w:r>
        <w:rPr>
          <w:rFonts w:eastAsiaTheme="majorEastAsia"/>
        </w:rPr>
        <w:t>Praegune praktika on olnud suunata need probleemsed kinnistud RKAS-le kui mittevajalik vara, kuid hoonestamata maade puhul võib kohasem olla suunata varad Keskkonnaministeeriumi ühtsesse riigi reservmaade portfelli ning korterid Sotsiaalministeeriumi valitsemisalasse sotsiaalsete vajadusteks, kuna nende realiseerimine vabal turul on ilmselt vähetõenäoline.</w:t>
      </w:r>
    </w:p>
    <w:p w:rsidR="00B6319C" w:rsidRPr="0034698C" w:rsidRDefault="00B6319C" w:rsidP="0034698C">
      <w:pPr>
        <w:pStyle w:val="Pealkiri3"/>
      </w:pPr>
      <w:bookmarkStart w:id="133" w:name="_Toc418016351"/>
      <w:bookmarkStart w:id="134" w:name="_Toc433980692"/>
      <w:r w:rsidRPr="0034698C">
        <w:t>Omandamine ja tasaarveldamine looduskaitseseaduse alusel</w:t>
      </w:r>
      <w:bookmarkEnd w:id="133"/>
      <w:bookmarkEnd w:id="134"/>
    </w:p>
    <w:p w:rsidR="00B6319C" w:rsidRDefault="00B6319C" w:rsidP="00B6319C">
      <w:r w:rsidRPr="00C16960">
        <w:t>Looduskaitseseaduse alusel</w:t>
      </w:r>
      <w:r>
        <w:t xml:space="preserve"> omandab riik kinnisasja kolmel juhul:</w:t>
      </w:r>
    </w:p>
    <w:p w:rsidR="00B6319C" w:rsidRPr="00C61F78" w:rsidRDefault="00B6319C" w:rsidP="00546781">
      <w:pPr>
        <w:pStyle w:val="Loend1"/>
        <w:numPr>
          <w:ilvl w:val="0"/>
          <w:numId w:val="11"/>
        </w:numPr>
      </w:pPr>
      <w:r w:rsidRPr="00C61F78">
        <w:t xml:space="preserve">Kokkuleppel kinnisasja omanikuga kinnisasja väärtusele vastava tasu eest, kui kinnisasi </w:t>
      </w:r>
      <w:r>
        <w:t>sisaldab</w:t>
      </w:r>
      <w:r w:rsidRPr="00C61F78">
        <w:t xml:space="preserve"> kaitstavat looduse üksikobjekti või asub kogu ulatuses kaitsealal, hoiualal või püsielupaigas ning kaitsekord piirab oluliselt kinnistu sihtotstarbelist kasutamist.</w:t>
      </w:r>
    </w:p>
    <w:p w:rsidR="00B6319C" w:rsidRPr="006305FC" w:rsidRDefault="00B6319C" w:rsidP="00546781">
      <w:pPr>
        <w:pStyle w:val="Loend1"/>
        <w:numPr>
          <w:ilvl w:val="0"/>
          <w:numId w:val="11"/>
        </w:numPr>
      </w:pPr>
      <w:r w:rsidRPr="00C61F78">
        <w:t>Ostueesõiguse teostamisel, kui kinnisasi asub tervenisti või osaliselt ranna ehituskeeluvööndis, I kaitsekategooria liigi püsielupaigas, kaitstava looduse üksikobjekti piiranguvööndis, kaitsealal või hoiualal.</w:t>
      </w:r>
    </w:p>
    <w:p w:rsidR="00B6319C" w:rsidRDefault="00B6319C" w:rsidP="00546781">
      <w:pPr>
        <w:pStyle w:val="Loend1"/>
        <w:numPr>
          <w:ilvl w:val="0"/>
          <w:numId w:val="11"/>
        </w:numPr>
      </w:pPr>
      <w:r w:rsidRPr="006305FC">
        <w:t>Riigimaa enampakkumisel müüdud kinnistute väärtuse tasaarvestamine looduskaitsemaadega</w:t>
      </w:r>
      <w:r>
        <w:t>. Looduskaitseseaduse 15.04.2013 jõustunud muudatusega tunnistati tasaarvestamise alused kehtetuks, kuid enne seda kuupäeva esitatud taotlused menetletakse lõpuni.</w:t>
      </w:r>
    </w:p>
    <w:p w:rsidR="00B6319C" w:rsidRPr="00824FBE" w:rsidRDefault="00B6319C" w:rsidP="00B6319C">
      <w:r>
        <w:t>Looduskaitseseaduse alusel on aruandlusperioodil omandatud 115 hoonestamata kinnistut pindalaga 986,</w:t>
      </w:r>
      <w:r w:rsidR="00644EFB">
        <w:t>4 ha, kõik tehingud teostati Maa-ameti</w:t>
      </w:r>
      <w:r>
        <w:t xml:space="preserve"> poolt</w:t>
      </w:r>
      <w:r w:rsidR="00644EFB">
        <w:t xml:space="preserve"> ning riigile omandatud kinnistud on üle antud RMK-le</w:t>
      </w:r>
      <w:r>
        <w:t>. Looduskaitseseaduse alusel on kinnistuid omandatud 6,29 miljoni euro eest ja tasaarveldusi on tehtud 3,75 miljoni euro väärtuses.</w:t>
      </w:r>
    </w:p>
    <w:p w:rsidR="00B6319C" w:rsidRPr="0034698C" w:rsidRDefault="00B6319C" w:rsidP="0034698C">
      <w:pPr>
        <w:pStyle w:val="Pealkiri3"/>
      </w:pPr>
      <w:bookmarkStart w:id="135" w:name="_Toc418016352"/>
      <w:bookmarkStart w:id="136" w:name="_Toc433980693"/>
      <w:r w:rsidRPr="0034698C">
        <w:t>Pärimine ja kinkimine</w:t>
      </w:r>
      <w:bookmarkEnd w:id="135"/>
      <w:bookmarkEnd w:id="136"/>
    </w:p>
    <w:p w:rsidR="00B6319C" w:rsidRPr="00192A19" w:rsidRDefault="00B6319C" w:rsidP="00B6319C">
      <w:r w:rsidRPr="00192A19">
        <w:t>Riik võib omandada vara ka pärimise teel. Pärimisseaduse alusel on riik pärijaks, kui pärand on avanenud välisriigis ja pärimisele kohaldatakse Eesti õigust. Ühtegi riigile kinnis</w:t>
      </w:r>
      <w:r>
        <w:t>vara pärandamise juhtumit aruandeperioodil</w:t>
      </w:r>
      <w:r w:rsidRPr="00192A19">
        <w:t xml:space="preserve"> RKVR</w:t>
      </w:r>
      <w:r>
        <w:t>-</w:t>
      </w:r>
      <w:r w:rsidRPr="00192A19">
        <w:t>is registreeritud ei ole.</w:t>
      </w:r>
    </w:p>
    <w:p w:rsidR="00B6319C" w:rsidRPr="00192A19" w:rsidRDefault="00B6319C" w:rsidP="00B6319C">
      <w:r w:rsidRPr="00192A19">
        <w:t>RKVR</w:t>
      </w:r>
      <w:r>
        <w:t>-</w:t>
      </w:r>
      <w:r w:rsidRPr="00192A19">
        <w:t>is on registreeritud</w:t>
      </w:r>
      <w:r>
        <w:t xml:space="preserve"> </w:t>
      </w:r>
      <w:r w:rsidRPr="00192A19">
        <w:t>üks juhtum, kus vara on riigile kingitud: Kaitseliit andis Kaitseministeeriumil</w:t>
      </w:r>
      <w:r>
        <w:t>e tasuta üle kinnistu Rakveres.</w:t>
      </w:r>
    </w:p>
    <w:p w:rsidR="00B6319C" w:rsidRDefault="00B6319C" w:rsidP="0034698C">
      <w:pPr>
        <w:pStyle w:val="Pealkiri2"/>
      </w:pPr>
      <w:bookmarkStart w:id="137" w:name="_Toc411870324"/>
      <w:bookmarkStart w:id="138" w:name="_Toc418016353"/>
      <w:bookmarkStart w:id="139" w:name="_Toc433980694"/>
      <w:r>
        <w:t xml:space="preserve">Riigivara </w:t>
      </w:r>
      <w:r w:rsidRPr="0034698C">
        <w:t>võõrandamine</w:t>
      </w:r>
      <w:bookmarkEnd w:id="137"/>
      <w:bookmarkEnd w:id="138"/>
      <w:bookmarkEnd w:id="139"/>
    </w:p>
    <w:p w:rsidR="00AC06E0" w:rsidRDefault="00B6319C" w:rsidP="00B6319C">
      <w:r w:rsidRPr="003A71E7">
        <w:t>Vastavalt riigivaraseaduse §</w:t>
      </w:r>
      <w:r w:rsidR="003C1291">
        <w:t xml:space="preserve">-le </w:t>
      </w:r>
      <w:r w:rsidRPr="003A71E7">
        <w:t>29 võib riigivara võõrandada, kui</w:t>
      </w:r>
      <w:r w:rsidRPr="00501C45">
        <w:t xml:space="preserve"> </w:t>
      </w:r>
      <w:r w:rsidRPr="00EE4708">
        <w:t xml:space="preserve">vara ei ole vajalik riigivara valitsejale või volitatud </w:t>
      </w:r>
      <w:r w:rsidRPr="00215646">
        <w:t xml:space="preserve">asutusele </w:t>
      </w:r>
      <w:r w:rsidRPr="003A71E7">
        <w:t>riigivõimu teostamiseks või muul avalikul eesmärgil.</w:t>
      </w:r>
    </w:p>
    <w:p w:rsidR="00AC06E0" w:rsidRPr="00AC06E0" w:rsidRDefault="00AC06E0" w:rsidP="00351253">
      <w:pPr>
        <w:pStyle w:val="ListParagraph"/>
      </w:pPr>
      <w:r w:rsidRPr="00AC06E0">
        <w:t>Riigivara võõrandatakse:</w:t>
      </w:r>
    </w:p>
    <w:p w:rsidR="00AC06E0" w:rsidRDefault="00F7540A" w:rsidP="00B5232C">
      <w:pPr>
        <w:pStyle w:val="Loend1"/>
      </w:pPr>
      <w:r>
        <w:t>avalikul enampakkumisel,</w:t>
      </w:r>
    </w:p>
    <w:p w:rsidR="00AC06E0" w:rsidRDefault="00AC06E0" w:rsidP="00B5232C">
      <w:pPr>
        <w:pStyle w:val="Loend1"/>
      </w:pPr>
      <w:r w:rsidRPr="003A71E7">
        <w:t>valikpakkumisel või</w:t>
      </w:r>
    </w:p>
    <w:p w:rsidR="00AC06E0" w:rsidRDefault="00AC06E0" w:rsidP="00B5232C">
      <w:pPr>
        <w:pStyle w:val="Loend1"/>
      </w:pPr>
      <w:r w:rsidRPr="003A71E7">
        <w:t>otsustuskorras</w:t>
      </w:r>
      <w:r>
        <w:t xml:space="preserve">. </w:t>
      </w:r>
    </w:p>
    <w:p w:rsidR="00B6319C" w:rsidRPr="003A71E7" w:rsidRDefault="00B6319C" w:rsidP="00351253">
      <w:pPr>
        <w:pStyle w:val="ListParagraph"/>
      </w:pPr>
      <w:r>
        <w:t>Riigivaraseaduse §</w:t>
      </w:r>
      <w:r w:rsidR="008C0F2D">
        <w:t xml:space="preserve"> </w:t>
      </w:r>
      <w:r>
        <w:t>51</w:t>
      </w:r>
      <w:r w:rsidRPr="00BB2094">
        <w:t xml:space="preserve"> </w:t>
      </w:r>
      <w:r>
        <w:t>sätestab</w:t>
      </w:r>
      <w:r w:rsidRPr="00BB2094">
        <w:t xml:space="preserve"> võõrandamise erisused riigivara üleandmisel mitterahalise sissemaksena eraõiguslikule juriidilisele isikule</w:t>
      </w:r>
      <w:r>
        <w:t xml:space="preserve"> aktsiakapitali suurendamise teel.</w:t>
      </w:r>
    </w:p>
    <w:p w:rsidR="00F7540A" w:rsidRDefault="00F7540A" w:rsidP="00351253">
      <w:pPr>
        <w:pStyle w:val="ListParagraph"/>
      </w:pPr>
      <w:r w:rsidRPr="003A71E7">
        <w:t>Valikpakkumisel võõrandamisi aruandeperioodil läbi viidud ei ole.</w:t>
      </w:r>
      <w:r>
        <w:t xml:space="preserve"> </w:t>
      </w:r>
    </w:p>
    <w:p w:rsidR="00B6319C" w:rsidRDefault="00B6319C" w:rsidP="00351253">
      <w:pPr>
        <w:pStyle w:val="ListParagraph"/>
      </w:pPr>
      <w:r>
        <w:t>Aruandeperioodil on riik võõrandanud 3 872 kinnistut (neist hoonestatud 270) kokku maa pindalaga 25 717 ha ja hoonete pindalaga 379 086 m</w:t>
      </w:r>
      <w:r w:rsidRPr="00343ACB">
        <w:rPr>
          <w:vertAlign w:val="superscript"/>
        </w:rPr>
        <w:t>2</w:t>
      </w:r>
      <w:r>
        <w:t xml:space="preserve">. </w:t>
      </w:r>
    </w:p>
    <w:p w:rsidR="00B6319C" w:rsidRDefault="00B6319C" w:rsidP="00B6319C">
      <w:pPr>
        <w:pStyle w:val="Caption"/>
      </w:pPr>
      <w:r>
        <w:t xml:space="preserve">Tabel </w:t>
      </w:r>
      <w:fldSimple w:instr=" SEQ Tabel \* ARABIC ">
        <w:r w:rsidR="00477322">
          <w:rPr>
            <w:noProof/>
          </w:rPr>
          <w:t>3</w:t>
        </w:r>
      </w:fldSimple>
      <w:r>
        <w:t>. Riigivara võõrandamine</w:t>
      </w:r>
      <w:r w:rsidR="008C0F2D">
        <w:t xml:space="preserve"> liikide kaupa</w:t>
      </w:r>
      <w:r>
        <w:t xml:space="preserve"> aastatel 2013-2014</w:t>
      </w:r>
    </w:p>
    <w:tbl>
      <w:tblPr>
        <w:tblW w:w="9219" w:type="dxa"/>
        <w:tblInd w:w="65" w:type="dxa"/>
        <w:tblCellMar>
          <w:left w:w="70" w:type="dxa"/>
          <w:right w:w="70" w:type="dxa"/>
        </w:tblCellMar>
        <w:tblLook w:val="04A0"/>
      </w:tblPr>
      <w:tblGrid>
        <w:gridCol w:w="1501"/>
        <w:gridCol w:w="1088"/>
        <w:gridCol w:w="1102"/>
        <w:gridCol w:w="1417"/>
        <w:gridCol w:w="891"/>
        <w:gridCol w:w="1377"/>
        <w:gridCol w:w="1843"/>
      </w:tblGrid>
      <w:tr w:rsidR="00B6319C" w:rsidRPr="0098052C" w:rsidTr="003C1291">
        <w:trPr>
          <w:trHeight w:hRule="exact" w:val="567"/>
        </w:trPr>
        <w:tc>
          <w:tcPr>
            <w:tcW w:w="1501" w:type="dxa"/>
            <w:tcBorders>
              <w:top w:val="single" w:sz="4" w:space="0" w:color="auto"/>
              <w:left w:val="single" w:sz="4" w:space="0" w:color="auto"/>
              <w:bottom w:val="nil"/>
              <w:right w:val="single" w:sz="4" w:space="0" w:color="auto"/>
            </w:tcBorders>
            <w:shd w:val="clear" w:color="DBE5F1" w:fill="DBEEF3"/>
            <w:hideMark/>
          </w:tcPr>
          <w:p w:rsidR="00B6319C" w:rsidRPr="0098052C" w:rsidRDefault="00B6319C" w:rsidP="0098052C">
            <w:pPr>
              <w:spacing w:before="120"/>
              <w:jc w:val="center"/>
              <w:rPr>
                <w:rFonts w:cs="Arial"/>
                <w:b/>
                <w:bCs/>
                <w:color w:val="000000"/>
                <w:sz w:val="17"/>
                <w:szCs w:val="17"/>
                <w:lang w:eastAsia="et-EE"/>
              </w:rPr>
            </w:pPr>
            <w:r w:rsidRPr="0098052C">
              <w:rPr>
                <w:rFonts w:cs="Arial"/>
                <w:b/>
                <w:bCs/>
                <w:color w:val="000000"/>
                <w:sz w:val="17"/>
                <w:szCs w:val="17"/>
                <w:lang w:eastAsia="et-EE"/>
              </w:rPr>
              <w:t>Võõrandamise liik</w:t>
            </w:r>
          </w:p>
        </w:tc>
        <w:tc>
          <w:tcPr>
            <w:tcW w:w="1088" w:type="dxa"/>
            <w:tcBorders>
              <w:top w:val="single" w:sz="4" w:space="0" w:color="auto"/>
              <w:left w:val="nil"/>
              <w:bottom w:val="single" w:sz="4" w:space="0" w:color="auto"/>
              <w:right w:val="single" w:sz="4" w:space="0" w:color="auto"/>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Aasta</w:t>
            </w:r>
          </w:p>
        </w:tc>
        <w:tc>
          <w:tcPr>
            <w:tcW w:w="1102" w:type="dxa"/>
            <w:tcBorders>
              <w:top w:val="single" w:sz="4" w:space="0" w:color="auto"/>
              <w:left w:val="nil"/>
              <w:bottom w:val="single" w:sz="4" w:space="0" w:color="auto"/>
              <w:right w:val="nil"/>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Kinnistute arv</w:t>
            </w:r>
          </w:p>
        </w:tc>
        <w:tc>
          <w:tcPr>
            <w:tcW w:w="1417" w:type="dxa"/>
            <w:tcBorders>
              <w:top w:val="single" w:sz="4" w:space="0" w:color="auto"/>
              <w:left w:val="single" w:sz="4" w:space="0" w:color="auto"/>
              <w:bottom w:val="single" w:sz="4" w:space="0" w:color="auto"/>
              <w:right w:val="single" w:sz="4" w:space="0" w:color="auto"/>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Kinnistute pindala (ha)</w:t>
            </w:r>
          </w:p>
        </w:tc>
        <w:tc>
          <w:tcPr>
            <w:tcW w:w="891" w:type="dxa"/>
            <w:tcBorders>
              <w:top w:val="single" w:sz="4" w:space="0" w:color="auto"/>
              <w:left w:val="nil"/>
              <w:bottom w:val="single" w:sz="4" w:space="0" w:color="auto"/>
              <w:right w:val="single" w:sz="4" w:space="0" w:color="auto"/>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Hoonete arv</w:t>
            </w:r>
          </w:p>
        </w:tc>
        <w:tc>
          <w:tcPr>
            <w:tcW w:w="1377" w:type="dxa"/>
            <w:tcBorders>
              <w:top w:val="single" w:sz="4" w:space="0" w:color="auto"/>
              <w:left w:val="nil"/>
              <w:bottom w:val="single" w:sz="4" w:space="0" w:color="auto"/>
              <w:right w:val="single" w:sz="4" w:space="0" w:color="auto"/>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Hoonete pind (m²)</w:t>
            </w:r>
          </w:p>
        </w:tc>
        <w:tc>
          <w:tcPr>
            <w:tcW w:w="1843" w:type="dxa"/>
            <w:tcBorders>
              <w:top w:val="single" w:sz="4" w:space="0" w:color="auto"/>
              <w:left w:val="nil"/>
              <w:bottom w:val="single" w:sz="4" w:space="0" w:color="auto"/>
              <w:right w:val="single" w:sz="4" w:space="0" w:color="auto"/>
            </w:tcBorders>
            <w:shd w:val="clear" w:color="000000" w:fill="DBEEF3"/>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Tehingu väärtus/ hind (€)</w:t>
            </w:r>
          </w:p>
        </w:tc>
      </w:tr>
      <w:tr w:rsidR="00B6319C" w:rsidRPr="0098052C" w:rsidTr="003C1291">
        <w:trPr>
          <w:trHeight w:hRule="exact" w:val="340"/>
        </w:trPr>
        <w:tc>
          <w:tcPr>
            <w:tcW w:w="15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6319C" w:rsidRPr="0098052C" w:rsidRDefault="00B6319C" w:rsidP="003C1291">
            <w:pPr>
              <w:spacing w:before="120"/>
              <w:jc w:val="center"/>
              <w:rPr>
                <w:rFonts w:cs="Arial"/>
                <w:sz w:val="17"/>
                <w:szCs w:val="17"/>
                <w:lang w:eastAsia="et-EE"/>
              </w:rPr>
            </w:pPr>
            <w:r w:rsidRPr="0098052C">
              <w:rPr>
                <w:rFonts w:cs="Arial"/>
                <w:sz w:val="17"/>
                <w:szCs w:val="17"/>
                <w:lang w:eastAsia="et-EE"/>
              </w:rPr>
              <w:t>Otsustuskorras</w:t>
            </w: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2013</w:t>
            </w:r>
          </w:p>
        </w:tc>
        <w:tc>
          <w:tcPr>
            <w:tcW w:w="1102"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986</w:t>
            </w:r>
          </w:p>
        </w:tc>
        <w:tc>
          <w:tcPr>
            <w:tcW w:w="1417"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8 696,60</w:t>
            </w:r>
          </w:p>
        </w:tc>
        <w:tc>
          <w:tcPr>
            <w:tcW w:w="891"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56</w:t>
            </w:r>
          </w:p>
        </w:tc>
        <w:tc>
          <w:tcPr>
            <w:tcW w:w="1377"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16 374</w:t>
            </w:r>
          </w:p>
        </w:tc>
        <w:tc>
          <w:tcPr>
            <w:tcW w:w="1843"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color w:val="000000"/>
                <w:sz w:val="17"/>
                <w:szCs w:val="17"/>
                <w:lang w:eastAsia="et-EE"/>
              </w:rPr>
            </w:pPr>
            <w:r w:rsidRPr="0098052C">
              <w:rPr>
                <w:rFonts w:cs="Arial"/>
                <w:color w:val="000000"/>
                <w:sz w:val="17"/>
                <w:szCs w:val="17"/>
                <w:lang w:eastAsia="et-EE"/>
              </w:rPr>
              <w:t>26 456 779</w:t>
            </w:r>
          </w:p>
        </w:tc>
      </w:tr>
      <w:tr w:rsidR="00B6319C" w:rsidRPr="0098052C" w:rsidTr="003C1291">
        <w:trPr>
          <w:trHeight w:hRule="exact" w:val="340"/>
        </w:trPr>
        <w:tc>
          <w:tcPr>
            <w:tcW w:w="1501" w:type="dxa"/>
            <w:vMerge/>
            <w:tcBorders>
              <w:top w:val="single" w:sz="4" w:space="0" w:color="auto"/>
              <w:left w:val="single" w:sz="4" w:space="0" w:color="auto"/>
              <w:bottom w:val="single" w:sz="4" w:space="0" w:color="000000"/>
              <w:right w:val="single" w:sz="4" w:space="0" w:color="auto"/>
            </w:tcBorders>
            <w:vAlign w:val="center"/>
            <w:hideMark/>
          </w:tcPr>
          <w:p w:rsidR="00B6319C" w:rsidRPr="0098052C" w:rsidRDefault="00B6319C" w:rsidP="003C1291">
            <w:pPr>
              <w:spacing w:before="120"/>
              <w:jc w:val="center"/>
              <w:rPr>
                <w:rFonts w:cs="Arial"/>
                <w:sz w:val="17"/>
                <w:szCs w:val="17"/>
                <w:lang w:eastAsia="et-EE"/>
              </w:rPr>
            </w:pP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2014</w:t>
            </w:r>
          </w:p>
        </w:tc>
        <w:tc>
          <w:tcPr>
            <w:tcW w:w="1102"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1116</w:t>
            </w:r>
          </w:p>
        </w:tc>
        <w:tc>
          <w:tcPr>
            <w:tcW w:w="1417"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6 399,74</w:t>
            </w:r>
          </w:p>
        </w:tc>
        <w:tc>
          <w:tcPr>
            <w:tcW w:w="891"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136</w:t>
            </w:r>
          </w:p>
        </w:tc>
        <w:tc>
          <w:tcPr>
            <w:tcW w:w="1377" w:type="dxa"/>
            <w:tcBorders>
              <w:top w:val="nil"/>
              <w:left w:val="nil"/>
              <w:bottom w:val="single" w:sz="4" w:space="0" w:color="auto"/>
              <w:right w:val="single" w:sz="4" w:space="0" w:color="auto"/>
            </w:tcBorders>
            <w:shd w:val="clear" w:color="000000"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50 060</w:t>
            </w:r>
          </w:p>
        </w:tc>
        <w:tc>
          <w:tcPr>
            <w:tcW w:w="1843"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color w:val="000000"/>
                <w:sz w:val="17"/>
                <w:szCs w:val="17"/>
                <w:lang w:eastAsia="et-EE"/>
              </w:rPr>
            </w:pPr>
            <w:r w:rsidRPr="0098052C">
              <w:rPr>
                <w:rFonts w:cs="Arial"/>
                <w:color w:val="000000"/>
                <w:sz w:val="17"/>
                <w:szCs w:val="17"/>
                <w:lang w:eastAsia="et-EE"/>
              </w:rPr>
              <w:t>24 237 092</w:t>
            </w:r>
          </w:p>
        </w:tc>
      </w:tr>
      <w:tr w:rsidR="00B6319C" w:rsidRPr="0098052C" w:rsidTr="003C1291">
        <w:trPr>
          <w:trHeight w:hRule="exact" w:val="340"/>
        </w:trPr>
        <w:tc>
          <w:tcPr>
            <w:tcW w:w="1501" w:type="dxa"/>
            <w:vMerge w:val="restart"/>
            <w:tcBorders>
              <w:top w:val="nil"/>
              <w:left w:val="single" w:sz="4" w:space="0" w:color="auto"/>
              <w:bottom w:val="single" w:sz="4" w:space="0" w:color="000000"/>
              <w:right w:val="single" w:sz="4" w:space="0" w:color="auto"/>
            </w:tcBorders>
            <w:shd w:val="clear" w:color="auto" w:fill="auto"/>
            <w:vAlign w:val="center"/>
            <w:hideMark/>
          </w:tcPr>
          <w:p w:rsidR="00B6319C" w:rsidRPr="0098052C" w:rsidRDefault="00B6319C" w:rsidP="003C1291">
            <w:pPr>
              <w:spacing w:before="120"/>
              <w:jc w:val="center"/>
              <w:rPr>
                <w:rFonts w:cs="Arial"/>
                <w:sz w:val="17"/>
                <w:szCs w:val="17"/>
                <w:lang w:eastAsia="et-EE"/>
              </w:rPr>
            </w:pPr>
            <w:r w:rsidRPr="0098052C">
              <w:rPr>
                <w:rFonts w:cs="Arial"/>
                <w:sz w:val="17"/>
                <w:szCs w:val="17"/>
                <w:lang w:eastAsia="et-EE"/>
              </w:rPr>
              <w:t>Avalikul enampakkumisel</w:t>
            </w: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2013</w:t>
            </w:r>
          </w:p>
        </w:tc>
        <w:tc>
          <w:tcPr>
            <w:tcW w:w="1102"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858</w:t>
            </w:r>
          </w:p>
        </w:tc>
        <w:tc>
          <w:tcPr>
            <w:tcW w:w="1417"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6 598,68</w:t>
            </w:r>
          </w:p>
        </w:tc>
        <w:tc>
          <w:tcPr>
            <w:tcW w:w="891"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70</w:t>
            </w:r>
          </w:p>
        </w:tc>
        <w:tc>
          <w:tcPr>
            <w:tcW w:w="1377"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12 301</w:t>
            </w:r>
          </w:p>
        </w:tc>
        <w:tc>
          <w:tcPr>
            <w:tcW w:w="1843"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color w:val="000000"/>
                <w:sz w:val="17"/>
                <w:szCs w:val="17"/>
                <w:lang w:eastAsia="et-EE"/>
              </w:rPr>
            </w:pPr>
            <w:r w:rsidRPr="0098052C">
              <w:rPr>
                <w:rFonts w:cs="Arial"/>
                <w:color w:val="000000"/>
                <w:sz w:val="17"/>
                <w:szCs w:val="17"/>
                <w:lang w:eastAsia="et-EE"/>
              </w:rPr>
              <w:t>19 814 972</w:t>
            </w:r>
          </w:p>
        </w:tc>
      </w:tr>
      <w:tr w:rsidR="00B6319C" w:rsidRPr="0098052C" w:rsidTr="003C1291">
        <w:trPr>
          <w:trHeight w:hRule="exact" w:val="340"/>
        </w:trPr>
        <w:tc>
          <w:tcPr>
            <w:tcW w:w="1501" w:type="dxa"/>
            <w:vMerge/>
            <w:tcBorders>
              <w:top w:val="nil"/>
              <w:left w:val="single" w:sz="4" w:space="0" w:color="auto"/>
              <w:bottom w:val="single" w:sz="4" w:space="0" w:color="000000"/>
              <w:right w:val="single" w:sz="4" w:space="0" w:color="auto"/>
            </w:tcBorders>
            <w:vAlign w:val="center"/>
            <w:hideMark/>
          </w:tcPr>
          <w:p w:rsidR="00B6319C" w:rsidRPr="0098052C" w:rsidRDefault="00B6319C" w:rsidP="003C1291">
            <w:pPr>
              <w:spacing w:before="120"/>
              <w:jc w:val="center"/>
              <w:rPr>
                <w:rFonts w:cs="Arial"/>
                <w:sz w:val="17"/>
                <w:szCs w:val="17"/>
                <w:lang w:eastAsia="et-EE"/>
              </w:rPr>
            </w:pP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2014</w:t>
            </w:r>
          </w:p>
        </w:tc>
        <w:tc>
          <w:tcPr>
            <w:tcW w:w="1102"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626</w:t>
            </w:r>
          </w:p>
        </w:tc>
        <w:tc>
          <w:tcPr>
            <w:tcW w:w="1417"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3 433,67</w:t>
            </w:r>
          </w:p>
        </w:tc>
        <w:tc>
          <w:tcPr>
            <w:tcW w:w="891"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62</w:t>
            </w:r>
          </w:p>
        </w:tc>
        <w:tc>
          <w:tcPr>
            <w:tcW w:w="1377"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11 144</w:t>
            </w:r>
          </w:p>
        </w:tc>
        <w:tc>
          <w:tcPr>
            <w:tcW w:w="1843"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color w:val="000000"/>
                <w:sz w:val="17"/>
                <w:szCs w:val="17"/>
                <w:lang w:eastAsia="et-EE"/>
              </w:rPr>
            </w:pPr>
            <w:r w:rsidRPr="0098052C">
              <w:rPr>
                <w:rFonts w:cs="Arial"/>
                <w:color w:val="000000"/>
                <w:sz w:val="17"/>
                <w:szCs w:val="17"/>
                <w:lang w:eastAsia="et-EE"/>
              </w:rPr>
              <w:t>15 944 241</w:t>
            </w:r>
          </w:p>
        </w:tc>
      </w:tr>
      <w:tr w:rsidR="00B6319C" w:rsidRPr="0098052C" w:rsidTr="003C1291">
        <w:trPr>
          <w:trHeight w:hRule="exact" w:val="340"/>
        </w:trPr>
        <w:tc>
          <w:tcPr>
            <w:tcW w:w="1501" w:type="dxa"/>
            <w:vMerge w:val="restart"/>
            <w:tcBorders>
              <w:top w:val="nil"/>
              <w:left w:val="single" w:sz="4" w:space="0" w:color="auto"/>
              <w:bottom w:val="single" w:sz="4" w:space="0" w:color="000000"/>
              <w:right w:val="single" w:sz="4" w:space="0" w:color="auto"/>
            </w:tcBorders>
            <w:shd w:val="clear" w:color="auto" w:fill="auto"/>
            <w:vAlign w:val="center"/>
            <w:hideMark/>
          </w:tcPr>
          <w:p w:rsidR="00B6319C" w:rsidRPr="0098052C" w:rsidRDefault="00B6319C" w:rsidP="003C1291">
            <w:pPr>
              <w:spacing w:before="120"/>
              <w:jc w:val="center"/>
              <w:rPr>
                <w:rFonts w:cs="Arial"/>
                <w:sz w:val="17"/>
                <w:szCs w:val="17"/>
                <w:lang w:eastAsia="et-EE"/>
              </w:rPr>
            </w:pPr>
            <w:r w:rsidRPr="0098052C">
              <w:rPr>
                <w:rFonts w:cs="Arial"/>
                <w:sz w:val="17"/>
                <w:szCs w:val="17"/>
                <w:lang w:eastAsia="et-EE"/>
              </w:rPr>
              <w:t>Üleandmine mitterahalise sissemaksena</w:t>
            </w: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2013</w:t>
            </w:r>
          </w:p>
        </w:tc>
        <w:tc>
          <w:tcPr>
            <w:tcW w:w="1102"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225</w:t>
            </w:r>
          </w:p>
        </w:tc>
        <w:tc>
          <w:tcPr>
            <w:tcW w:w="1417"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541,13</w:t>
            </w:r>
          </w:p>
        </w:tc>
        <w:tc>
          <w:tcPr>
            <w:tcW w:w="891"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302</w:t>
            </w:r>
          </w:p>
        </w:tc>
        <w:tc>
          <w:tcPr>
            <w:tcW w:w="1377"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220 752</w:t>
            </w:r>
          </w:p>
        </w:tc>
        <w:tc>
          <w:tcPr>
            <w:tcW w:w="1843"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p>
        </w:tc>
      </w:tr>
      <w:tr w:rsidR="00B6319C" w:rsidRPr="0098052C" w:rsidTr="003C1291">
        <w:trPr>
          <w:trHeight w:hRule="exact" w:val="340"/>
        </w:trPr>
        <w:tc>
          <w:tcPr>
            <w:tcW w:w="1501" w:type="dxa"/>
            <w:vMerge/>
            <w:tcBorders>
              <w:top w:val="nil"/>
              <w:left w:val="single" w:sz="4" w:space="0" w:color="auto"/>
              <w:bottom w:val="single" w:sz="4" w:space="0" w:color="000000"/>
              <w:right w:val="single" w:sz="4" w:space="0" w:color="auto"/>
            </w:tcBorders>
            <w:vAlign w:val="center"/>
            <w:hideMark/>
          </w:tcPr>
          <w:p w:rsidR="00B6319C" w:rsidRPr="0098052C" w:rsidRDefault="00B6319C" w:rsidP="003C1291">
            <w:pPr>
              <w:spacing w:before="120"/>
              <w:jc w:val="center"/>
              <w:rPr>
                <w:rFonts w:cs="Arial"/>
                <w:sz w:val="17"/>
                <w:szCs w:val="17"/>
                <w:lang w:eastAsia="et-EE"/>
              </w:rPr>
            </w:pPr>
          </w:p>
        </w:tc>
        <w:tc>
          <w:tcPr>
            <w:tcW w:w="1088"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2014</w:t>
            </w:r>
          </w:p>
        </w:tc>
        <w:tc>
          <w:tcPr>
            <w:tcW w:w="1102"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61</w:t>
            </w:r>
          </w:p>
        </w:tc>
        <w:tc>
          <w:tcPr>
            <w:tcW w:w="1417"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47,87</w:t>
            </w:r>
          </w:p>
        </w:tc>
        <w:tc>
          <w:tcPr>
            <w:tcW w:w="891"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98</w:t>
            </w:r>
          </w:p>
        </w:tc>
        <w:tc>
          <w:tcPr>
            <w:tcW w:w="1377" w:type="dxa"/>
            <w:tcBorders>
              <w:top w:val="nil"/>
              <w:left w:val="nil"/>
              <w:bottom w:val="single" w:sz="4" w:space="0" w:color="auto"/>
              <w:right w:val="single" w:sz="4" w:space="0" w:color="auto"/>
            </w:tcBorders>
            <w:shd w:val="clear" w:color="DBE5F1" w:fill="FFFFFF"/>
            <w:noWrap/>
            <w:hideMark/>
          </w:tcPr>
          <w:p w:rsidR="00B6319C" w:rsidRPr="0098052C" w:rsidRDefault="00B6319C" w:rsidP="0098052C">
            <w:pPr>
              <w:spacing w:before="120"/>
              <w:jc w:val="center"/>
              <w:rPr>
                <w:rFonts w:cs="Arial"/>
                <w:sz w:val="17"/>
                <w:szCs w:val="17"/>
                <w:lang w:eastAsia="et-EE"/>
              </w:rPr>
            </w:pPr>
            <w:r w:rsidRPr="0098052C">
              <w:rPr>
                <w:rFonts w:cs="Arial"/>
                <w:sz w:val="17"/>
                <w:szCs w:val="17"/>
                <w:lang w:eastAsia="et-EE"/>
              </w:rPr>
              <w:t>68 454</w:t>
            </w:r>
          </w:p>
        </w:tc>
        <w:tc>
          <w:tcPr>
            <w:tcW w:w="1843" w:type="dxa"/>
            <w:tcBorders>
              <w:top w:val="nil"/>
              <w:left w:val="nil"/>
              <w:bottom w:val="single" w:sz="4" w:space="0" w:color="auto"/>
              <w:right w:val="single" w:sz="4" w:space="0" w:color="auto"/>
            </w:tcBorders>
            <w:shd w:val="clear" w:color="auto" w:fill="auto"/>
            <w:noWrap/>
            <w:hideMark/>
          </w:tcPr>
          <w:p w:rsidR="00B6319C" w:rsidRPr="0098052C" w:rsidRDefault="00B6319C" w:rsidP="0098052C">
            <w:pPr>
              <w:spacing w:before="120"/>
              <w:jc w:val="center"/>
              <w:rPr>
                <w:rFonts w:cs="Arial"/>
                <w:sz w:val="17"/>
                <w:szCs w:val="17"/>
                <w:lang w:eastAsia="et-EE"/>
              </w:rPr>
            </w:pPr>
          </w:p>
        </w:tc>
      </w:tr>
      <w:tr w:rsidR="00B6319C" w:rsidRPr="0098052C" w:rsidTr="003C1291">
        <w:trPr>
          <w:trHeight w:hRule="exact" w:val="340"/>
        </w:trPr>
        <w:tc>
          <w:tcPr>
            <w:tcW w:w="1501" w:type="dxa"/>
            <w:vMerge w:val="restart"/>
            <w:tcBorders>
              <w:top w:val="nil"/>
              <w:left w:val="single" w:sz="4" w:space="0" w:color="auto"/>
              <w:bottom w:val="single" w:sz="4" w:space="0" w:color="000000"/>
              <w:right w:val="single" w:sz="4" w:space="0" w:color="auto"/>
            </w:tcBorders>
            <w:shd w:val="clear" w:color="000000" w:fill="DBEEF3"/>
            <w:vAlign w:val="center"/>
            <w:hideMark/>
          </w:tcPr>
          <w:p w:rsidR="00B6319C" w:rsidRPr="003C1291" w:rsidRDefault="00B6319C" w:rsidP="003C1291">
            <w:pPr>
              <w:spacing w:before="120"/>
              <w:jc w:val="center"/>
              <w:rPr>
                <w:rFonts w:cs="Arial"/>
                <w:b/>
                <w:sz w:val="17"/>
                <w:szCs w:val="17"/>
                <w:lang w:eastAsia="et-EE"/>
              </w:rPr>
            </w:pPr>
            <w:r w:rsidRPr="003C1291">
              <w:rPr>
                <w:rFonts w:cs="Arial"/>
                <w:b/>
                <w:sz w:val="17"/>
                <w:szCs w:val="17"/>
                <w:lang w:eastAsia="et-EE"/>
              </w:rPr>
              <w:t>Võõrandati kokku</w:t>
            </w:r>
          </w:p>
        </w:tc>
        <w:tc>
          <w:tcPr>
            <w:tcW w:w="1088" w:type="dxa"/>
            <w:tcBorders>
              <w:top w:val="nil"/>
              <w:left w:val="nil"/>
              <w:bottom w:val="single" w:sz="4" w:space="0" w:color="auto"/>
              <w:right w:val="single" w:sz="4" w:space="0" w:color="auto"/>
            </w:tcBorders>
            <w:shd w:val="clear" w:color="000000" w:fill="DBEEF3"/>
            <w:noWrap/>
            <w:hideMark/>
          </w:tcPr>
          <w:p w:rsidR="00B6319C" w:rsidRPr="003C1291" w:rsidRDefault="00B6319C" w:rsidP="0098052C">
            <w:pPr>
              <w:spacing w:before="120"/>
              <w:jc w:val="center"/>
              <w:rPr>
                <w:rFonts w:cs="Arial"/>
                <w:b/>
                <w:sz w:val="17"/>
                <w:szCs w:val="17"/>
                <w:lang w:eastAsia="et-EE"/>
              </w:rPr>
            </w:pPr>
            <w:r w:rsidRPr="003C1291">
              <w:rPr>
                <w:rFonts w:cs="Arial"/>
                <w:b/>
                <w:sz w:val="17"/>
                <w:szCs w:val="17"/>
                <w:lang w:eastAsia="et-EE"/>
              </w:rPr>
              <w:t>2013</w:t>
            </w:r>
          </w:p>
        </w:tc>
        <w:tc>
          <w:tcPr>
            <w:tcW w:w="1102"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2 069</w:t>
            </w:r>
          </w:p>
        </w:tc>
        <w:tc>
          <w:tcPr>
            <w:tcW w:w="1417"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15 836</w:t>
            </w:r>
          </w:p>
        </w:tc>
        <w:tc>
          <w:tcPr>
            <w:tcW w:w="891"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428</w:t>
            </w:r>
          </w:p>
        </w:tc>
        <w:tc>
          <w:tcPr>
            <w:tcW w:w="1377"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249 428</w:t>
            </w:r>
          </w:p>
        </w:tc>
        <w:tc>
          <w:tcPr>
            <w:tcW w:w="1843"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46 271 751</w:t>
            </w:r>
          </w:p>
        </w:tc>
      </w:tr>
      <w:tr w:rsidR="00B6319C" w:rsidRPr="0098052C" w:rsidTr="003C1291">
        <w:trPr>
          <w:trHeight w:hRule="exact" w:val="340"/>
        </w:trPr>
        <w:tc>
          <w:tcPr>
            <w:tcW w:w="1501" w:type="dxa"/>
            <w:vMerge/>
            <w:tcBorders>
              <w:top w:val="nil"/>
              <w:left w:val="single" w:sz="4" w:space="0" w:color="auto"/>
              <w:bottom w:val="single" w:sz="4" w:space="0" w:color="000000"/>
              <w:right w:val="single" w:sz="4" w:space="0" w:color="auto"/>
            </w:tcBorders>
            <w:hideMark/>
          </w:tcPr>
          <w:p w:rsidR="00B6319C" w:rsidRPr="003C1291" w:rsidRDefault="00B6319C" w:rsidP="0098052C">
            <w:pPr>
              <w:spacing w:before="120"/>
              <w:jc w:val="center"/>
              <w:rPr>
                <w:rFonts w:cs="Arial"/>
                <w:b/>
                <w:sz w:val="17"/>
                <w:szCs w:val="17"/>
                <w:lang w:eastAsia="et-EE"/>
              </w:rPr>
            </w:pPr>
          </w:p>
        </w:tc>
        <w:tc>
          <w:tcPr>
            <w:tcW w:w="1088" w:type="dxa"/>
            <w:tcBorders>
              <w:top w:val="nil"/>
              <w:left w:val="nil"/>
              <w:bottom w:val="single" w:sz="4" w:space="0" w:color="auto"/>
              <w:right w:val="single" w:sz="4" w:space="0" w:color="auto"/>
            </w:tcBorders>
            <w:shd w:val="clear" w:color="000000" w:fill="DBEEF3"/>
            <w:noWrap/>
            <w:hideMark/>
          </w:tcPr>
          <w:p w:rsidR="00B6319C" w:rsidRPr="003C1291" w:rsidRDefault="00B6319C" w:rsidP="0098052C">
            <w:pPr>
              <w:spacing w:before="120"/>
              <w:jc w:val="center"/>
              <w:rPr>
                <w:rFonts w:cs="Arial"/>
                <w:b/>
                <w:sz w:val="17"/>
                <w:szCs w:val="17"/>
                <w:lang w:eastAsia="et-EE"/>
              </w:rPr>
            </w:pPr>
            <w:r w:rsidRPr="003C1291">
              <w:rPr>
                <w:rFonts w:cs="Arial"/>
                <w:b/>
                <w:sz w:val="17"/>
                <w:szCs w:val="17"/>
                <w:lang w:eastAsia="et-EE"/>
              </w:rPr>
              <w:t>2014</w:t>
            </w:r>
          </w:p>
        </w:tc>
        <w:tc>
          <w:tcPr>
            <w:tcW w:w="1102"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1 803</w:t>
            </w:r>
          </w:p>
        </w:tc>
        <w:tc>
          <w:tcPr>
            <w:tcW w:w="1417"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9 881</w:t>
            </w:r>
          </w:p>
        </w:tc>
        <w:tc>
          <w:tcPr>
            <w:tcW w:w="891"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296</w:t>
            </w:r>
          </w:p>
        </w:tc>
        <w:tc>
          <w:tcPr>
            <w:tcW w:w="1377"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129 658</w:t>
            </w:r>
          </w:p>
        </w:tc>
        <w:tc>
          <w:tcPr>
            <w:tcW w:w="1843" w:type="dxa"/>
            <w:tcBorders>
              <w:top w:val="nil"/>
              <w:left w:val="nil"/>
              <w:bottom w:val="single" w:sz="4" w:space="0" w:color="auto"/>
              <w:right w:val="single" w:sz="4" w:space="0" w:color="auto"/>
            </w:tcBorders>
            <w:shd w:val="clear" w:color="000000" w:fill="DBEEF3"/>
            <w:noWrap/>
            <w:hideMark/>
          </w:tcPr>
          <w:p w:rsidR="00B6319C" w:rsidRPr="0098052C" w:rsidRDefault="00B6319C" w:rsidP="0098052C">
            <w:pPr>
              <w:spacing w:before="120"/>
              <w:jc w:val="center"/>
              <w:rPr>
                <w:rFonts w:cs="Arial"/>
                <w:b/>
                <w:bCs/>
                <w:sz w:val="17"/>
                <w:szCs w:val="17"/>
                <w:lang w:eastAsia="et-EE"/>
              </w:rPr>
            </w:pPr>
            <w:r w:rsidRPr="0098052C">
              <w:rPr>
                <w:rFonts w:cs="Arial"/>
                <w:b/>
                <w:bCs/>
                <w:sz w:val="17"/>
                <w:szCs w:val="17"/>
                <w:lang w:eastAsia="et-EE"/>
              </w:rPr>
              <w:t>40 181 333</w:t>
            </w:r>
          </w:p>
        </w:tc>
      </w:tr>
    </w:tbl>
    <w:p w:rsidR="00B6319C" w:rsidRDefault="00B6319C" w:rsidP="00B6319C">
      <w:pPr>
        <w:spacing w:before="240"/>
        <w:rPr>
          <w:rFonts w:eastAsiaTheme="majorEastAsia"/>
        </w:rPr>
      </w:pPr>
      <w:r w:rsidRPr="00007340">
        <w:rPr>
          <w:rFonts w:eastAsiaTheme="majorEastAsia"/>
        </w:rPr>
        <w:t xml:space="preserve">Riik on </w:t>
      </w:r>
      <w:r>
        <w:rPr>
          <w:rFonts w:eastAsiaTheme="majorEastAsia"/>
        </w:rPr>
        <w:t>kahe aasta jooksul võõrandanud vara tehinguväärtusega</w:t>
      </w:r>
      <w:r w:rsidRPr="00007340">
        <w:rPr>
          <w:rFonts w:eastAsiaTheme="majorEastAsia"/>
        </w:rPr>
        <w:t xml:space="preserve"> </w:t>
      </w:r>
      <w:r>
        <w:rPr>
          <w:rFonts w:eastAsiaTheme="majorEastAsia"/>
        </w:rPr>
        <w:t>86</w:t>
      </w:r>
      <w:r w:rsidR="00A70529">
        <w:rPr>
          <w:rFonts w:eastAsiaTheme="majorEastAsia"/>
        </w:rPr>
        <w:t>,4</w:t>
      </w:r>
      <w:r>
        <w:rPr>
          <w:rFonts w:eastAsiaTheme="majorEastAsia"/>
        </w:rPr>
        <w:t xml:space="preserve"> </w:t>
      </w:r>
      <w:r w:rsidRPr="00007340">
        <w:rPr>
          <w:rFonts w:eastAsiaTheme="majorEastAsia"/>
        </w:rPr>
        <w:t>miljonit eurot</w:t>
      </w:r>
      <w:r>
        <w:rPr>
          <w:rFonts w:eastAsiaTheme="majorEastAsia"/>
        </w:rPr>
        <w:t xml:space="preserve">, sellest 30 mln euro eest on </w:t>
      </w:r>
      <w:r w:rsidR="00D860B1">
        <w:rPr>
          <w:rFonts w:eastAsiaTheme="majorEastAsia"/>
        </w:rPr>
        <w:t>võõrandanud</w:t>
      </w:r>
      <w:r>
        <w:rPr>
          <w:rFonts w:eastAsiaTheme="majorEastAsia"/>
        </w:rPr>
        <w:t xml:space="preserve"> Maa-amet, 28 mln euro eest ministeeriumid (va Maa-amet ja RMK), 27 mln euro eest maavalitsused ja 1 mln euro eest RMK</w:t>
      </w:r>
      <w:r w:rsidR="008C0F2D">
        <w:rPr>
          <w:rFonts w:eastAsiaTheme="majorEastAsia"/>
        </w:rPr>
        <w:t>.</w:t>
      </w:r>
      <w:r w:rsidR="00F96800">
        <w:rPr>
          <w:rFonts w:eastAsiaTheme="majorEastAsia"/>
        </w:rPr>
        <w:t xml:space="preserve"> </w:t>
      </w:r>
    </w:p>
    <w:p w:rsidR="00B6319C" w:rsidRDefault="00B6319C" w:rsidP="00B6319C">
      <w:pPr>
        <w:pStyle w:val="Caption"/>
        <w:jc w:val="both"/>
      </w:pPr>
      <w:bookmarkStart w:id="140" w:name="_Ref418193041"/>
      <w:r>
        <w:t xml:space="preserve">Joonis </w:t>
      </w:r>
      <w:fldSimple w:instr=" SEQ Joonis \* ARABIC ">
        <w:r w:rsidR="00477322">
          <w:rPr>
            <w:noProof/>
          </w:rPr>
          <w:t>9</w:t>
        </w:r>
      </w:fldSimple>
      <w:bookmarkEnd w:id="140"/>
      <w:r>
        <w:t>.</w:t>
      </w:r>
      <w:r w:rsidRPr="00E83DCB">
        <w:t xml:space="preserve"> </w:t>
      </w:r>
      <w:r>
        <w:t>Võõrandatud</w:t>
      </w:r>
      <w:r w:rsidRPr="00CF7AB1">
        <w:t xml:space="preserve"> </w:t>
      </w:r>
      <w:r>
        <w:t>vara tehingu</w:t>
      </w:r>
      <w:r w:rsidR="00E6073B">
        <w:t>väärtus</w:t>
      </w:r>
      <w:r>
        <w:t xml:space="preserve"> valitsemisalade kaupa aastate lõikes</w:t>
      </w:r>
    </w:p>
    <w:p w:rsidR="00B6319C" w:rsidRDefault="002C3644" w:rsidP="00D860B1">
      <w:pPr>
        <w:spacing w:before="120" w:after="120"/>
        <w:rPr>
          <w:rFonts w:eastAsiaTheme="majorEastAsia"/>
        </w:rPr>
      </w:pPr>
      <w:r w:rsidRPr="002C3644">
        <w:rPr>
          <w:rFonts w:eastAsiaTheme="majorEastAsia"/>
          <w:noProof/>
          <w:lang w:eastAsia="et-EE"/>
        </w:rPr>
        <w:drawing>
          <wp:inline distT="0" distB="0" distL="0" distR="0">
            <wp:extent cx="5731510" cy="3317890"/>
            <wp:effectExtent l="19050" t="0" r="2159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319C" w:rsidRDefault="00A85FDC" w:rsidP="00B6319C">
      <w:pPr>
        <w:spacing w:before="240"/>
        <w:rPr>
          <w:rFonts w:eastAsiaTheme="majorEastAsia"/>
        </w:rPr>
      </w:pPr>
      <w:r>
        <w:rPr>
          <w:rFonts w:eastAsiaTheme="majorEastAsia"/>
        </w:rPr>
        <w:fldChar w:fldCharType="begin"/>
      </w:r>
      <w:r w:rsidR="00E5576D">
        <w:rPr>
          <w:rFonts w:eastAsiaTheme="majorEastAsia"/>
        </w:rPr>
        <w:instrText xml:space="preserve"> REF _Ref418193041 \h </w:instrText>
      </w:r>
      <w:r>
        <w:rPr>
          <w:rFonts w:eastAsiaTheme="majorEastAsia"/>
        </w:rPr>
      </w:r>
      <w:r>
        <w:rPr>
          <w:rFonts w:eastAsiaTheme="majorEastAsia"/>
        </w:rPr>
        <w:fldChar w:fldCharType="separate"/>
      </w:r>
      <w:r w:rsidR="00477322">
        <w:t xml:space="preserve">Joonis </w:t>
      </w:r>
      <w:r w:rsidR="00477322">
        <w:rPr>
          <w:noProof/>
        </w:rPr>
        <w:t>9</w:t>
      </w:r>
      <w:r>
        <w:rPr>
          <w:rFonts w:eastAsiaTheme="majorEastAsia"/>
        </w:rPr>
        <w:fldChar w:fldCharType="end"/>
      </w:r>
      <w:r w:rsidR="00E5576D">
        <w:rPr>
          <w:rFonts w:eastAsiaTheme="majorEastAsia"/>
        </w:rPr>
        <w:t xml:space="preserve"> kaj</w:t>
      </w:r>
      <w:r w:rsidR="005911FC">
        <w:rPr>
          <w:rFonts w:eastAsiaTheme="majorEastAsia"/>
        </w:rPr>
        <w:t>astab võõrandamistehingute väärtust</w:t>
      </w:r>
      <w:r w:rsidR="00E5576D">
        <w:rPr>
          <w:rFonts w:eastAsiaTheme="majorEastAsia"/>
        </w:rPr>
        <w:t xml:space="preserve"> valitsejate kaupa. Olulin</w:t>
      </w:r>
      <w:r w:rsidR="00B6319C">
        <w:rPr>
          <w:rFonts w:eastAsiaTheme="majorEastAsia"/>
        </w:rPr>
        <w:t>e osa riigile vara võõrandamisest laekunud tulust on laekunud maavalitsuste kasutusvaldusega koormatud põllumaade müügist ja Maa-ameti riigimaa enampakkumisel müügist. Ministeeriumid on enamasti vara võõrandanud otsustuskorras tasuta kohalikele omavalitsustele ning vähem avalik-õiguslikele juriidilistele isikutele ja sihtasutustele, kuid võõrandamistehingust ei ole laekunud riigile t</w:t>
      </w:r>
      <w:r w:rsidR="005911FC">
        <w:rPr>
          <w:rFonts w:eastAsiaTheme="majorEastAsia"/>
        </w:rPr>
        <w:t>ulu. Otsustuskorras tasuta on ministeeriumid võõrandanud vara 25</w:t>
      </w:r>
      <w:r w:rsidR="002C3644">
        <w:rPr>
          <w:rFonts w:eastAsiaTheme="majorEastAsia"/>
        </w:rPr>
        <w:t>,1</w:t>
      </w:r>
      <w:r w:rsidR="001800A1">
        <w:rPr>
          <w:rFonts w:eastAsiaTheme="majorEastAsia"/>
        </w:rPr>
        <w:t xml:space="preserve"> mln euro eest</w:t>
      </w:r>
      <w:r w:rsidR="00F61C1E">
        <w:rPr>
          <w:rFonts w:eastAsiaTheme="majorEastAsia"/>
        </w:rPr>
        <w:t xml:space="preserve"> (vt peatükk </w:t>
      </w:r>
      <w:r>
        <w:rPr>
          <w:rFonts w:eastAsiaTheme="majorEastAsia"/>
        </w:rPr>
        <w:fldChar w:fldCharType="begin"/>
      </w:r>
      <w:r w:rsidR="00F61C1E">
        <w:rPr>
          <w:rFonts w:eastAsiaTheme="majorEastAsia"/>
        </w:rPr>
        <w:instrText xml:space="preserve"> REF _Ref427228537 \r \h </w:instrText>
      </w:r>
      <w:r>
        <w:rPr>
          <w:rFonts w:eastAsiaTheme="majorEastAsia"/>
        </w:rPr>
      </w:r>
      <w:r>
        <w:rPr>
          <w:rFonts w:eastAsiaTheme="majorEastAsia"/>
        </w:rPr>
        <w:fldChar w:fldCharType="separate"/>
      </w:r>
      <w:r w:rsidR="00477322">
        <w:rPr>
          <w:rFonts w:eastAsiaTheme="majorEastAsia"/>
        </w:rPr>
        <w:t>1.3.2</w:t>
      </w:r>
      <w:r>
        <w:rPr>
          <w:rFonts w:eastAsiaTheme="majorEastAsia"/>
        </w:rPr>
        <w:fldChar w:fldCharType="end"/>
      </w:r>
      <w:r w:rsidR="00F61C1E">
        <w:rPr>
          <w:rFonts w:eastAsiaTheme="majorEastAsia"/>
        </w:rPr>
        <w:t>)</w:t>
      </w:r>
      <w:r w:rsidR="001800A1">
        <w:rPr>
          <w:rFonts w:eastAsiaTheme="majorEastAsia"/>
        </w:rPr>
        <w:t>, millest tulenevalt on laekunud võõrandamisest tulu 61,3 mln.</w:t>
      </w:r>
    </w:p>
    <w:p w:rsidR="00B6319C" w:rsidRPr="00614066" w:rsidRDefault="00B6319C" w:rsidP="0034698C">
      <w:pPr>
        <w:pStyle w:val="Pealkiri3"/>
        <w:rPr>
          <w:rFonts w:eastAsiaTheme="majorEastAsia"/>
        </w:rPr>
      </w:pPr>
      <w:bookmarkStart w:id="141" w:name="_Toc433980695"/>
      <w:r w:rsidRPr="00614066">
        <w:rPr>
          <w:rFonts w:eastAsiaTheme="majorEastAsia"/>
        </w:rPr>
        <w:t xml:space="preserve">Võõrandamine </w:t>
      </w:r>
      <w:r w:rsidRPr="0034698C">
        <w:rPr>
          <w:rFonts w:eastAsiaTheme="majorEastAsia"/>
        </w:rPr>
        <w:t>avalikul</w:t>
      </w:r>
      <w:r w:rsidRPr="00614066">
        <w:rPr>
          <w:rFonts w:eastAsiaTheme="majorEastAsia"/>
        </w:rPr>
        <w:t xml:space="preserve"> </w:t>
      </w:r>
      <w:r w:rsidRPr="009B3755">
        <w:rPr>
          <w:rFonts w:eastAsiaTheme="majorEastAsia"/>
        </w:rPr>
        <w:t>enampakkumisel</w:t>
      </w:r>
      <w:bookmarkEnd w:id="141"/>
    </w:p>
    <w:p w:rsidR="00B6319C" w:rsidRPr="00261403" w:rsidRDefault="00B6319C" w:rsidP="00351253">
      <w:pPr>
        <w:pStyle w:val="ListParagraph"/>
        <w:rPr>
          <w:rFonts w:eastAsiaTheme="majorEastAsia"/>
        </w:rPr>
      </w:pPr>
      <w:r w:rsidRPr="00261403">
        <w:rPr>
          <w:rFonts w:eastAsiaTheme="majorEastAsia"/>
        </w:rPr>
        <w:t>Ar</w:t>
      </w:r>
      <w:r w:rsidRPr="00B5232C">
        <w:rPr>
          <w:rFonts w:eastAsiaTheme="majorEastAsia"/>
        </w:rPr>
        <w:t>uandeperi</w:t>
      </w:r>
      <w:r w:rsidRPr="00261403">
        <w:rPr>
          <w:rFonts w:eastAsiaTheme="majorEastAsia"/>
        </w:rPr>
        <w:t xml:space="preserve">oodil on avalikul enampakkumisel müüdud 1 484 kinnistut maa pindalaga 10 032,35 ha. </w:t>
      </w:r>
    </w:p>
    <w:p w:rsidR="00B6319C" w:rsidRPr="00A74279" w:rsidRDefault="00B6319C" w:rsidP="00351253">
      <w:pPr>
        <w:pStyle w:val="ListParagraph"/>
        <w:rPr>
          <w:rFonts w:eastAsiaTheme="majorEastAsia"/>
        </w:rPr>
      </w:pPr>
      <w:r w:rsidRPr="00261403">
        <w:rPr>
          <w:rFonts w:eastAsiaTheme="majorEastAsia"/>
        </w:rPr>
        <w:t>Enampakkumisel on müüdud 64 hoonestatud kinnistut, sh 132 hoonet pinnaga 23 445 m</w:t>
      </w:r>
      <w:r w:rsidRPr="00261403">
        <w:rPr>
          <w:rFonts w:eastAsiaTheme="majorEastAsia"/>
          <w:vertAlign w:val="superscript"/>
        </w:rPr>
        <w:t>2</w:t>
      </w:r>
      <w:r w:rsidRPr="00261403">
        <w:rPr>
          <w:rFonts w:eastAsiaTheme="majorEastAsia"/>
        </w:rPr>
        <w:t>.</w:t>
      </w:r>
      <w:r>
        <w:rPr>
          <w:rFonts w:eastAsiaTheme="majorEastAsia"/>
        </w:rPr>
        <w:t xml:space="preserve"> Hoonete pinnast 61% on võõrandanud RMK (endised m</w:t>
      </w:r>
      <w:r w:rsidR="00614066">
        <w:rPr>
          <w:rFonts w:eastAsiaTheme="majorEastAsia"/>
        </w:rPr>
        <w:t>etskonnahooned) 33% maavalitsu</w:t>
      </w:r>
      <w:r>
        <w:rPr>
          <w:rFonts w:eastAsiaTheme="majorEastAsia"/>
        </w:rPr>
        <w:t xml:space="preserve">sed </w:t>
      </w:r>
      <w:r w:rsidRPr="00261403">
        <w:rPr>
          <w:rFonts w:eastAsiaTheme="majorEastAsia"/>
        </w:rPr>
        <w:t>(konfiskeeritud vara)</w:t>
      </w:r>
      <w:r>
        <w:rPr>
          <w:rFonts w:eastAsiaTheme="majorEastAsia"/>
        </w:rPr>
        <w:t xml:space="preserve"> ja 6% ministeeriumid (peamiselt välismaal asuv vara). </w:t>
      </w:r>
    </w:p>
    <w:p w:rsidR="00B6319C" w:rsidRPr="00143EAB" w:rsidRDefault="00B6319C" w:rsidP="00351253">
      <w:pPr>
        <w:pStyle w:val="ListParagraph"/>
        <w:rPr>
          <w:rFonts w:eastAsiaTheme="majorEastAsia"/>
        </w:rPr>
      </w:pPr>
      <w:r>
        <w:rPr>
          <w:rFonts w:eastAsiaTheme="majorEastAsia"/>
        </w:rPr>
        <w:t xml:space="preserve">Hoonestamata maadest on </w:t>
      </w:r>
      <w:r w:rsidRPr="00CF7AB1">
        <w:rPr>
          <w:rFonts w:eastAsiaTheme="majorEastAsia"/>
        </w:rPr>
        <w:t xml:space="preserve">enampakkumise korras müüdud </w:t>
      </w:r>
      <w:r>
        <w:rPr>
          <w:rFonts w:eastAsiaTheme="majorEastAsia"/>
        </w:rPr>
        <w:t>v</w:t>
      </w:r>
      <w:r w:rsidRPr="00CF7AB1">
        <w:rPr>
          <w:rFonts w:eastAsiaTheme="majorEastAsia"/>
        </w:rPr>
        <w:t>aldavalt Maa-ameti bilansis olevat maatulundusmaad.</w:t>
      </w:r>
      <w:r>
        <w:rPr>
          <w:rFonts w:eastAsiaTheme="majorEastAsia"/>
        </w:rPr>
        <w:t xml:space="preserve"> </w:t>
      </w:r>
      <w:r>
        <w:t xml:space="preserve">Müüki suunatavate maaüksuste maht aastas </w:t>
      </w:r>
      <w:r w:rsidRPr="00886921">
        <w:t>ehk aktiivne müügiportfell kujuneb riigieelarve koostamise käigus.</w:t>
      </w:r>
    </w:p>
    <w:p w:rsidR="00B6319C" w:rsidRPr="00CF7AB1" w:rsidRDefault="00B6319C" w:rsidP="00351253">
      <w:pPr>
        <w:pStyle w:val="ListParagraph"/>
        <w:rPr>
          <w:rFonts w:eastAsiaTheme="majorEastAsia"/>
        </w:rPr>
      </w:pPr>
      <w:r>
        <w:rPr>
          <w:rFonts w:eastAsiaTheme="majorEastAsia"/>
        </w:rPr>
        <w:t>Enampakkumisel võõrandatud kinnistute arv on püsinud stabiilsena, langenud on võõrandatud pind ning tõusnud keskmine võõrandatud ha väärtus (</w:t>
      </w:r>
      <w:r w:rsidR="00A85FDC">
        <w:rPr>
          <w:rFonts w:eastAsiaTheme="majorEastAsia"/>
        </w:rPr>
        <w:fldChar w:fldCharType="begin"/>
      </w:r>
      <w:r>
        <w:rPr>
          <w:rFonts w:eastAsiaTheme="majorEastAsia"/>
        </w:rPr>
        <w:instrText xml:space="preserve"> REF _Ref419990589 \h </w:instrText>
      </w:r>
      <w:r w:rsidR="00A85FDC">
        <w:rPr>
          <w:rFonts w:eastAsiaTheme="majorEastAsia"/>
        </w:rPr>
      </w:r>
      <w:r w:rsidR="00A85FDC">
        <w:rPr>
          <w:rFonts w:eastAsiaTheme="majorEastAsia"/>
        </w:rPr>
        <w:fldChar w:fldCharType="separate"/>
      </w:r>
      <w:r w:rsidR="00477322">
        <w:t xml:space="preserve">Joonis </w:t>
      </w:r>
      <w:r w:rsidR="00477322">
        <w:rPr>
          <w:noProof/>
        </w:rPr>
        <w:t>10</w:t>
      </w:r>
      <w:r w:rsidR="00A85FDC">
        <w:rPr>
          <w:rFonts w:eastAsiaTheme="majorEastAsia"/>
        </w:rPr>
        <w:fldChar w:fldCharType="end"/>
      </w:r>
      <w:r>
        <w:rPr>
          <w:rFonts w:eastAsiaTheme="majorEastAsia"/>
        </w:rPr>
        <w:t>).</w:t>
      </w:r>
    </w:p>
    <w:p w:rsidR="00B6319C" w:rsidRDefault="00B6319C" w:rsidP="00B6319C">
      <w:pPr>
        <w:pStyle w:val="Caption"/>
        <w:jc w:val="both"/>
      </w:pPr>
      <w:bookmarkStart w:id="142" w:name="_Ref419990589"/>
      <w:r>
        <w:t xml:space="preserve">Joonis </w:t>
      </w:r>
      <w:fldSimple w:instr=" SEQ Joonis \* ARABIC ">
        <w:r w:rsidR="00477322">
          <w:rPr>
            <w:noProof/>
          </w:rPr>
          <w:t>10</w:t>
        </w:r>
      </w:fldSimple>
      <w:bookmarkEnd w:id="142"/>
      <w:r>
        <w:t>. Tehinguväärtus hoonestamata maade avalikul enampakkumisel</w:t>
      </w:r>
    </w:p>
    <w:p w:rsidR="00B6319C" w:rsidRDefault="00B6319C" w:rsidP="00B6319C">
      <w:pPr>
        <w:pStyle w:val="Caption"/>
        <w:jc w:val="both"/>
      </w:pPr>
      <w:r w:rsidRPr="00E01E28">
        <w:rPr>
          <w:noProof/>
          <w:bdr w:val="single" w:sz="4" w:space="0" w:color="auto"/>
          <w:lang w:eastAsia="et-EE"/>
        </w:rPr>
        <w:drawing>
          <wp:inline distT="0" distB="0" distL="0" distR="0">
            <wp:extent cx="5680075" cy="3495675"/>
            <wp:effectExtent l="19050" t="0" r="15875" b="0"/>
            <wp:docPr id="2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319C" w:rsidRDefault="00B6319C" w:rsidP="00B6319C">
      <w:pPr>
        <w:pStyle w:val="Caption"/>
        <w:jc w:val="both"/>
      </w:pPr>
    </w:p>
    <w:p w:rsidR="00B6319C" w:rsidRDefault="00B6319C" w:rsidP="00351253">
      <w:pPr>
        <w:pStyle w:val="ListParagraph"/>
      </w:pPr>
      <w:r>
        <w:t>Maa-ameti statistika enampakkumiste läbiviimise ning realiseerunud müükide kohta on esitatud</w:t>
      </w:r>
      <w:r w:rsidR="00244426">
        <w:t xml:space="preserve"> järgmistes</w:t>
      </w:r>
      <w:r>
        <w:t xml:space="preserve"> tabelites </w:t>
      </w:r>
      <w:r w:rsidR="00244426">
        <w:t>(</w:t>
      </w:r>
      <w:fldSimple w:instr=" REF _Ref423636542 \h  \* MERGEFORMAT ">
        <w:r w:rsidR="00477322" w:rsidRPr="007E7D70">
          <w:t xml:space="preserve">Tabel </w:t>
        </w:r>
        <w:r w:rsidR="00477322">
          <w:t>4</w:t>
        </w:r>
      </w:fldSimple>
      <w:r w:rsidR="00244426">
        <w:t xml:space="preserve">, </w:t>
      </w:r>
      <w:r w:rsidR="00A85FDC">
        <w:fldChar w:fldCharType="begin"/>
      </w:r>
      <w:r w:rsidR="00244426">
        <w:instrText xml:space="preserve"> REF _Ref418009245 \h </w:instrText>
      </w:r>
      <w:r w:rsidR="00A85FDC">
        <w:fldChar w:fldCharType="separate"/>
      </w:r>
      <w:r w:rsidR="00477322">
        <w:t xml:space="preserve">Tabel </w:t>
      </w:r>
      <w:r w:rsidR="00477322">
        <w:rPr>
          <w:noProof/>
        </w:rPr>
        <w:t>5</w:t>
      </w:r>
      <w:r w:rsidR="00A85FDC">
        <w:fldChar w:fldCharType="end"/>
      </w:r>
      <w:r w:rsidR="00244426">
        <w:t>)</w:t>
      </w:r>
      <w:r>
        <w:t>.</w:t>
      </w:r>
    </w:p>
    <w:p w:rsidR="00B6319C" w:rsidRPr="007E7D70" w:rsidRDefault="00B6319C" w:rsidP="00501C45">
      <w:pPr>
        <w:pStyle w:val="Caption"/>
      </w:pPr>
      <w:bookmarkStart w:id="143" w:name="_Ref423636542"/>
      <w:r w:rsidRPr="007E7D70">
        <w:t xml:space="preserve">Tabel </w:t>
      </w:r>
      <w:r w:rsidR="00A85FDC" w:rsidRPr="007E7D70">
        <w:fldChar w:fldCharType="begin"/>
      </w:r>
      <w:r w:rsidRPr="007E7D70">
        <w:instrText xml:space="preserve"> SEQ Tabel \* ARABIC </w:instrText>
      </w:r>
      <w:r w:rsidR="00A85FDC" w:rsidRPr="007E7D70">
        <w:fldChar w:fldCharType="separate"/>
      </w:r>
      <w:r w:rsidR="00477322">
        <w:rPr>
          <w:noProof/>
        </w:rPr>
        <w:t>4</w:t>
      </w:r>
      <w:r w:rsidR="00A85FDC" w:rsidRPr="007E7D70">
        <w:fldChar w:fldCharType="end"/>
      </w:r>
      <w:bookmarkEnd w:id="143"/>
      <w:r w:rsidRPr="007E7D70">
        <w:t>. Maa-ameti poolt kinnistute võõrandamine enampakkumise korras 2013-2014. aasta</w:t>
      </w:r>
      <w:r>
        <w:t>l</w:t>
      </w:r>
    </w:p>
    <w:tbl>
      <w:tblPr>
        <w:tblW w:w="9086" w:type="dxa"/>
        <w:tblInd w:w="56" w:type="dxa"/>
        <w:tblCellMar>
          <w:left w:w="70" w:type="dxa"/>
          <w:right w:w="70" w:type="dxa"/>
        </w:tblCellMar>
        <w:tblLook w:val="04A0"/>
      </w:tblPr>
      <w:tblGrid>
        <w:gridCol w:w="1574"/>
        <w:gridCol w:w="2126"/>
        <w:gridCol w:w="1276"/>
        <w:gridCol w:w="1559"/>
        <w:gridCol w:w="2551"/>
      </w:tblGrid>
      <w:tr w:rsidR="0076641A" w:rsidRPr="0076641A" w:rsidTr="0076641A">
        <w:trPr>
          <w:trHeight w:hRule="exact" w:val="454"/>
        </w:trPr>
        <w:tc>
          <w:tcPr>
            <w:tcW w:w="1574" w:type="dxa"/>
            <w:tcBorders>
              <w:top w:val="single" w:sz="8" w:space="0" w:color="000000"/>
              <w:left w:val="single" w:sz="8" w:space="0" w:color="000000"/>
              <w:bottom w:val="single" w:sz="8" w:space="0" w:color="000000"/>
              <w:right w:val="single" w:sz="8" w:space="0" w:color="000000"/>
            </w:tcBorders>
            <w:shd w:val="clear" w:color="000000" w:fill="C5D9F1"/>
            <w:hideMark/>
          </w:tcPr>
          <w:p w:rsidR="0076641A" w:rsidRPr="00225A5C" w:rsidRDefault="0076641A" w:rsidP="0076641A">
            <w:pPr>
              <w:spacing w:before="0"/>
              <w:jc w:val="center"/>
              <w:rPr>
                <w:rFonts w:eastAsia="Times New Roman"/>
                <w:b/>
                <w:color w:val="000000"/>
                <w:sz w:val="18"/>
                <w:szCs w:val="18"/>
                <w:lang w:eastAsia="et-EE"/>
              </w:rPr>
            </w:pPr>
            <w:r w:rsidRPr="00225A5C">
              <w:rPr>
                <w:rFonts w:eastAsia="Times New Roman"/>
                <w:b/>
                <w:color w:val="000000"/>
                <w:sz w:val="18"/>
                <w:szCs w:val="18"/>
                <w:lang w:eastAsia="et-EE"/>
              </w:rPr>
              <w:t>Aasta</w:t>
            </w:r>
          </w:p>
        </w:tc>
        <w:tc>
          <w:tcPr>
            <w:tcW w:w="2126" w:type="dxa"/>
            <w:tcBorders>
              <w:top w:val="single" w:sz="8" w:space="0" w:color="000000"/>
              <w:left w:val="nil"/>
              <w:bottom w:val="single" w:sz="8" w:space="0" w:color="000000"/>
              <w:right w:val="single" w:sz="8" w:space="0" w:color="000000"/>
            </w:tcBorders>
            <w:shd w:val="clear" w:color="000000" w:fill="C5D9F1"/>
            <w:hideMark/>
          </w:tcPr>
          <w:p w:rsidR="0076641A" w:rsidRPr="00225A5C" w:rsidRDefault="0076641A" w:rsidP="0076641A">
            <w:pPr>
              <w:spacing w:before="0"/>
              <w:jc w:val="center"/>
              <w:rPr>
                <w:rFonts w:eastAsia="Times New Roman"/>
                <w:b/>
                <w:color w:val="000000"/>
                <w:sz w:val="18"/>
                <w:szCs w:val="18"/>
                <w:lang w:eastAsia="et-EE"/>
              </w:rPr>
            </w:pPr>
            <w:r w:rsidRPr="00225A5C">
              <w:rPr>
                <w:rFonts w:eastAsia="Times New Roman"/>
                <w:b/>
                <w:color w:val="000000"/>
                <w:sz w:val="18"/>
                <w:szCs w:val="18"/>
                <w:lang w:eastAsia="et-EE"/>
              </w:rPr>
              <w:t> </w:t>
            </w:r>
          </w:p>
        </w:tc>
        <w:tc>
          <w:tcPr>
            <w:tcW w:w="1276" w:type="dxa"/>
            <w:tcBorders>
              <w:top w:val="single" w:sz="8" w:space="0" w:color="000000"/>
              <w:left w:val="nil"/>
              <w:bottom w:val="single" w:sz="8" w:space="0" w:color="000000"/>
              <w:right w:val="single" w:sz="8" w:space="0" w:color="000000"/>
            </w:tcBorders>
            <w:shd w:val="clear" w:color="000000" w:fill="C5D9F1"/>
            <w:hideMark/>
          </w:tcPr>
          <w:p w:rsidR="0076641A" w:rsidRPr="00225A5C" w:rsidRDefault="0076641A" w:rsidP="0076641A">
            <w:pPr>
              <w:spacing w:before="0"/>
              <w:jc w:val="center"/>
              <w:rPr>
                <w:rFonts w:eastAsia="Times New Roman"/>
                <w:b/>
                <w:color w:val="000000"/>
                <w:sz w:val="18"/>
                <w:szCs w:val="18"/>
                <w:lang w:eastAsia="et-EE"/>
              </w:rPr>
            </w:pPr>
            <w:r w:rsidRPr="00225A5C">
              <w:rPr>
                <w:rFonts w:eastAsia="Times New Roman"/>
                <w:b/>
                <w:color w:val="000000"/>
                <w:sz w:val="18"/>
                <w:szCs w:val="18"/>
                <w:lang w:eastAsia="et-EE"/>
              </w:rPr>
              <w:t>üksuste arv (tk)</w:t>
            </w:r>
          </w:p>
        </w:tc>
        <w:tc>
          <w:tcPr>
            <w:tcW w:w="1559" w:type="dxa"/>
            <w:tcBorders>
              <w:top w:val="single" w:sz="8" w:space="0" w:color="000000"/>
              <w:left w:val="nil"/>
              <w:bottom w:val="single" w:sz="8" w:space="0" w:color="000000"/>
              <w:right w:val="single" w:sz="8" w:space="0" w:color="000000"/>
            </w:tcBorders>
            <w:shd w:val="clear" w:color="000000" w:fill="C5D9F1"/>
            <w:hideMark/>
          </w:tcPr>
          <w:p w:rsidR="0076641A" w:rsidRPr="00225A5C" w:rsidRDefault="0076641A" w:rsidP="0076641A">
            <w:pPr>
              <w:spacing w:before="0"/>
              <w:jc w:val="center"/>
              <w:rPr>
                <w:rFonts w:eastAsia="Times New Roman"/>
                <w:b/>
                <w:color w:val="000000"/>
                <w:sz w:val="18"/>
                <w:szCs w:val="18"/>
                <w:lang w:eastAsia="et-EE"/>
              </w:rPr>
            </w:pPr>
            <w:r w:rsidRPr="00225A5C">
              <w:rPr>
                <w:rFonts w:eastAsia="Times New Roman"/>
                <w:b/>
                <w:color w:val="000000"/>
                <w:sz w:val="18"/>
                <w:szCs w:val="18"/>
                <w:lang w:eastAsia="et-EE"/>
              </w:rPr>
              <w:t>üksuste pindala (ha)</w:t>
            </w:r>
          </w:p>
        </w:tc>
        <w:tc>
          <w:tcPr>
            <w:tcW w:w="2551" w:type="dxa"/>
            <w:tcBorders>
              <w:top w:val="single" w:sz="8" w:space="0" w:color="000000"/>
              <w:left w:val="nil"/>
              <w:bottom w:val="single" w:sz="8" w:space="0" w:color="000000"/>
              <w:right w:val="single" w:sz="8" w:space="0" w:color="000000"/>
            </w:tcBorders>
            <w:shd w:val="clear" w:color="000000" w:fill="C5D9F1"/>
            <w:hideMark/>
          </w:tcPr>
          <w:p w:rsidR="0076641A" w:rsidRPr="00225A5C" w:rsidRDefault="0076641A" w:rsidP="00225A5C">
            <w:pPr>
              <w:spacing w:before="0"/>
              <w:jc w:val="center"/>
              <w:rPr>
                <w:rFonts w:eastAsia="Times New Roman"/>
                <w:b/>
                <w:color w:val="000000"/>
                <w:sz w:val="18"/>
                <w:szCs w:val="18"/>
                <w:lang w:eastAsia="et-EE"/>
              </w:rPr>
            </w:pPr>
            <w:r w:rsidRPr="00225A5C">
              <w:rPr>
                <w:rFonts w:eastAsia="Times New Roman"/>
                <w:b/>
                <w:color w:val="000000"/>
                <w:sz w:val="18"/>
                <w:szCs w:val="18"/>
                <w:lang w:eastAsia="et-EE"/>
              </w:rPr>
              <w:t>Müügi</w:t>
            </w:r>
            <w:r w:rsidR="00225A5C">
              <w:rPr>
                <w:rFonts w:eastAsia="Times New Roman"/>
                <w:b/>
                <w:color w:val="000000"/>
                <w:sz w:val="18"/>
                <w:szCs w:val="18"/>
                <w:lang w:eastAsia="et-EE"/>
              </w:rPr>
              <w:t xml:space="preserve"> </w:t>
            </w:r>
            <w:r w:rsidRPr="00225A5C">
              <w:rPr>
                <w:rFonts w:eastAsia="Times New Roman"/>
                <w:b/>
                <w:color w:val="000000"/>
                <w:sz w:val="18"/>
                <w:szCs w:val="18"/>
                <w:lang w:eastAsia="et-EE"/>
              </w:rPr>
              <w:t>alghinnad / võõrandamistasu kokku (eurot)</w:t>
            </w:r>
          </w:p>
        </w:tc>
      </w:tr>
      <w:tr w:rsidR="0076641A" w:rsidRPr="0076641A" w:rsidTr="0076641A">
        <w:trPr>
          <w:trHeight w:hRule="exact" w:val="397"/>
        </w:trPr>
        <w:tc>
          <w:tcPr>
            <w:tcW w:w="1574" w:type="dxa"/>
            <w:vMerge w:val="restart"/>
            <w:tcBorders>
              <w:top w:val="nil"/>
              <w:left w:val="single" w:sz="8" w:space="0" w:color="000000"/>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2013</w:t>
            </w:r>
          </w:p>
        </w:tc>
        <w:tc>
          <w:tcPr>
            <w:tcW w:w="2126" w:type="dxa"/>
            <w:tcBorders>
              <w:top w:val="nil"/>
              <w:left w:val="nil"/>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 xml:space="preserve">Müügi enampakkumine läbiviidud </w:t>
            </w:r>
          </w:p>
        </w:tc>
        <w:tc>
          <w:tcPr>
            <w:tcW w:w="1276"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1049</w:t>
            </w:r>
          </w:p>
        </w:tc>
        <w:tc>
          <w:tcPr>
            <w:tcW w:w="1559"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6594,76</w:t>
            </w:r>
          </w:p>
        </w:tc>
        <w:tc>
          <w:tcPr>
            <w:tcW w:w="2551" w:type="dxa"/>
            <w:tcBorders>
              <w:top w:val="nil"/>
              <w:left w:val="nil"/>
              <w:bottom w:val="single" w:sz="8" w:space="0" w:color="000000"/>
              <w:right w:val="single" w:sz="8" w:space="0" w:color="000000"/>
            </w:tcBorders>
            <w:shd w:val="clear" w:color="000000" w:fill="FFFFFF"/>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14 441 800</w:t>
            </w:r>
          </w:p>
        </w:tc>
      </w:tr>
      <w:tr w:rsidR="0076641A" w:rsidRPr="0076641A" w:rsidTr="0076641A">
        <w:trPr>
          <w:trHeight w:hRule="exact" w:val="397"/>
        </w:trPr>
        <w:tc>
          <w:tcPr>
            <w:tcW w:w="1574" w:type="dxa"/>
            <w:vMerge/>
            <w:tcBorders>
              <w:top w:val="nil"/>
              <w:left w:val="single" w:sz="8" w:space="0" w:color="000000"/>
              <w:bottom w:val="single" w:sz="8" w:space="0" w:color="000000"/>
              <w:right w:val="single" w:sz="8" w:space="0" w:color="000000"/>
            </w:tcBorders>
            <w:vAlign w:val="center"/>
            <w:hideMark/>
          </w:tcPr>
          <w:p w:rsidR="0076641A" w:rsidRPr="0076641A" w:rsidRDefault="0076641A" w:rsidP="0076641A">
            <w:pPr>
              <w:spacing w:before="0"/>
              <w:jc w:val="left"/>
              <w:rPr>
                <w:rFonts w:eastAsia="Times New Roman"/>
                <w:color w:val="000000"/>
                <w:sz w:val="18"/>
                <w:szCs w:val="18"/>
                <w:lang w:eastAsia="et-EE"/>
              </w:rPr>
            </w:pPr>
          </w:p>
        </w:tc>
        <w:tc>
          <w:tcPr>
            <w:tcW w:w="2126" w:type="dxa"/>
            <w:tcBorders>
              <w:top w:val="nil"/>
              <w:left w:val="nil"/>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Müük realiseerunud, leping sõlmitud</w:t>
            </w:r>
          </w:p>
        </w:tc>
        <w:tc>
          <w:tcPr>
            <w:tcW w:w="1276"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772</w:t>
            </w:r>
          </w:p>
        </w:tc>
        <w:tc>
          <w:tcPr>
            <w:tcW w:w="1559"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6137,24</w:t>
            </w:r>
          </w:p>
        </w:tc>
        <w:tc>
          <w:tcPr>
            <w:tcW w:w="2551" w:type="dxa"/>
            <w:tcBorders>
              <w:top w:val="nil"/>
              <w:left w:val="nil"/>
              <w:bottom w:val="single" w:sz="8" w:space="0" w:color="000000"/>
              <w:right w:val="single" w:sz="8" w:space="0" w:color="000000"/>
            </w:tcBorders>
            <w:shd w:val="clear" w:color="000000" w:fill="FFFFFF"/>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17 683 085</w:t>
            </w:r>
          </w:p>
        </w:tc>
      </w:tr>
      <w:tr w:rsidR="0076641A" w:rsidRPr="0076641A" w:rsidTr="0076641A">
        <w:trPr>
          <w:trHeight w:hRule="exact" w:val="397"/>
        </w:trPr>
        <w:tc>
          <w:tcPr>
            <w:tcW w:w="1574" w:type="dxa"/>
            <w:vMerge w:val="restart"/>
            <w:tcBorders>
              <w:top w:val="nil"/>
              <w:left w:val="single" w:sz="8" w:space="0" w:color="000000"/>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2014</w:t>
            </w:r>
          </w:p>
        </w:tc>
        <w:tc>
          <w:tcPr>
            <w:tcW w:w="2126" w:type="dxa"/>
            <w:tcBorders>
              <w:top w:val="nil"/>
              <w:left w:val="nil"/>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Müügi enampakkumine läbiviidud</w:t>
            </w:r>
          </w:p>
        </w:tc>
        <w:tc>
          <w:tcPr>
            <w:tcW w:w="1276"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bCs/>
                <w:color w:val="000000"/>
                <w:sz w:val="18"/>
                <w:szCs w:val="18"/>
                <w:lang w:eastAsia="et-EE"/>
              </w:rPr>
              <w:t>710</w:t>
            </w:r>
          </w:p>
        </w:tc>
        <w:tc>
          <w:tcPr>
            <w:tcW w:w="1559"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bCs/>
                <w:color w:val="000000"/>
                <w:sz w:val="18"/>
                <w:szCs w:val="18"/>
                <w:lang w:eastAsia="et-EE"/>
              </w:rPr>
              <w:t>3011</w:t>
            </w:r>
          </w:p>
        </w:tc>
        <w:tc>
          <w:tcPr>
            <w:tcW w:w="2551" w:type="dxa"/>
            <w:tcBorders>
              <w:top w:val="nil"/>
              <w:left w:val="nil"/>
              <w:bottom w:val="single" w:sz="8" w:space="0" w:color="000000"/>
              <w:right w:val="single" w:sz="8" w:space="0" w:color="000000"/>
            </w:tcBorders>
            <w:shd w:val="clear" w:color="000000" w:fill="FFFFFF"/>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15 720 570</w:t>
            </w:r>
          </w:p>
        </w:tc>
      </w:tr>
      <w:tr w:rsidR="0076641A" w:rsidRPr="0076641A" w:rsidTr="0076641A">
        <w:trPr>
          <w:trHeight w:hRule="exact" w:val="397"/>
        </w:trPr>
        <w:tc>
          <w:tcPr>
            <w:tcW w:w="1574" w:type="dxa"/>
            <w:vMerge/>
            <w:tcBorders>
              <w:top w:val="nil"/>
              <w:left w:val="single" w:sz="8" w:space="0" w:color="000000"/>
              <w:bottom w:val="single" w:sz="8" w:space="0" w:color="000000"/>
              <w:right w:val="single" w:sz="8" w:space="0" w:color="000000"/>
            </w:tcBorders>
            <w:vAlign w:val="center"/>
            <w:hideMark/>
          </w:tcPr>
          <w:p w:rsidR="0076641A" w:rsidRPr="0076641A" w:rsidRDefault="0076641A" w:rsidP="0076641A">
            <w:pPr>
              <w:spacing w:before="0"/>
              <w:jc w:val="left"/>
              <w:rPr>
                <w:rFonts w:eastAsia="Times New Roman"/>
                <w:color w:val="000000"/>
                <w:sz w:val="18"/>
                <w:szCs w:val="18"/>
                <w:lang w:eastAsia="et-EE"/>
              </w:rPr>
            </w:pPr>
          </w:p>
        </w:tc>
        <w:tc>
          <w:tcPr>
            <w:tcW w:w="2126" w:type="dxa"/>
            <w:tcBorders>
              <w:top w:val="nil"/>
              <w:left w:val="nil"/>
              <w:bottom w:val="single" w:sz="8" w:space="0" w:color="000000"/>
              <w:right w:val="single" w:sz="8" w:space="0" w:color="000000"/>
            </w:tcBorders>
            <w:shd w:val="clear" w:color="auto" w:fill="auto"/>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Müük realiseerunud, leping sõlmitud</w:t>
            </w:r>
          </w:p>
        </w:tc>
        <w:tc>
          <w:tcPr>
            <w:tcW w:w="1276"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bCs/>
                <w:color w:val="000000"/>
                <w:sz w:val="18"/>
                <w:szCs w:val="18"/>
                <w:lang w:eastAsia="et-EE"/>
              </w:rPr>
              <w:t>527</w:t>
            </w:r>
          </w:p>
        </w:tc>
        <w:tc>
          <w:tcPr>
            <w:tcW w:w="1559" w:type="dxa"/>
            <w:tcBorders>
              <w:top w:val="nil"/>
              <w:left w:val="nil"/>
              <w:bottom w:val="single" w:sz="8" w:space="0" w:color="000000"/>
              <w:right w:val="single" w:sz="8" w:space="0" w:color="000000"/>
            </w:tcBorders>
            <w:shd w:val="clear" w:color="auto" w:fill="auto"/>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bCs/>
                <w:color w:val="000000"/>
                <w:sz w:val="18"/>
                <w:szCs w:val="18"/>
                <w:lang w:eastAsia="et-EE"/>
              </w:rPr>
              <w:t>2 798,44</w:t>
            </w:r>
          </w:p>
        </w:tc>
        <w:tc>
          <w:tcPr>
            <w:tcW w:w="2551" w:type="dxa"/>
            <w:tcBorders>
              <w:top w:val="nil"/>
              <w:left w:val="nil"/>
              <w:bottom w:val="single" w:sz="8" w:space="0" w:color="000000"/>
              <w:right w:val="single" w:sz="8" w:space="0" w:color="000000"/>
            </w:tcBorders>
            <w:shd w:val="clear" w:color="000000" w:fill="FFFFFF"/>
            <w:vAlign w:val="center"/>
            <w:hideMark/>
          </w:tcPr>
          <w:p w:rsidR="0076641A" w:rsidRPr="0076641A" w:rsidRDefault="0076641A" w:rsidP="0076641A">
            <w:pPr>
              <w:spacing w:before="0"/>
              <w:jc w:val="center"/>
              <w:rPr>
                <w:rFonts w:eastAsia="Times New Roman"/>
                <w:color w:val="000000"/>
                <w:sz w:val="18"/>
                <w:szCs w:val="18"/>
                <w:lang w:eastAsia="et-EE"/>
              </w:rPr>
            </w:pPr>
            <w:r w:rsidRPr="0076641A">
              <w:rPr>
                <w:rFonts w:eastAsia="Times New Roman"/>
                <w:color w:val="000000"/>
                <w:sz w:val="18"/>
                <w:szCs w:val="18"/>
                <w:lang w:eastAsia="et-EE"/>
              </w:rPr>
              <w:t>12 808 607</w:t>
            </w:r>
          </w:p>
        </w:tc>
      </w:tr>
    </w:tbl>
    <w:p w:rsidR="00B6319C" w:rsidRPr="00FB1764" w:rsidRDefault="00B6319C" w:rsidP="00B6319C">
      <w:pPr>
        <w:autoSpaceDE w:val="0"/>
        <w:autoSpaceDN w:val="0"/>
        <w:adjustRightInd w:val="0"/>
      </w:pPr>
    </w:p>
    <w:p w:rsidR="00B6319C" w:rsidRPr="00E83DCB" w:rsidRDefault="00B6319C" w:rsidP="00351253">
      <w:pPr>
        <w:pStyle w:val="ListParagraph"/>
      </w:pPr>
      <w:r w:rsidRPr="00E83DCB">
        <w:t>Enampakkumistel on atraktiivsemaks osutunud maatulundusmaad, eriti metsamaad (</w:t>
      </w:r>
      <w:r w:rsidR="00A85FDC" w:rsidRPr="00E83DCB">
        <w:fldChar w:fldCharType="begin"/>
      </w:r>
      <w:r w:rsidRPr="00E83DCB">
        <w:instrText xml:space="preserve"> REF _Ref418009245 \h </w:instrText>
      </w:r>
      <w:r w:rsidR="00A85FDC" w:rsidRPr="00E83DCB">
        <w:fldChar w:fldCharType="separate"/>
      </w:r>
      <w:r w:rsidR="00477322">
        <w:t xml:space="preserve">Tabel </w:t>
      </w:r>
      <w:r w:rsidR="00477322">
        <w:rPr>
          <w:noProof/>
        </w:rPr>
        <w:t>5</w:t>
      </w:r>
      <w:r w:rsidR="00A85FDC" w:rsidRPr="00E83DCB">
        <w:fldChar w:fldCharType="end"/>
      </w:r>
      <w:r w:rsidRPr="00E83DCB">
        <w:t>).</w:t>
      </w:r>
    </w:p>
    <w:p w:rsidR="00B6319C" w:rsidRDefault="00B6319C" w:rsidP="00B6319C">
      <w:pPr>
        <w:pStyle w:val="Caption"/>
        <w:spacing w:before="120"/>
      </w:pPr>
      <w:bookmarkStart w:id="144" w:name="_Ref418009245"/>
      <w:r>
        <w:t xml:space="preserve">Tabel </w:t>
      </w:r>
      <w:fldSimple w:instr=" SEQ Tabel \* ARABIC ">
        <w:r w:rsidR="00477322">
          <w:rPr>
            <w:noProof/>
          </w:rPr>
          <w:t>5</w:t>
        </w:r>
      </w:fldSimple>
      <w:bookmarkEnd w:id="144"/>
      <w:r>
        <w:t>.</w:t>
      </w:r>
      <w:r w:rsidRPr="00630205">
        <w:t xml:space="preserve"> </w:t>
      </w:r>
      <w:r w:rsidR="0076641A">
        <w:t>Maa-ameti poolt e</w:t>
      </w:r>
      <w:r w:rsidRPr="00630205">
        <w:t>nampakkumise teel võõrandatud maade ülevaade sihtotstarvete kaupa aastatel 2011-2014</w:t>
      </w:r>
    </w:p>
    <w:tbl>
      <w:tblPr>
        <w:tblW w:w="9087" w:type="dxa"/>
        <w:tblInd w:w="55" w:type="dxa"/>
        <w:tblCellMar>
          <w:left w:w="70" w:type="dxa"/>
          <w:right w:w="70" w:type="dxa"/>
        </w:tblCellMar>
        <w:tblLook w:val="04A0"/>
      </w:tblPr>
      <w:tblGrid>
        <w:gridCol w:w="1575"/>
        <w:gridCol w:w="2126"/>
        <w:gridCol w:w="1701"/>
        <w:gridCol w:w="1559"/>
        <w:gridCol w:w="2126"/>
      </w:tblGrid>
      <w:tr w:rsidR="00225A5C" w:rsidRPr="00225A5C" w:rsidTr="00225A5C">
        <w:trPr>
          <w:trHeight w:val="315"/>
        </w:trPr>
        <w:tc>
          <w:tcPr>
            <w:tcW w:w="1575"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Aasta</w:t>
            </w:r>
          </w:p>
        </w:tc>
        <w:tc>
          <w:tcPr>
            <w:tcW w:w="2126" w:type="dxa"/>
            <w:tcBorders>
              <w:top w:val="single" w:sz="8" w:space="0" w:color="auto"/>
              <w:left w:val="single" w:sz="4" w:space="0" w:color="auto"/>
              <w:bottom w:val="single" w:sz="8" w:space="0" w:color="auto"/>
              <w:right w:val="single" w:sz="8" w:space="0" w:color="auto"/>
            </w:tcBorders>
            <w:shd w:val="clear" w:color="000000" w:fill="C5D9F1"/>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Sihtotstarve</w:t>
            </w:r>
          </w:p>
        </w:tc>
        <w:tc>
          <w:tcPr>
            <w:tcW w:w="1701" w:type="dxa"/>
            <w:tcBorders>
              <w:top w:val="single" w:sz="8" w:space="0" w:color="auto"/>
              <w:left w:val="nil"/>
              <w:bottom w:val="single" w:sz="8" w:space="0" w:color="auto"/>
              <w:right w:val="single" w:sz="8" w:space="0" w:color="auto"/>
            </w:tcBorders>
            <w:shd w:val="clear" w:color="000000" w:fill="C5D9F1"/>
            <w:vAlign w:val="bottom"/>
            <w:hideMark/>
          </w:tcPr>
          <w:p w:rsidR="00225A5C" w:rsidRPr="00225A5C" w:rsidRDefault="00655E30" w:rsidP="00225A5C">
            <w:pPr>
              <w:spacing w:before="0"/>
              <w:jc w:val="center"/>
              <w:rPr>
                <w:rFonts w:eastAsia="Times New Roman"/>
                <w:b/>
                <w:bCs/>
                <w:color w:val="000000"/>
                <w:sz w:val="18"/>
                <w:szCs w:val="18"/>
                <w:lang w:eastAsia="et-EE"/>
              </w:rPr>
            </w:pPr>
            <w:r>
              <w:rPr>
                <w:rFonts w:eastAsia="Times New Roman"/>
                <w:b/>
                <w:bCs/>
                <w:color w:val="000000"/>
                <w:sz w:val="18"/>
                <w:szCs w:val="18"/>
                <w:lang w:eastAsia="et-EE"/>
              </w:rPr>
              <w:t>Pindala</w:t>
            </w:r>
            <w:r w:rsidR="00225A5C" w:rsidRPr="00225A5C">
              <w:rPr>
                <w:rFonts w:eastAsia="Times New Roman"/>
                <w:b/>
                <w:bCs/>
                <w:color w:val="000000"/>
                <w:sz w:val="18"/>
                <w:szCs w:val="18"/>
                <w:lang w:eastAsia="et-EE"/>
              </w:rPr>
              <w:t xml:space="preserve"> (ha)</w:t>
            </w:r>
          </w:p>
        </w:tc>
        <w:tc>
          <w:tcPr>
            <w:tcW w:w="1559" w:type="dxa"/>
            <w:tcBorders>
              <w:top w:val="single" w:sz="8" w:space="0" w:color="auto"/>
              <w:left w:val="nil"/>
              <w:bottom w:val="single" w:sz="8" w:space="0" w:color="auto"/>
              <w:right w:val="single" w:sz="8" w:space="0" w:color="auto"/>
            </w:tcBorders>
            <w:shd w:val="clear" w:color="000000" w:fill="C5D9F1"/>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Kinnistute arv</w:t>
            </w:r>
          </w:p>
        </w:tc>
        <w:tc>
          <w:tcPr>
            <w:tcW w:w="2126" w:type="dxa"/>
            <w:tcBorders>
              <w:top w:val="single" w:sz="8" w:space="0" w:color="auto"/>
              <w:left w:val="nil"/>
              <w:bottom w:val="single" w:sz="8" w:space="0" w:color="auto"/>
              <w:right w:val="single" w:sz="8" w:space="0" w:color="auto"/>
            </w:tcBorders>
            <w:shd w:val="clear" w:color="000000" w:fill="C5D9F1"/>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Summa (mlj.eurot)</w:t>
            </w:r>
          </w:p>
        </w:tc>
      </w:tr>
      <w:tr w:rsidR="00225A5C" w:rsidRPr="00225A5C" w:rsidTr="00225A5C">
        <w:trPr>
          <w:trHeight w:val="315"/>
        </w:trPr>
        <w:tc>
          <w:tcPr>
            <w:tcW w:w="1575" w:type="dxa"/>
            <w:vMerge w:val="restart"/>
            <w:tcBorders>
              <w:top w:val="single" w:sz="4" w:space="0" w:color="auto"/>
              <w:left w:val="single" w:sz="8" w:space="0" w:color="auto"/>
              <w:bottom w:val="single" w:sz="8" w:space="0" w:color="000000"/>
              <w:right w:val="single" w:sz="8" w:space="0" w:color="auto"/>
            </w:tcBorders>
            <w:shd w:val="clear" w:color="auto" w:fill="auto"/>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2011</w:t>
            </w: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Elamumaa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66</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83</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1,51</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Maatulundusmaa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14718</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1304</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26,46</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Muud maad</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9</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14</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1,22</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14793</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1401</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29,19</w:t>
            </w:r>
          </w:p>
        </w:tc>
      </w:tr>
      <w:tr w:rsidR="00225A5C" w:rsidRPr="00225A5C" w:rsidTr="00225A5C">
        <w:trPr>
          <w:trHeight w:val="315"/>
        </w:trPr>
        <w:tc>
          <w:tcPr>
            <w:tcW w:w="157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2012</w:t>
            </w: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Elamumaa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21</w:t>
            </w:r>
          </w:p>
        </w:tc>
        <w:tc>
          <w:tcPr>
            <w:tcW w:w="1559"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81</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3,16</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Maatulundusmaa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6742</w:t>
            </w:r>
          </w:p>
        </w:tc>
        <w:tc>
          <w:tcPr>
            <w:tcW w:w="1559"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647</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14,62</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Muud maad</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15</w:t>
            </w:r>
          </w:p>
        </w:tc>
        <w:tc>
          <w:tcPr>
            <w:tcW w:w="1559" w:type="dxa"/>
            <w:tcBorders>
              <w:top w:val="nil"/>
              <w:left w:val="nil"/>
              <w:bottom w:val="single" w:sz="8" w:space="0" w:color="auto"/>
              <w:right w:val="single" w:sz="8" w:space="0" w:color="auto"/>
            </w:tcBorders>
            <w:shd w:val="clear" w:color="auto" w:fill="auto"/>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26</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2,67</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6778</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754</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20,45</w:t>
            </w:r>
          </w:p>
        </w:tc>
      </w:tr>
      <w:tr w:rsidR="00225A5C" w:rsidRPr="00225A5C" w:rsidTr="00225A5C">
        <w:trPr>
          <w:trHeight w:val="315"/>
        </w:trPr>
        <w:tc>
          <w:tcPr>
            <w:tcW w:w="1575" w:type="dxa"/>
            <w:vMerge w:val="restart"/>
            <w:tcBorders>
              <w:top w:val="nil"/>
              <w:left w:val="single" w:sz="8" w:space="0" w:color="auto"/>
              <w:bottom w:val="single" w:sz="8" w:space="0" w:color="000000"/>
              <w:right w:val="single" w:sz="8" w:space="0" w:color="auto"/>
            </w:tcBorders>
            <w:shd w:val="clear" w:color="auto" w:fill="auto"/>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2013</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Elamumaa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52</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104</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1,5</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Maatulundusmaa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6048</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629</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14,99</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Muud maad</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37</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39</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color w:val="000000"/>
                <w:sz w:val="18"/>
                <w:szCs w:val="18"/>
                <w:lang w:eastAsia="et-EE"/>
              </w:rPr>
              <w:t>1,19</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6137</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772</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17,68</w:t>
            </w:r>
          </w:p>
        </w:tc>
      </w:tr>
      <w:tr w:rsidR="00225A5C" w:rsidRPr="00225A5C" w:rsidTr="00225A5C">
        <w:trPr>
          <w:trHeight w:val="315"/>
        </w:trPr>
        <w:tc>
          <w:tcPr>
            <w:tcW w:w="1575" w:type="dxa"/>
            <w:vMerge w:val="restart"/>
            <w:tcBorders>
              <w:top w:val="nil"/>
              <w:left w:val="single" w:sz="8" w:space="0" w:color="auto"/>
              <w:bottom w:val="single" w:sz="8" w:space="0" w:color="000000"/>
              <w:right w:val="single" w:sz="8" w:space="0" w:color="auto"/>
            </w:tcBorders>
            <w:shd w:val="clear" w:color="auto" w:fill="auto"/>
            <w:vAlign w:val="bottom"/>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2014</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Elamumaa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47</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107</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2,73</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Maatulundusmaa</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2700</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381</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6,76</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Muud maad</w:t>
            </w:r>
          </w:p>
        </w:tc>
        <w:tc>
          <w:tcPr>
            <w:tcW w:w="1701"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52</w:t>
            </w:r>
          </w:p>
        </w:tc>
        <w:tc>
          <w:tcPr>
            <w:tcW w:w="1559"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39</w:t>
            </w:r>
          </w:p>
        </w:tc>
        <w:tc>
          <w:tcPr>
            <w:tcW w:w="2126" w:type="dxa"/>
            <w:tcBorders>
              <w:top w:val="nil"/>
              <w:left w:val="nil"/>
              <w:bottom w:val="single" w:sz="8" w:space="0" w:color="auto"/>
              <w:right w:val="single" w:sz="8" w:space="0" w:color="auto"/>
            </w:tcBorders>
            <w:shd w:val="clear" w:color="auto" w:fill="auto"/>
            <w:noWrap/>
            <w:vAlign w:val="bottom"/>
            <w:hideMark/>
          </w:tcPr>
          <w:p w:rsidR="00225A5C" w:rsidRPr="00225A5C" w:rsidRDefault="00225A5C" w:rsidP="00225A5C">
            <w:pPr>
              <w:spacing w:before="0"/>
              <w:jc w:val="center"/>
              <w:rPr>
                <w:rFonts w:eastAsia="Times New Roman"/>
                <w:color w:val="000000"/>
                <w:sz w:val="18"/>
                <w:szCs w:val="18"/>
                <w:lang w:eastAsia="et-EE"/>
              </w:rPr>
            </w:pPr>
            <w:r w:rsidRPr="00225A5C">
              <w:rPr>
                <w:rFonts w:eastAsia="Times New Roman"/>
                <w:bCs/>
                <w:color w:val="000000"/>
                <w:sz w:val="18"/>
                <w:szCs w:val="18"/>
                <w:lang w:eastAsia="et-EE"/>
              </w:rPr>
              <w:t>3,32</w:t>
            </w:r>
          </w:p>
        </w:tc>
      </w:tr>
      <w:tr w:rsidR="00225A5C" w:rsidRPr="00225A5C" w:rsidTr="00225A5C">
        <w:trPr>
          <w:trHeight w:val="315"/>
        </w:trPr>
        <w:tc>
          <w:tcPr>
            <w:tcW w:w="1575" w:type="dxa"/>
            <w:vMerge/>
            <w:tcBorders>
              <w:top w:val="nil"/>
              <w:left w:val="single" w:sz="8" w:space="0" w:color="auto"/>
              <w:bottom w:val="single" w:sz="8" w:space="0" w:color="000000"/>
              <w:right w:val="single" w:sz="8" w:space="0" w:color="auto"/>
            </w:tcBorders>
            <w:vAlign w:val="center"/>
            <w:hideMark/>
          </w:tcPr>
          <w:p w:rsidR="00225A5C" w:rsidRPr="00225A5C" w:rsidRDefault="00225A5C" w:rsidP="00225A5C">
            <w:pPr>
              <w:spacing w:before="0"/>
              <w:jc w:val="left"/>
              <w:rPr>
                <w:rFonts w:eastAsia="Times New Roman"/>
                <w:b/>
                <w:bCs/>
                <w:color w:val="000000"/>
                <w:sz w:val="18"/>
                <w:szCs w:val="18"/>
                <w:lang w:eastAsia="et-EE"/>
              </w:rPr>
            </w:pPr>
          </w:p>
        </w:tc>
        <w:tc>
          <w:tcPr>
            <w:tcW w:w="2126" w:type="dxa"/>
            <w:tcBorders>
              <w:top w:val="nil"/>
              <w:left w:val="nil"/>
              <w:bottom w:val="single" w:sz="8" w:space="0" w:color="auto"/>
              <w:right w:val="single" w:sz="8" w:space="0" w:color="auto"/>
            </w:tcBorders>
            <w:shd w:val="clear" w:color="auto" w:fill="auto"/>
            <w:noWrap/>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auto" w:fill="auto"/>
            <w:noWrap/>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2798</w:t>
            </w:r>
          </w:p>
        </w:tc>
        <w:tc>
          <w:tcPr>
            <w:tcW w:w="1559" w:type="dxa"/>
            <w:tcBorders>
              <w:top w:val="nil"/>
              <w:left w:val="nil"/>
              <w:bottom w:val="single" w:sz="8" w:space="0" w:color="auto"/>
              <w:right w:val="single" w:sz="8" w:space="0" w:color="auto"/>
            </w:tcBorders>
            <w:shd w:val="clear" w:color="auto" w:fill="auto"/>
            <w:noWrap/>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527</w:t>
            </w:r>
          </w:p>
        </w:tc>
        <w:tc>
          <w:tcPr>
            <w:tcW w:w="2126" w:type="dxa"/>
            <w:tcBorders>
              <w:top w:val="nil"/>
              <w:left w:val="nil"/>
              <w:bottom w:val="single" w:sz="8" w:space="0" w:color="auto"/>
              <w:right w:val="single" w:sz="8" w:space="0" w:color="auto"/>
            </w:tcBorders>
            <w:shd w:val="clear" w:color="auto" w:fill="auto"/>
            <w:noWrap/>
            <w:hideMark/>
          </w:tcPr>
          <w:p w:rsidR="00225A5C" w:rsidRPr="00225A5C" w:rsidRDefault="00225A5C" w:rsidP="00225A5C">
            <w:pPr>
              <w:spacing w:before="0"/>
              <w:jc w:val="center"/>
              <w:rPr>
                <w:rFonts w:eastAsia="Times New Roman"/>
                <w:b/>
                <w:bCs/>
                <w:color w:val="000000"/>
                <w:sz w:val="18"/>
                <w:szCs w:val="18"/>
                <w:lang w:eastAsia="et-EE"/>
              </w:rPr>
            </w:pPr>
            <w:r w:rsidRPr="00225A5C">
              <w:rPr>
                <w:rFonts w:eastAsia="Times New Roman"/>
                <w:b/>
                <w:bCs/>
                <w:color w:val="000000"/>
                <w:sz w:val="18"/>
                <w:szCs w:val="18"/>
                <w:lang w:eastAsia="et-EE"/>
              </w:rPr>
              <w:t>12,81</w:t>
            </w:r>
          </w:p>
        </w:tc>
      </w:tr>
    </w:tbl>
    <w:p w:rsidR="00B6319C" w:rsidRDefault="00B6319C" w:rsidP="00351253">
      <w:pPr>
        <w:pStyle w:val="ListParagraph"/>
      </w:pPr>
      <w:r w:rsidRPr="006768AA">
        <w:t xml:space="preserve">Kuigi </w:t>
      </w:r>
      <w:r>
        <w:t xml:space="preserve">enampakkumisel </w:t>
      </w:r>
      <w:r w:rsidRPr="006768AA">
        <w:t xml:space="preserve">müüdud kinnistute arv on viimastel aastatel vähenenud, on selline maht </w:t>
      </w:r>
      <w:r>
        <w:t xml:space="preserve">Maa-ameti hinnangul </w:t>
      </w:r>
      <w:r w:rsidRPr="006768AA">
        <w:t>kujunenud optimaalseks, kuna kinnistute müügi ettevalmistamiseks tehtavate toimingu</w:t>
      </w:r>
      <w:r w:rsidR="00225A5C">
        <w:t>te maht on oluliselt kasvanud.</w:t>
      </w:r>
    </w:p>
    <w:p w:rsidR="00B6319C" w:rsidRPr="00FB1764" w:rsidRDefault="00B6319C" w:rsidP="00B6319C">
      <w:pPr>
        <w:ind w:left="360"/>
      </w:pPr>
      <w:r w:rsidRPr="006768AA">
        <w:t>Enampakkumisele suunatavate maaüksuste ettevalmistamisel on kujunenud oluliseks probleemiks maakatastris registreerimata tehnovõrkude talumiskohustusest ning reostusest tulenevad riskid, kuna selliste objektide olemasolu ei ole riiklike andmebaaside kaudu võimalik tuvastada.</w:t>
      </w:r>
    </w:p>
    <w:p w:rsidR="00B6319C" w:rsidRPr="00FB1764" w:rsidRDefault="00B6319C" w:rsidP="00B6319C">
      <w:pPr>
        <w:ind w:left="360"/>
        <w:rPr>
          <w:color w:val="000000" w:themeColor="text1"/>
        </w:rPr>
      </w:pPr>
      <w:r w:rsidRPr="006768AA">
        <w:rPr>
          <w:color w:val="000000" w:themeColor="text1"/>
        </w:rPr>
        <w:t>Müügitegevusega kaasnevate riskide maandamiseks on Maa-amet töötanud v</w:t>
      </w:r>
      <w:r w:rsidR="00225A5C">
        <w:rPr>
          <w:color w:val="000000" w:themeColor="text1"/>
        </w:rPr>
        <w:t xml:space="preserve">älja toimingute süsteemi, mida </w:t>
      </w:r>
      <w:r w:rsidRPr="006768AA">
        <w:rPr>
          <w:color w:val="000000" w:themeColor="text1"/>
        </w:rPr>
        <w:t xml:space="preserve">pidevalt täiendatakse, et iga müüki suunatav maaüksus oleks võimalikult detailselt analüüsitud. Seetõttu on maaüksuste müügiks ettevalmistamine kujunenud väga ajamahukaks tegevuseks. </w:t>
      </w:r>
    </w:p>
    <w:p w:rsidR="00B6319C" w:rsidRPr="00FB1764" w:rsidRDefault="00B6319C" w:rsidP="00B6319C">
      <w:pPr>
        <w:ind w:left="360"/>
        <w:rPr>
          <w:rFonts w:eastAsiaTheme="majorEastAsia"/>
        </w:rPr>
      </w:pPr>
      <w:r w:rsidRPr="006768AA">
        <w:t>Võõrandamise menetluse käigus teostatud a</w:t>
      </w:r>
      <w:r>
        <w:t xml:space="preserve">nalüüsi tulemusel võib ilmneda </w:t>
      </w:r>
      <w:r w:rsidRPr="006768AA">
        <w:t>asjaolusid, mille tõttu maaüksus(t)e müümine tuleb peatada või üldse müümisest loobuda. Võimaluse korral suunatakse sellised maaüksused kasutamiseks andmise menetlusse, et tagada maakasutus seni, ku</w:t>
      </w:r>
      <w:r w:rsidR="00225A5C">
        <w:t>n</w:t>
      </w:r>
      <w:r w:rsidRPr="006768AA">
        <w:t>i selgub täpsemalt, kas seda maad on vajalik pikemas perspektiivi</w:t>
      </w:r>
      <w:r w:rsidR="00225A5C">
        <w:t>s</w:t>
      </w:r>
      <w:r w:rsidRPr="006768AA">
        <w:t xml:space="preserve"> hoida riigi omandis. Maaüksused, mida ei ole võimalik teisele isikule kasutamiseks anda, säilitatakse kasutusvõimaluste selgumiseni maaservina.</w:t>
      </w:r>
    </w:p>
    <w:p w:rsidR="00B6319C" w:rsidRPr="00953D51" w:rsidRDefault="00B6319C" w:rsidP="00351253">
      <w:pPr>
        <w:pStyle w:val="ListParagraph"/>
      </w:pPr>
      <w:r w:rsidRPr="00953D51">
        <w:t>Keskmise realiseerunud maaüksuse pind on vähenenud, mis on tingitud sellest, et maareformi käigus jäetakse riigi omandisse väiksemaid maaüksusi. Müüki on suunatud ka enam kõrgete hoiukuludega tiheasustusaladel asuvaid maid, mis on pindalaliselt väiksemad.</w:t>
      </w:r>
    </w:p>
    <w:p w:rsidR="00B6319C" w:rsidRPr="00FB1764" w:rsidRDefault="00B6319C" w:rsidP="00351253">
      <w:pPr>
        <w:pStyle w:val="ListParagraph"/>
      </w:pPr>
      <w:r w:rsidRPr="00953D51">
        <w:t>Maareformi käigus tekib riigi maareservi järjest rohkem väga väikese pindalaga põllumajandusmaid, mille kasutusse andmine ei ole põhjendatud, kuna kasutustasud võivad osutuda väiksemaks kui nende maaüksuste kasutuslepingute haldamise kulud. Kuna ka selliste maaüksuste kasutamise jätkumine on oluline, siis tuleb väikesepindalalised</w:t>
      </w:r>
      <w:r w:rsidRPr="006768AA">
        <w:t xml:space="preserve"> põllumajandusmaad võimalikult kiiresti müüki suunata. </w:t>
      </w:r>
    </w:p>
    <w:p w:rsidR="00B6319C" w:rsidRPr="00FB1764" w:rsidRDefault="00B6319C" w:rsidP="00B6319C">
      <w:pPr>
        <w:ind w:left="360"/>
      </w:pPr>
      <w:r w:rsidRPr="006768AA">
        <w:t>Tiheasustusaladel suunatakse müüki üldjuhul eelkõige sellised maaüksused, mille kohta on kodanikud avaldanud või omavalitsus teada andnud ostuhuvi. Sellele vaatamata ei õnnestu kõiki üks</w:t>
      </w:r>
      <w:r w:rsidR="00111366">
        <w:t>usi enampakkumisel võõrandada.</w:t>
      </w:r>
    </w:p>
    <w:p w:rsidR="00B6319C" w:rsidRPr="00FB1764" w:rsidRDefault="00B6319C" w:rsidP="00B6319C">
      <w:pPr>
        <w:ind w:left="360"/>
      </w:pPr>
      <w:r w:rsidRPr="006768AA">
        <w:t>Müüki suunatavate maaüksuste valikud on muutunud aja jooksul vastavalt sellele, millise sihtotstarbega maaüksused on mingil perioodil turul atraktiivsemad olnud. Samuti on valikute tegemist mõjutanud riigieelarve seaduses ette nähtud tulu saamise kohustus</w:t>
      </w:r>
      <w:r>
        <w:t>.</w:t>
      </w:r>
      <w:r w:rsidRPr="006768AA">
        <w:t xml:space="preserve"> </w:t>
      </w:r>
      <w:r>
        <w:t>Näiteks</w:t>
      </w:r>
      <w:r w:rsidRPr="006768AA">
        <w:t xml:space="preserve"> suurema rahalise kohustuse täitmiseks tuli aastatel 2009-2011 müüki suunata enam metsaga maatulundusmaad, mille müügi tulemuslikkus oli suurem. Müügitulu kohustuse vähenemine on andnud võimaluse müüki suunatavate maaüksuste valimisel arvestada rohkem riigi vajadusi pikemas perspektiivis, teha põhjalikumalt ja kvaliteetsemalt müügi ettevalmistust ning suunata enam müüki tiheasustusaladel paiknevaid kinnistuid, et hoida kokku maaüksus</w:t>
      </w:r>
      <w:r>
        <w:t>te haldamisega seotud kulusid.</w:t>
      </w:r>
    </w:p>
    <w:p w:rsidR="00B6319C" w:rsidRPr="00D1081B" w:rsidRDefault="00B6319C" w:rsidP="00351253">
      <w:pPr>
        <w:pStyle w:val="ListParagraph"/>
      </w:pPr>
      <w:r w:rsidRPr="00D1081B">
        <w:t xml:space="preserve">Maa-amet on iga eelarveaasta jooksul müüki suunatavate maaüksuste välja valimisel lähtunud järgmistest valikukriteeriumitest: </w:t>
      </w:r>
    </w:p>
    <w:p w:rsidR="00B6319C" w:rsidRPr="00FB1764" w:rsidRDefault="00B6319C" w:rsidP="00B5232C">
      <w:pPr>
        <w:pStyle w:val="Loend1"/>
        <w:ind w:left="924"/>
      </w:pPr>
      <w:r w:rsidRPr="006768AA">
        <w:t>alla 50-hektarilised põllumajandusmaa üksused, mille väärtuse edaspidist tõusmist ei ole nende suuruse, asukoha, juurdepääsu või kvaliteedi tõttu ette näha ja mille võõrandamine on otstarbekas põllumajandusliku kasutuse jätkumise soodustamise eesmärgil. Nendest eelisjärjekorras suunatakse võõrandamisele maad</w:t>
      </w:r>
      <w:r>
        <w:t>,</w:t>
      </w:r>
      <w:r w:rsidRPr="006768AA">
        <w:t xml:space="preserve"> mis on eelnevalt olnud kasutuses maa ajutise kasutamise lepingu alusel.</w:t>
      </w:r>
    </w:p>
    <w:p w:rsidR="00B6319C" w:rsidRPr="00FB1764" w:rsidRDefault="00B6319C" w:rsidP="00B5232C">
      <w:pPr>
        <w:pStyle w:val="Loend1"/>
        <w:ind w:left="924"/>
      </w:pPr>
      <w:r w:rsidRPr="006768AA">
        <w:t>tiheasustusega alal või kompaktse hoonestusega alal paiknevad maaüksused, mille haldamine on seotud suurte kuludega nagu maamaks, hooldamise kulud, planeerimise ja planeeringute elluviimisega seotud kulud.</w:t>
      </w:r>
    </w:p>
    <w:p w:rsidR="00B6319C" w:rsidRPr="00FB1764" w:rsidRDefault="00B6319C" w:rsidP="00B5232C">
      <w:pPr>
        <w:pStyle w:val="Loend1"/>
        <w:ind w:left="924"/>
      </w:pPr>
      <w:r w:rsidRPr="006768AA">
        <w:t>maaparandus- jms projektidega seotud maad, millega kaasnevad või võivad kaasneda riigile kulud.</w:t>
      </w:r>
    </w:p>
    <w:p w:rsidR="00B6319C" w:rsidRPr="00FB1764" w:rsidRDefault="00B6319C" w:rsidP="00B5232C">
      <w:pPr>
        <w:pStyle w:val="Loend1"/>
        <w:ind w:left="924"/>
      </w:pPr>
      <w:r w:rsidRPr="006768AA">
        <w:t xml:space="preserve">eramaade vahel hajaasustusega alal paiknevad maaüksused, sh juurdepääsuta maad ja alla 100-hektarilised puittaimestikuga kaetud maad. </w:t>
      </w:r>
      <w:bookmarkStart w:id="145" w:name="BM_________"/>
      <w:bookmarkEnd w:id="145"/>
    </w:p>
    <w:p w:rsidR="00B6319C" w:rsidRPr="00FB1764" w:rsidRDefault="00B6319C" w:rsidP="00B5232C">
      <w:pPr>
        <w:pStyle w:val="Loend1"/>
        <w:ind w:left="924"/>
      </w:pPr>
      <w:r w:rsidRPr="006768AA">
        <w:t xml:space="preserve">väheväärtuslikud maad ja maareformi läbiviimise eesmärgil riigi omandisse jäetud riigile mittevajalikud maad. </w:t>
      </w:r>
    </w:p>
    <w:p w:rsidR="00B6319C" w:rsidRPr="00FB1764" w:rsidRDefault="00B6319C" w:rsidP="00B5232C">
      <w:pPr>
        <w:pStyle w:val="Loend1"/>
        <w:ind w:left="924"/>
      </w:pPr>
      <w:r w:rsidRPr="006768AA">
        <w:t>müüki suunatavate üksuste müügijärjekorra kujundamisel arvestatakse võimaluse piires muuhulgas ka Keskkonnaministeeriumile või Maa-</w:t>
      </w:r>
      <w:r w:rsidR="008F7FC7">
        <w:t>ametile avaldatud ostuhuvisid.</w:t>
      </w:r>
    </w:p>
    <w:p w:rsidR="00B6319C" w:rsidRDefault="00B6319C" w:rsidP="00683BB5">
      <w:pPr>
        <w:pStyle w:val="Pealkiri3"/>
        <w:rPr>
          <w:rFonts w:eastAsiaTheme="majorEastAsia"/>
        </w:rPr>
      </w:pPr>
      <w:bookmarkStart w:id="146" w:name="_Ref427228537"/>
      <w:bookmarkStart w:id="147" w:name="_Toc433980696"/>
      <w:r>
        <w:rPr>
          <w:rFonts w:eastAsiaTheme="majorEastAsia"/>
        </w:rPr>
        <w:t>Võõrandamine otsustuskorras</w:t>
      </w:r>
      <w:bookmarkEnd w:id="146"/>
      <w:bookmarkEnd w:id="147"/>
    </w:p>
    <w:p w:rsidR="00B6319C" w:rsidRPr="0048335A" w:rsidRDefault="00B6319C" w:rsidP="00B6319C">
      <w:r>
        <w:t>Riigivara võib otsustuskorras võõrandada harilikule väärtusele vastava tasu eest või v</w:t>
      </w:r>
      <w:r w:rsidRPr="0048335A">
        <w:t>astavalt RVS §33 lõikele 1 tasuta või alla hariliku</w:t>
      </w:r>
      <w:r>
        <w:t xml:space="preserve"> väärtuse Vabariigi Valitsuse nõusolekul, kui vara on vajalik </w:t>
      </w:r>
      <w:r w:rsidRPr="0048335A">
        <w:t>avalike ülesannete täitmiseks kohaliku omavalitsuse üksusele, avalik-õiguslikule juriidilisele isikule, mittetulundusühingule või sihtasutusele pääste-, haridus-, teadus-, kultuuri-, keele- või noortetööga seotud ülesande või tervishoiu- või sotsiaalteenuse osutamise ülesande täitmiseks</w:t>
      </w:r>
      <w:r w:rsidRPr="00501C45">
        <w:t>; v</w:t>
      </w:r>
      <w:r w:rsidRPr="0048335A">
        <w:t xml:space="preserve">älisriigile diplomaatilise, konsulaar- või kaubandusesinduse tarbeks. </w:t>
      </w:r>
    </w:p>
    <w:p w:rsidR="00B6319C" w:rsidRDefault="00B6319C" w:rsidP="00B6319C">
      <w:r w:rsidRPr="00494451">
        <w:t>Kui kinnisasi on võõrandatud tasuta või alla hariliku väärtuse, siis kinnisasja omandanud isik on kohustatud kinnistu edasivõõrandamise korral tulenevalt RVS §33 lõikest 3 riigile hüvitama 65% vara harilikust</w:t>
      </w:r>
      <w:r>
        <w:t xml:space="preserve"> väärtusest selle omandamisel. Nimetatud piirang kehtib kümne aasta jooksul vara omandamisest.</w:t>
      </w:r>
    </w:p>
    <w:p w:rsidR="00B6319C" w:rsidRPr="008F7FC7" w:rsidRDefault="00B6319C" w:rsidP="00351253">
      <w:pPr>
        <w:pStyle w:val="ListParagraph"/>
        <w:rPr>
          <w:rFonts w:eastAsiaTheme="majorEastAsia"/>
        </w:rPr>
      </w:pPr>
      <w:r w:rsidRPr="008F7FC7">
        <w:rPr>
          <w:rFonts w:eastAsiaTheme="majorEastAsia"/>
        </w:rPr>
        <w:t>Aruandeperioodil on otsustuskorras võõrandatud kokku 2102 kinnistut maa pindalaga 15 096,34 ha, sh hoonestatud kinnistuid on võõrandatud 100, kokku 192 hoonet pinnaga 66 434 m</w:t>
      </w:r>
      <w:r w:rsidRPr="008F7FC7">
        <w:rPr>
          <w:rFonts w:ascii="Times New Roman" w:eastAsiaTheme="majorEastAsia" w:hAnsi="Times New Roman"/>
        </w:rPr>
        <w:t>²</w:t>
      </w:r>
      <w:r w:rsidRPr="008F7FC7">
        <w:rPr>
          <w:rFonts w:eastAsiaTheme="majorEastAsia"/>
        </w:rPr>
        <w:t xml:space="preserve">. Ülevaate otsustuskorras võõrandamistest alamliikide lõikes annab </w:t>
      </w:r>
      <w:fldSimple w:instr=" REF _Ref418012279 \h  \* MERGEFORMAT ">
        <w:r w:rsidR="00477322" w:rsidRPr="00477322">
          <w:rPr>
            <w:rFonts w:eastAsiaTheme="majorEastAsia"/>
          </w:rPr>
          <w:t>Tabel 6</w:t>
        </w:r>
      </w:fldSimple>
      <w:r w:rsidRPr="008F7FC7">
        <w:rPr>
          <w:rFonts w:eastAsiaTheme="majorEastAsia"/>
        </w:rPr>
        <w:t xml:space="preserve"> ning peatükid 1.3.2.1 – 1.3.2.7.</w:t>
      </w:r>
    </w:p>
    <w:p w:rsidR="00B6319C" w:rsidRDefault="00B6319C" w:rsidP="00B6319C">
      <w:pPr>
        <w:pStyle w:val="Caption"/>
        <w:spacing w:before="120"/>
      </w:pPr>
      <w:bookmarkStart w:id="148" w:name="_Ref418012279"/>
      <w:r>
        <w:t xml:space="preserve">Tabel </w:t>
      </w:r>
      <w:fldSimple w:instr=" SEQ Tabel \* ARABIC ">
        <w:r w:rsidR="00477322">
          <w:rPr>
            <w:noProof/>
          </w:rPr>
          <w:t>6</w:t>
        </w:r>
      </w:fldSimple>
      <w:bookmarkEnd w:id="148"/>
      <w:r>
        <w:t>.</w:t>
      </w:r>
      <w:r w:rsidRPr="00B528CD">
        <w:t xml:space="preserve"> </w:t>
      </w:r>
      <w:r>
        <w:t xml:space="preserve">Riigivara otsustuskorras võõrandamised alamliigiti. </w:t>
      </w:r>
    </w:p>
    <w:tbl>
      <w:tblPr>
        <w:tblW w:w="9219" w:type="dxa"/>
        <w:tblInd w:w="65" w:type="dxa"/>
        <w:tblCellMar>
          <w:left w:w="70" w:type="dxa"/>
          <w:right w:w="70" w:type="dxa"/>
        </w:tblCellMar>
        <w:tblLook w:val="04A0"/>
      </w:tblPr>
      <w:tblGrid>
        <w:gridCol w:w="1567"/>
        <w:gridCol w:w="848"/>
        <w:gridCol w:w="1134"/>
        <w:gridCol w:w="1418"/>
        <w:gridCol w:w="1134"/>
        <w:gridCol w:w="1134"/>
        <w:gridCol w:w="1984"/>
      </w:tblGrid>
      <w:tr w:rsidR="00B6319C" w:rsidRPr="0097585B" w:rsidTr="008F7FC7">
        <w:trPr>
          <w:trHeight w:val="936"/>
        </w:trPr>
        <w:tc>
          <w:tcPr>
            <w:tcW w:w="1567" w:type="dxa"/>
            <w:tcBorders>
              <w:top w:val="single" w:sz="4" w:space="0" w:color="auto"/>
              <w:left w:val="single" w:sz="4" w:space="0" w:color="auto"/>
              <w:bottom w:val="nil"/>
              <w:right w:val="single" w:sz="4" w:space="0" w:color="auto"/>
            </w:tcBorders>
            <w:shd w:val="clear" w:color="DBE5F1" w:fill="DBEEF3"/>
            <w:vAlign w:val="bottom"/>
            <w:hideMark/>
          </w:tcPr>
          <w:p w:rsidR="00B6319C" w:rsidRPr="0097585B" w:rsidRDefault="00B6319C" w:rsidP="00CD371C">
            <w:pPr>
              <w:jc w:val="left"/>
              <w:rPr>
                <w:rFonts w:cs="Arial"/>
                <w:b/>
                <w:bCs/>
                <w:color w:val="000000"/>
                <w:sz w:val="18"/>
                <w:szCs w:val="18"/>
                <w:lang w:eastAsia="et-EE"/>
              </w:rPr>
            </w:pPr>
            <w:r w:rsidRPr="0097585B">
              <w:rPr>
                <w:rFonts w:cs="Arial"/>
                <w:b/>
                <w:bCs/>
                <w:color w:val="000000"/>
                <w:sz w:val="18"/>
                <w:szCs w:val="18"/>
                <w:lang w:eastAsia="et-EE"/>
              </w:rPr>
              <w:t>Otsustuskorras võõrandamise alamliik</w:t>
            </w:r>
          </w:p>
        </w:tc>
        <w:tc>
          <w:tcPr>
            <w:tcW w:w="848" w:type="dxa"/>
            <w:tcBorders>
              <w:top w:val="single" w:sz="4" w:space="0" w:color="auto"/>
              <w:left w:val="nil"/>
              <w:bottom w:val="single" w:sz="4" w:space="0" w:color="auto"/>
              <w:right w:val="single" w:sz="4" w:space="0" w:color="auto"/>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Aasta</w:t>
            </w:r>
          </w:p>
        </w:tc>
        <w:tc>
          <w:tcPr>
            <w:tcW w:w="1134" w:type="dxa"/>
            <w:tcBorders>
              <w:top w:val="single" w:sz="4" w:space="0" w:color="auto"/>
              <w:left w:val="nil"/>
              <w:bottom w:val="single" w:sz="4" w:space="0" w:color="auto"/>
              <w:right w:val="nil"/>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Kinnistute arv</w:t>
            </w:r>
          </w:p>
        </w:tc>
        <w:tc>
          <w:tcPr>
            <w:tcW w:w="1418" w:type="dxa"/>
            <w:tcBorders>
              <w:top w:val="single" w:sz="4" w:space="0" w:color="auto"/>
              <w:left w:val="single" w:sz="4" w:space="0" w:color="auto"/>
              <w:bottom w:val="single" w:sz="4" w:space="0" w:color="auto"/>
              <w:right w:val="single" w:sz="4" w:space="0" w:color="auto"/>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Kinnistute pindala (ha)</w:t>
            </w:r>
          </w:p>
        </w:tc>
        <w:tc>
          <w:tcPr>
            <w:tcW w:w="1134" w:type="dxa"/>
            <w:tcBorders>
              <w:top w:val="single" w:sz="4" w:space="0" w:color="auto"/>
              <w:left w:val="nil"/>
              <w:bottom w:val="single" w:sz="4" w:space="0" w:color="auto"/>
              <w:right w:val="single" w:sz="4" w:space="0" w:color="auto"/>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Hoonete arv</w:t>
            </w:r>
          </w:p>
        </w:tc>
        <w:tc>
          <w:tcPr>
            <w:tcW w:w="1134" w:type="dxa"/>
            <w:tcBorders>
              <w:top w:val="single" w:sz="4" w:space="0" w:color="auto"/>
              <w:left w:val="nil"/>
              <w:bottom w:val="single" w:sz="4" w:space="0" w:color="auto"/>
              <w:right w:val="single" w:sz="4" w:space="0" w:color="auto"/>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Hoonete pind (m²)</w:t>
            </w:r>
          </w:p>
        </w:tc>
        <w:tc>
          <w:tcPr>
            <w:tcW w:w="1984" w:type="dxa"/>
            <w:tcBorders>
              <w:top w:val="single" w:sz="4" w:space="0" w:color="auto"/>
              <w:left w:val="nil"/>
              <w:bottom w:val="single" w:sz="4" w:space="0" w:color="auto"/>
              <w:right w:val="single" w:sz="4" w:space="0" w:color="auto"/>
            </w:tcBorders>
            <w:shd w:val="clear" w:color="000000" w:fill="DBEEF3"/>
            <w:vAlign w:val="bottom"/>
            <w:hideMark/>
          </w:tcPr>
          <w:p w:rsidR="00B6319C" w:rsidRPr="0097585B" w:rsidRDefault="00B6319C" w:rsidP="00CD371C">
            <w:pPr>
              <w:jc w:val="center"/>
              <w:rPr>
                <w:rFonts w:cs="Arial"/>
                <w:b/>
                <w:bCs/>
                <w:sz w:val="18"/>
                <w:szCs w:val="18"/>
                <w:lang w:eastAsia="et-EE"/>
              </w:rPr>
            </w:pPr>
            <w:r w:rsidRPr="0097585B">
              <w:rPr>
                <w:rFonts w:cs="Arial"/>
                <w:b/>
                <w:bCs/>
                <w:sz w:val="18"/>
                <w:szCs w:val="18"/>
                <w:lang w:eastAsia="et-EE"/>
              </w:rPr>
              <w:t>Tehingu väärtus/ hind (€)</w:t>
            </w:r>
          </w:p>
        </w:tc>
      </w:tr>
      <w:tr w:rsidR="00B6319C" w:rsidRPr="0097585B" w:rsidTr="008F7FC7">
        <w:trPr>
          <w:trHeight w:hRule="exact" w:val="340"/>
        </w:trPr>
        <w:tc>
          <w:tcPr>
            <w:tcW w:w="156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Otsustuskorras tasu eest</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0,77</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34</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25 500</w:t>
            </w:r>
          </w:p>
        </w:tc>
      </w:tr>
      <w:tr w:rsidR="00B6319C" w:rsidRPr="0097585B" w:rsidTr="008F7FC7">
        <w:trPr>
          <w:trHeight w:hRule="exact" w:val="340"/>
        </w:trPr>
        <w:tc>
          <w:tcPr>
            <w:tcW w:w="1567" w:type="dxa"/>
            <w:vMerge/>
            <w:tcBorders>
              <w:top w:val="single" w:sz="4" w:space="0" w:color="auto"/>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25,35</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6</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822</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1 001 839</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Otsustuskorras KOV</w:t>
            </w:r>
            <w:r w:rsidR="008F7FC7">
              <w:rPr>
                <w:rFonts w:cs="Arial"/>
                <w:sz w:val="18"/>
                <w:szCs w:val="18"/>
                <w:lang w:eastAsia="et-EE"/>
              </w:rPr>
              <w:t>-</w:t>
            </w:r>
            <w:r w:rsidRPr="0097585B">
              <w:rPr>
                <w:rFonts w:cs="Arial"/>
                <w:sz w:val="18"/>
                <w:szCs w:val="18"/>
                <w:lang w:eastAsia="et-EE"/>
              </w:rPr>
              <w:t>ile</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65</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77,72</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5 894</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2 648 168</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75</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66,56</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22</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5 359</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2 504 571</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Otsustuskorras AÕJI</w:t>
            </w:r>
            <w:r w:rsidR="008F7FC7">
              <w:rPr>
                <w:rFonts w:cs="Arial"/>
                <w:sz w:val="18"/>
                <w:szCs w:val="18"/>
                <w:lang w:eastAsia="et-EE"/>
              </w:rPr>
              <w:t>-</w:t>
            </w:r>
            <w:r w:rsidRPr="0097585B">
              <w:rPr>
                <w:rFonts w:cs="Arial"/>
                <w:sz w:val="18"/>
                <w:szCs w:val="18"/>
                <w:lang w:eastAsia="et-EE"/>
              </w:rPr>
              <w:t>le</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18</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33,23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7</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5 530</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13 060 912</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7</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4,91</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8</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37 221</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5 434 400</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Otsustuskorras MTÜ-le või SA-le</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8</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50,70</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3 627</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435 000</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96,53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883 391</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Elamumaa vastavalt RVS §34</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36</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18,34</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173 407</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41</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56,96</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183 400</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Vahetamine avalikul eesmärgil</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0,63</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91 400</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0,06</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21 500</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M</w:t>
            </w:r>
            <w:r w:rsidR="008F7FC7">
              <w:rPr>
                <w:rFonts w:cs="Arial"/>
                <w:sz w:val="18"/>
                <w:szCs w:val="18"/>
                <w:lang w:eastAsia="et-EE"/>
              </w:rPr>
              <w:t>aa</w:t>
            </w:r>
            <w:r w:rsidRPr="0097585B">
              <w:rPr>
                <w:rFonts w:cs="Arial"/>
                <w:sz w:val="18"/>
                <w:szCs w:val="18"/>
                <w:lang w:eastAsia="et-EE"/>
              </w:rPr>
              <w:t>RS alusel kasutusvalduse võõrandamine</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718</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8 462,86</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9 109 519</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546</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5 970,66</w:t>
            </w: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DBE5F1" w:fill="FFFFFF"/>
            <w:noWrap/>
            <w:vAlign w:val="center"/>
            <w:hideMark/>
          </w:tcPr>
          <w:p w:rsidR="00B6319C" w:rsidRPr="0097585B" w:rsidRDefault="00B6319C" w:rsidP="008F7FC7">
            <w:pPr>
              <w:spacing w:before="0"/>
              <w:jc w:val="center"/>
              <w:rPr>
                <w:rFonts w:cs="Arial"/>
                <w:sz w:val="18"/>
                <w:szCs w:val="18"/>
                <w:lang w:eastAsia="et-EE"/>
              </w:rPr>
            </w:pP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9 040 570</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auto" w:fill="auto"/>
            <w:vAlign w:val="bottom"/>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M</w:t>
            </w:r>
            <w:r w:rsidR="008F7FC7">
              <w:rPr>
                <w:rFonts w:cs="Arial"/>
                <w:sz w:val="18"/>
                <w:szCs w:val="18"/>
                <w:lang w:eastAsia="et-EE"/>
              </w:rPr>
              <w:t>aa</w:t>
            </w:r>
            <w:r w:rsidRPr="0097585B">
              <w:rPr>
                <w:rFonts w:cs="Arial"/>
                <w:sz w:val="18"/>
                <w:szCs w:val="18"/>
                <w:lang w:eastAsia="et-EE"/>
              </w:rPr>
              <w:t>RS alusel hoonestusõiguse võõrandamine</w:t>
            </w: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139</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52,34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12</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1 289</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912 874</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8F7FC7">
            <w:pPr>
              <w:spacing w:before="0"/>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432</w:t>
            </w:r>
          </w:p>
        </w:tc>
        <w:tc>
          <w:tcPr>
            <w:tcW w:w="1418"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178,71</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100</w:t>
            </w:r>
          </w:p>
        </w:tc>
        <w:tc>
          <w:tcPr>
            <w:tcW w:w="113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6 659</w:t>
            </w:r>
          </w:p>
        </w:tc>
        <w:tc>
          <w:tcPr>
            <w:tcW w:w="1984" w:type="dxa"/>
            <w:tcBorders>
              <w:top w:val="nil"/>
              <w:left w:val="nil"/>
              <w:bottom w:val="single" w:sz="4" w:space="0" w:color="auto"/>
              <w:right w:val="single" w:sz="4" w:space="0" w:color="auto"/>
            </w:tcBorders>
            <w:shd w:val="clear" w:color="auto" w:fill="auto"/>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5 167 420</w:t>
            </w:r>
          </w:p>
        </w:tc>
      </w:tr>
      <w:tr w:rsidR="00B6319C" w:rsidRPr="0097585B" w:rsidTr="008F7FC7">
        <w:trPr>
          <w:trHeight w:hRule="exact" w:val="340"/>
        </w:trPr>
        <w:tc>
          <w:tcPr>
            <w:tcW w:w="1567" w:type="dxa"/>
            <w:vMerge w:val="restart"/>
            <w:tcBorders>
              <w:top w:val="nil"/>
              <w:left w:val="single" w:sz="4" w:space="0" w:color="auto"/>
              <w:bottom w:val="single" w:sz="4" w:space="0" w:color="000000"/>
              <w:right w:val="single" w:sz="4" w:space="0" w:color="auto"/>
            </w:tcBorders>
            <w:shd w:val="clear" w:color="000000" w:fill="DBEEF3"/>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Kokku</w:t>
            </w:r>
          </w:p>
        </w:tc>
        <w:tc>
          <w:tcPr>
            <w:tcW w:w="848"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2013</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986</w:t>
            </w:r>
          </w:p>
        </w:tc>
        <w:tc>
          <w:tcPr>
            <w:tcW w:w="1418"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8 696,60</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56</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16 374</w:t>
            </w:r>
          </w:p>
        </w:tc>
        <w:tc>
          <w:tcPr>
            <w:tcW w:w="198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26 456 779</w:t>
            </w:r>
          </w:p>
        </w:tc>
      </w:tr>
      <w:tr w:rsidR="00B6319C" w:rsidRPr="0097585B" w:rsidTr="008F7FC7">
        <w:trPr>
          <w:trHeight w:hRule="exact" w:val="340"/>
        </w:trPr>
        <w:tc>
          <w:tcPr>
            <w:tcW w:w="1567" w:type="dxa"/>
            <w:vMerge/>
            <w:tcBorders>
              <w:top w:val="nil"/>
              <w:left w:val="single" w:sz="4" w:space="0" w:color="auto"/>
              <w:bottom w:val="single" w:sz="4" w:space="0" w:color="000000"/>
              <w:right w:val="single" w:sz="4" w:space="0" w:color="auto"/>
            </w:tcBorders>
            <w:vAlign w:val="center"/>
            <w:hideMark/>
          </w:tcPr>
          <w:p w:rsidR="00B6319C" w:rsidRPr="0097585B" w:rsidRDefault="00B6319C" w:rsidP="00CD371C">
            <w:pPr>
              <w:jc w:val="left"/>
              <w:rPr>
                <w:rFonts w:cs="Arial"/>
                <w:sz w:val="18"/>
                <w:szCs w:val="18"/>
                <w:lang w:eastAsia="et-EE"/>
              </w:rPr>
            </w:pPr>
          </w:p>
        </w:tc>
        <w:tc>
          <w:tcPr>
            <w:tcW w:w="848"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sz w:val="18"/>
                <w:szCs w:val="18"/>
                <w:lang w:eastAsia="et-EE"/>
              </w:rPr>
            </w:pPr>
            <w:r w:rsidRPr="0097585B">
              <w:rPr>
                <w:rFonts w:cs="Arial"/>
                <w:sz w:val="18"/>
                <w:szCs w:val="18"/>
                <w:lang w:eastAsia="et-EE"/>
              </w:rPr>
              <w:t>2014</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1116</w:t>
            </w:r>
          </w:p>
        </w:tc>
        <w:tc>
          <w:tcPr>
            <w:tcW w:w="1418"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6 399,74</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136</w:t>
            </w:r>
          </w:p>
        </w:tc>
        <w:tc>
          <w:tcPr>
            <w:tcW w:w="113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50 060</w:t>
            </w:r>
          </w:p>
        </w:tc>
        <w:tc>
          <w:tcPr>
            <w:tcW w:w="1984" w:type="dxa"/>
            <w:tcBorders>
              <w:top w:val="nil"/>
              <w:left w:val="nil"/>
              <w:bottom w:val="single" w:sz="4" w:space="0" w:color="auto"/>
              <w:right w:val="single" w:sz="4" w:space="0" w:color="auto"/>
            </w:tcBorders>
            <w:shd w:val="clear" w:color="000000" w:fill="DBEEF3"/>
            <w:noWrap/>
            <w:vAlign w:val="center"/>
            <w:hideMark/>
          </w:tcPr>
          <w:p w:rsidR="00B6319C" w:rsidRPr="0097585B" w:rsidRDefault="00B6319C" w:rsidP="008F7FC7">
            <w:pPr>
              <w:spacing w:before="0"/>
              <w:jc w:val="center"/>
              <w:rPr>
                <w:rFonts w:cs="Arial"/>
                <w:b/>
                <w:bCs/>
                <w:sz w:val="18"/>
                <w:szCs w:val="18"/>
                <w:lang w:eastAsia="et-EE"/>
              </w:rPr>
            </w:pPr>
            <w:r w:rsidRPr="0097585B">
              <w:rPr>
                <w:rFonts w:cs="Arial"/>
                <w:b/>
                <w:bCs/>
                <w:sz w:val="18"/>
                <w:szCs w:val="18"/>
                <w:lang w:eastAsia="et-EE"/>
              </w:rPr>
              <w:t>24 237 092</w:t>
            </w:r>
          </w:p>
        </w:tc>
      </w:tr>
    </w:tbl>
    <w:p w:rsidR="0072575D" w:rsidRDefault="0072575D" w:rsidP="0072575D">
      <w:r w:rsidRPr="0072575D">
        <w:t xml:space="preserve">RVS §-s 33 sätestatud eesmärkidel </w:t>
      </w:r>
      <w:r>
        <w:t>o</w:t>
      </w:r>
      <w:r w:rsidR="00C354F5">
        <w:t>tsustuskorras KOV-ile, AÕJI-le, MTÜ-le või SA-le võõrandamised on toimunud tasuta, seega nende</w:t>
      </w:r>
      <w:r>
        <w:t>st võõrandamistest</w:t>
      </w:r>
      <w:r w:rsidR="000E5304">
        <w:t xml:space="preserve"> </w:t>
      </w:r>
      <w:r>
        <w:t>riik rahalist tulu üldjuhul ei saa</w:t>
      </w:r>
      <w:r w:rsidR="00C354F5">
        <w:t>. Elamumaa v</w:t>
      </w:r>
      <w:r>
        <w:t xml:space="preserve">õõrandamisest RVS §34 alusel laekub </w:t>
      </w:r>
      <w:r w:rsidR="00C354F5">
        <w:t>riigile tulu 65% vara harilikust väärtusest</w:t>
      </w:r>
      <w:r>
        <w:t xml:space="preserve"> kahe aasta jooksul võõrandamisest arvates</w:t>
      </w:r>
      <w:r w:rsidR="00C354F5">
        <w:t xml:space="preserve">. </w:t>
      </w:r>
      <w:r w:rsidRPr="0072575D">
        <w:t>Sellest tulenevalt on otsustuskorras võõrandamistest riigile</w:t>
      </w:r>
      <w:r w:rsidR="000E5304">
        <w:t xml:space="preserve"> </w:t>
      </w:r>
      <w:r w:rsidRPr="0072575D">
        <w:t>laekuv rahaline tulu vaid osa v</w:t>
      </w:r>
      <w:r>
        <w:t>õõrandatud vara koguväärtusest (2013-2014.aastal</w:t>
      </w:r>
      <w:r w:rsidR="00BC0BC1">
        <w:t xml:space="preserve"> toimunud võõrandamistehingutest</w:t>
      </w:r>
      <w:r>
        <w:t xml:space="preserve"> </w:t>
      </w:r>
      <w:r w:rsidR="0087616B">
        <w:t>on</w:t>
      </w:r>
      <w:r w:rsidR="00BC0BC1">
        <w:t xml:space="preserve"> riigi saamata jääv</w:t>
      </w:r>
      <w:r>
        <w:t xml:space="preserve"> rahaline tulu ca 25 miljonit eurot).</w:t>
      </w:r>
    </w:p>
    <w:p w:rsidR="00B6319C" w:rsidRPr="00B528CD" w:rsidRDefault="00B6319C" w:rsidP="00B57D4D">
      <w:pPr>
        <w:pStyle w:val="Pealkiri4"/>
      </w:pPr>
      <w:r w:rsidRPr="00B528CD">
        <w:t xml:space="preserve">Maareformi seaduse alusel </w:t>
      </w:r>
      <w:r w:rsidRPr="00B57D4D">
        <w:t>kasutusvalduse</w:t>
      </w:r>
      <w:r w:rsidRPr="00B528CD">
        <w:t>- ja hoonestusõigusega koormatud kinnistute võõrandamine</w:t>
      </w:r>
    </w:p>
    <w:p w:rsidR="00B6319C" w:rsidRDefault="00B6319C" w:rsidP="00B6319C">
      <w:pPr>
        <w:rPr>
          <w:rFonts w:eastAsiaTheme="majorEastAsia"/>
        </w:rPr>
      </w:pPr>
      <w:r>
        <w:rPr>
          <w:rFonts w:eastAsiaTheme="majorEastAsia"/>
        </w:rPr>
        <w:t>87% otsustuskorras võõrandamistest on läbi viidud maareformi seaduse alusel maavalitsuste poolt kasutusvaldusega või hoonestusõigusega koormatud kinnistute müügi teel.</w:t>
      </w:r>
    </w:p>
    <w:p w:rsidR="00B6319C" w:rsidRDefault="00B6319C" w:rsidP="00B57D4D">
      <w:pPr>
        <w:rPr>
          <w:lang w:eastAsia="et-EE"/>
        </w:rPr>
      </w:pPr>
      <w:r w:rsidRPr="00B10A0E">
        <w:t xml:space="preserve">Isikul, kelle kasuks on kasutusvaldus seatud, on õigus taotleda maa omandamist pärast kahe aasta möödumist kasutusvalduse seadmisest kasutusvaldusesse antud </w:t>
      </w:r>
      <w:r>
        <w:t>maa omandamise seaduses</w:t>
      </w:r>
      <w:r w:rsidRPr="00B10A0E">
        <w:t xml:space="preserve"> sätestatud korras. </w:t>
      </w:r>
      <w:r w:rsidRPr="00B10A0E">
        <w:rPr>
          <w:lang w:eastAsia="et-EE"/>
        </w:rPr>
        <w:t>Kasutusvaldusesse antud maa ostuhinnaks on maa harilik väärtus.</w:t>
      </w:r>
      <w:bookmarkStart w:id="149" w:name="para9lg2"/>
      <w:bookmarkEnd w:id="149"/>
      <w:r w:rsidRPr="00B10A0E">
        <w:rPr>
          <w:lang w:eastAsia="et-EE"/>
        </w:rPr>
        <w:t xml:space="preserve"> Maa ostuhinna määramiseks tellib maa võõrandamise korraldaja maa erakorralise hindamise. Maa hindamisel lähtutakse maa sihtotstarbest ja ei arvestata maad koormavat kasutusvaldust.</w:t>
      </w:r>
    </w:p>
    <w:p w:rsidR="00B6319C" w:rsidRDefault="00B6319C" w:rsidP="00B6319C">
      <w:pPr>
        <w:rPr>
          <w:rFonts w:ascii="Times New Roman" w:hAnsi="Times New Roman"/>
          <w:sz w:val="24"/>
          <w:szCs w:val="24"/>
        </w:rPr>
      </w:pPr>
      <w:r>
        <w:t>Vastavalt riigivaraseaduse §105</w:t>
      </w:r>
      <w:r w:rsidRPr="007C07D0">
        <w:rPr>
          <w:vertAlign w:val="superscript"/>
        </w:rPr>
        <w:t>1</w:t>
      </w:r>
      <w:r>
        <w:rPr>
          <w:rFonts w:ascii="Times New Roman" w:hAnsi="Times New Roman"/>
          <w:sz w:val="24"/>
          <w:szCs w:val="24"/>
        </w:rPr>
        <w:t xml:space="preserve"> oli </w:t>
      </w:r>
      <w:r w:rsidRPr="007C07D0">
        <w:rPr>
          <w:rFonts w:ascii="Times New Roman" w:hAnsi="Times New Roman"/>
          <w:sz w:val="24"/>
          <w:szCs w:val="24"/>
        </w:rPr>
        <w:t>isikutel</w:t>
      </w:r>
      <w:r>
        <w:rPr>
          <w:rFonts w:ascii="Times New Roman" w:hAnsi="Times New Roman"/>
          <w:sz w:val="24"/>
          <w:szCs w:val="24"/>
        </w:rPr>
        <w:t>, kelle kasuks seati riigimaale hoonestusõigus enne 2013. a 20. märtsi, õigus taotleda kuni 2013. a 31. detsembrini hoonestusõigusega koormatud maa omandamist soodustingimustel (otsustamise ajal kehtiva maa maksustamishinnaga).</w:t>
      </w:r>
    </w:p>
    <w:p w:rsidR="00B6319C" w:rsidRDefault="00B6319C" w:rsidP="00B6319C">
      <w:pPr>
        <w:rPr>
          <w:rFonts w:ascii="Times New Roman" w:hAnsi="Times New Roman"/>
          <w:sz w:val="24"/>
          <w:szCs w:val="24"/>
        </w:rPr>
      </w:pPr>
      <w:r>
        <w:rPr>
          <w:rFonts w:ascii="Times New Roman" w:hAnsi="Times New Roman"/>
          <w:sz w:val="24"/>
          <w:szCs w:val="24"/>
        </w:rPr>
        <w:t>Hoonestusõigusega koormatud kinnistute võõrandamine on oodatult kulgenud tõusvas tempos, 2013. a võõrandati 74 kinnistut ja 2014. a 251 kinnistut, sealjuures 2014. a lõpuks ei jõutud kõiki võõrandamise taotlusi lõpuni menetleda, aasta lõpuks oli RKVR-is lõpetamata 48 alustatud menetlust ning osade taotluste info oli veel registrisse sisestamata (st menetlused algatamata).</w:t>
      </w:r>
    </w:p>
    <w:p w:rsidR="00B6319C" w:rsidRDefault="00B6319C" w:rsidP="00B6319C">
      <w:pPr>
        <w:rPr>
          <w:rFonts w:eastAsiaTheme="majorEastAsia"/>
        </w:rPr>
      </w:pPr>
      <w:r>
        <w:rPr>
          <w:rFonts w:eastAsiaTheme="majorEastAsia"/>
        </w:rPr>
        <w:t xml:space="preserve">Maavalitsused on aruandeperioodil võõrandanud 1835 kinnistut maareformi seaduse alusel kasutusvalduse ja hoonestusõiguse omanikele. </w:t>
      </w:r>
    </w:p>
    <w:p w:rsidR="00B6319C" w:rsidRPr="00B528CD" w:rsidRDefault="00B6319C" w:rsidP="00683BB5">
      <w:pPr>
        <w:pStyle w:val="Pealkiri4"/>
      </w:pPr>
      <w:r w:rsidRPr="00B528CD">
        <w:t>Tasuta võõrandamine kohalikele omavalitsustele seadusest tulenevate ülesannete täitmiseks</w:t>
      </w:r>
    </w:p>
    <w:p w:rsidR="00B6319C" w:rsidRDefault="00B6319C" w:rsidP="00683BB5">
      <w:r w:rsidRPr="004E1AF1">
        <w:t>Kohalikele omavalitsustele on</w:t>
      </w:r>
      <w:r>
        <w:t xml:space="preserve"> nende seadusest tulenevate ülesannete täitmiseks</w:t>
      </w:r>
      <w:r w:rsidRPr="004E1AF1">
        <w:rPr>
          <w:b/>
        </w:rPr>
        <w:t xml:space="preserve"> </w:t>
      </w:r>
      <w:r w:rsidRPr="004E1AF1">
        <w:t>tasuta</w:t>
      </w:r>
      <w:r>
        <w:t xml:space="preserve"> võõrandatud kokku 140 kinnistut, sh 45 hoonet, väärtusega 5,15 mln €. Kõige rohkem taotlevad KOV-id transpordimaad kergteede rajamiseks ning endiste riigimaanteede alust maad kohalike teede teenindamiseks. Samas taotlevad KOV-id riigilt seadusest tulenevate ülesannete täitmiseks ka hoonestatud kinnistuid, näiteks:</w:t>
      </w:r>
    </w:p>
    <w:p w:rsidR="00B6319C" w:rsidRPr="008F7FC7" w:rsidRDefault="00B6319C" w:rsidP="00953D51">
      <w:pPr>
        <w:pStyle w:val="Loend1"/>
        <w:rPr>
          <w:rFonts w:eastAsiaTheme="majorEastAsia"/>
        </w:rPr>
      </w:pPr>
      <w:r w:rsidRPr="008F7FC7">
        <w:rPr>
          <w:rFonts w:eastAsiaTheme="majorEastAsia"/>
        </w:rPr>
        <w:t>Haridus- ja Teadusministeerium võõrandas Kõpu Internaatkooli kinnistu (7 hoonet) Hiiu Vallavalitsusele, kuna kooli pidamine anti vallale üle. Porkuni kooli kinnistu (3 hoonet) võõrandati Tamsalu Vallavalitsusele, kuna Porkuni Kurtide Kool oli kolinud uuele pinnale ja vald taotles vabanenud hooneid keskkonnahariduskeskuse rajamiseks ja Porkuni Paemuuseumi arendamiseks.</w:t>
      </w:r>
    </w:p>
    <w:p w:rsidR="00B6319C" w:rsidRPr="008F7FC7" w:rsidRDefault="00B6319C" w:rsidP="00953D51">
      <w:pPr>
        <w:pStyle w:val="Loend1"/>
        <w:rPr>
          <w:rFonts w:eastAsiaTheme="majorEastAsia"/>
        </w:rPr>
      </w:pPr>
      <w:r w:rsidRPr="008F7FC7">
        <w:rPr>
          <w:rFonts w:eastAsiaTheme="majorEastAsia"/>
        </w:rPr>
        <w:t xml:space="preserve">Kultuuriministeerium võõrandas Iisaku Muuseumi kinnistu (4 hoonet) Iisaku vallale ja Valga muuseumi (1 hoone) Valga linnale, kuna riigimuuseumid likvideeriti ja kohalikud omavalitsused otsustasid muuseumide pidamise üle võtta. </w:t>
      </w:r>
    </w:p>
    <w:p w:rsidR="00B6319C" w:rsidRPr="008F7FC7" w:rsidRDefault="00B6319C" w:rsidP="00953D51">
      <w:pPr>
        <w:pStyle w:val="Loend1"/>
        <w:rPr>
          <w:rFonts w:eastAsiaTheme="majorEastAsia"/>
        </w:rPr>
      </w:pPr>
      <w:r w:rsidRPr="008F7FC7">
        <w:rPr>
          <w:rFonts w:eastAsiaTheme="majorEastAsia"/>
        </w:rPr>
        <w:t xml:space="preserve">Põllumajandusministeerium võõrandas Põllumajandusameti hoonestatud kinnistu Saue vallale lasteaia rajamiseks ja Põllumajandusuuringute Keskuse puhastusseadmete kinnistu (3 hoonet) Pärsti vallale. </w:t>
      </w:r>
    </w:p>
    <w:p w:rsidR="00B6319C" w:rsidRPr="008F7FC7" w:rsidRDefault="00B6319C" w:rsidP="00953D51">
      <w:pPr>
        <w:pStyle w:val="Loend1"/>
        <w:rPr>
          <w:rFonts w:eastAsiaTheme="majorEastAsia"/>
        </w:rPr>
      </w:pPr>
      <w:r w:rsidRPr="008F7FC7">
        <w:rPr>
          <w:rFonts w:eastAsiaTheme="majorEastAsia"/>
        </w:rPr>
        <w:t>Siseministeerium on võõrandanud päästedepoode kinnistud Kõrgessaare vallale, Saku vallale ja Vihula vallale. Päästekomandode sulgemisel leiti, et kõige otstarbekam lahendus on kinnistute tasuta võõrandamine kohalikele omavalitsustele, kes omakorda annavad hooned kasuta</w:t>
      </w:r>
      <w:r w:rsidR="00655E30">
        <w:rPr>
          <w:rFonts w:eastAsiaTheme="majorEastAsia"/>
        </w:rPr>
        <w:t>da vabatahtlikele ühendustele.</w:t>
      </w:r>
    </w:p>
    <w:p w:rsidR="00B6319C" w:rsidRPr="008F7FC7" w:rsidRDefault="00B6319C" w:rsidP="00953D51">
      <w:pPr>
        <w:pStyle w:val="Loend1"/>
        <w:rPr>
          <w:rFonts w:eastAsiaTheme="majorEastAsia"/>
        </w:rPr>
      </w:pPr>
      <w:r w:rsidRPr="008F7FC7">
        <w:rPr>
          <w:rFonts w:eastAsiaTheme="majorEastAsia"/>
        </w:rPr>
        <w:t>Politsei- ja Piirivalveametile kuulunud 9 hoonega kinnistu Kärdlas Pargi tn 3 võõrandati Hiiu Vallavalitsusele sotsiaalkeskuse rajamiseks.</w:t>
      </w:r>
    </w:p>
    <w:p w:rsidR="00B6319C" w:rsidRPr="008F7FC7" w:rsidRDefault="00B6319C" w:rsidP="00953D51">
      <w:pPr>
        <w:pStyle w:val="Loend1"/>
        <w:rPr>
          <w:rFonts w:eastAsiaTheme="majorEastAsia"/>
        </w:rPr>
      </w:pPr>
      <w:r w:rsidRPr="008F7FC7">
        <w:rPr>
          <w:rFonts w:eastAsiaTheme="majorEastAsia"/>
        </w:rPr>
        <w:t>Kiviõli linnale võõrandati 7 Ida-Viru Maavalitsuse poolt hõivatud korteriomandit.</w:t>
      </w:r>
      <w:r w:rsidR="000E5304">
        <w:rPr>
          <w:rFonts w:eastAsiaTheme="majorEastAsia"/>
        </w:rPr>
        <w:t xml:space="preserve"> </w:t>
      </w:r>
      <w:r w:rsidRPr="008F7FC7">
        <w:rPr>
          <w:rFonts w:eastAsiaTheme="majorEastAsia"/>
        </w:rPr>
        <w:t>Kiviõli Linnavalitsus otsustas hooned lammutada, kuna ne</w:t>
      </w:r>
      <w:r w:rsidR="00655E30">
        <w:rPr>
          <w:rFonts w:eastAsiaTheme="majorEastAsia"/>
        </w:rPr>
        <w:t>ed olid muutunud eluohtlikuks.</w:t>
      </w:r>
    </w:p>
    <w:p w:rsidR="00B6319C" w:rsidRPr="008F7FC7" w:rsidRDefault="00B6319C" w:rsidP="00953D51">
      <w:pPr>
        <w:pStyle w:val="Loend1"/>
        <w:rPr>
          <w:rFonts w:eastAsiaTheme="majorEastAsia"/>
        </w:rPr>
      </w:pPr>
      <w:r w:rsidRPr="008F7FC7">
        <w:rPr>
          <w:rFonts w:eastAsiaTheme="majorEastAsia"/>
        </w:rPr>
        <w:t xml:space="preserve">Varem Lääne Maavalitsuse valitsemisel olnud Haapsalu lastekodu kinnistu võõrandati Haapsalu linnale, kuna lastekodu pidamise korraldamine anti üle linnale. </w:t>
      </w:r>
    </w:p>
    <w:p w:rsidR="00B6319C" w:rsidRPr="008F7FC7" w:rsidRDefault="00B6319C" w:rsidP="00953D51">
      <w:pPr>
        <w:pStyle w:val="Loend1"/>
        <w:rPr>
          <w:rFonts w:eastAsiaTheme="majorEastAsia"/>
        </w:rPr>
      </w:pPr>
      <w:r w:rsidRPr="008F7FC7">
        <w:rPr>
          <w:rFonts w:eastAsiaTheme="majorEastAsia"/>
        </w:rPr>
        <w:t>Sotsiaalministeerium võõrandas 6 hoonega lastekodu kinnistu hoonestusõiguse Juuru vallale, kuna lastekodu pidamise funktsioonid anti üle kohalikule omavalitsusele.</w:t>
      </w:r>
    </w:p>
    <w:p w:rsidR="00B6319C" w:rsidRPr="008F7FC7" w:rsidRDefault="00B6319C" w:rsidP="00953D51">
      <w:pPr>
        <w:pStyle w:val="Loend1"/>
        <w:rPr>
          <w:rFonts w:eastAsiaTheme="majorEastAsia"/>
        </w:rPr>
      </w:pPr>
      <w:r w:rsidRPr="008F7FC7">
        <w:rPr>
          <w:rFonts w:eastAsiaTheme="majorEastAsia"/>
        </w:rPr>
        <w:t>RMK võõrandas Aakre metskonna kinnistu (2 hoonet) Puka vallale seltsimaja pidamise eesmärgil.</w:t>
      </w:r>
    </w:p>
    <w:p w:rsidR="00B6319C" w:rsidRPr="00683BB5" w:rsidRDefault="00B6319C" w:rsidP="00683BB5">
      <w:pPr>
        <w:pStyle w:val="Pealkiri4"/>
      </w:pPr>
      <w:r w:rsidRPr="00683BB5">
        <w:t>Elamumaa võõrandamine kohalikele omavalitsustele 65% väärtuse eest</w:t>
      </w:r>
    </w:p>
    <w:p w:rsidR="00B6319C" w:rsidRPr="00AE3978" w:rsidRDefault="00B6319C" w:rsidP="00683BB5">
      <w:r w:rsidRPr="00AE3978">
        <w:t xml:space="preserve">Riigivaraseaduse </w:t>
      </w:r>
      <w:r>
        <w:t>§34 alusel võib võõrandada riigile kuuluvat elamumaa sihtotstarbega hoonestamata kinnisasja maa asukohajärgsele kohaliku omavalitsuse üksusele müügihinnaga 65% kinnistu hariliku</w:t>
      </w:r>
      <w:r w:rsidR="002F4668">
        <w:t>st väärtusest, mille eest tuleb</w:t>
      </w:r>
      <w:r>
        <w:t xml:space="preserve"> tasuda kahe aasta jooksul võõrandamislepingu sõlmimisest.</w:t>
      </w:r>
    </w:p>
    <w:p w:rsidR="00B6319C" w:rsidRDefault="00B6319C" w:rsidP="00683BB5">
      <w:pPr>
        <w:rPr>
          <w:lang w:eastAsia="et-EE"/>
        </w:rPr>
      </w:pPr>
      <w:r w:rsidRPr="005C05C6">
        <w:rPr>
          <w:rFonts w:eastAsiaTheme="majorEastAsia"/>
        </w:rPr>
        <w:t xml:space="preserve">Elamumaad </w:t>
      </w:r>
      <w:r w:rsidRPr="005C05C6">
        <w:rPr>
          <w:lang w:eastAsia="et-EE"/>
        </w:rPr>
        <w:t>RVS §34</w:t>
      </w:r>
      <w:r>
        <w:rPr>
          <w:lang w:eastAsia="et-EE"/>
        </w:rPr>
        <w:t xml:space="preserve"> alusel on võõrandatud Haljala, Käina, Mäetaguse, Tabivere, Maidla, Värska, Sangaste ja Saare vallale, kokku 77 hoonestamata kinnistut pindalaga 75,3 ha.</w:t>
      </w:r>
      <w:r w:rsidR="001B7146">
        <w:rPr>
          <w:lang w:eastAsia="et-EE"/>
        </w:rPr>
        <w:t xml:space="preserve"> Menetlused on läbi viinud Keskkonnaministeerium (Maa-amet).</w:t>
      </w:r>
    </w:p>
    <w:p w:rsidR="00B6319C" w:rsidRPr="002F0259" w:rsidRDefault="00B6319C" w:rsidP="00683BB5">
      <w:pPr>
        <w:pStyle w:val="Pealkiri4"/>
      </w:pPr>
      <w:r w:rsidRPr="002F0259">
        <w:t>Tasuta võõrandamine avalik-õiguslikele juriidilistele isikutele</w:t>
      </w:r>
    </w:p>
    <w:p w:rsidR="00B6319C" w:rsidRDefault="00B6319C" w:rsidP="00683BB5">
      <w:r w:rsidRPr="005C05C6">
        <w:t>Avalik-õiguslikele juriidilistele isikutele</w:t>
      </w:r>
      <w:r>
        <w:t xml:space="preserve"> on nende seadusest või põhikirjast tulenevate ülesannete täitmiseks tasuta võõrandatud 25 kinnistut, sh </w:t>
      </w:r>
      <w:r w:rsidRPr="008D68E8">
        <w:t>1</w:t>
      </w:r>
      <w:r>
        <w:t xml:space="preserve">0 hoonestatud kinnistut: </w:t>
      </w:r>
    </w:p>
    <w:p w:rsidR="00B6319C" w:rsidRPr="00C53823" w:rsidRDefault="00B6319C" w:rsidP="00953D51">
      <w:pPr>
        <w:pStyle w:val="Loend1"/>
        <w:rPr>
          <w:rFonts w:eastAsiaTheme="majorEastAsia"/>
        </w:rPr>
      </w:pPr>
      <w:r w:rsidRPr="00C53823">
        <w:rPr>
          <w:rFonts w:eastAsiaTheme="majorEastAsia"/>
        </w:rPr>
        <w:t xml:space="preserve">Haridus- ja Teadusministeerium võõrandas 9 kinnistut (kokku 8 hoonega) Tallinna Ülikoolile, Tallinna Tehnikaülikoolile ja Teaduste Akadeemiale. </w:t>
      </w:r>
    </w:p>
    <w:p w:rsidR="00B6319C" w:rsidRPr="00C53823" w:rsidRDefault="00B6319C" w:rsidP="00953D51">
      <w:pPr>
        <w:pStyle w:val="Loend1"/>
        <w:rPr>
          <w:rFonts w:eastAsiaTheme="majorEastAsia"/>
        </w:rPr>
      </w:pPr>
      <w:r w:rsidRPr="00C53823">
        <w:rPr>
          <w:rFonts w:eastAsiaTheme="majorEastAsia"/>
        </w:rPr>
        <w:t>Siseministeerium võõrandas Tartu Ülikoolile Käsmu piirikohtumiste maja, mida Tartu Ülikool kasutab bioloogide välibaasina.</w:t>
      </w:r>
    </w:p>
    <w:p w:rsidR="00B6319C" w:rsidRPr="00C53823" w:rsidRDefault="00B6319C" w:rsidP="00953D51">
      <w:pPr>
        <w:pStyle w:val="Loend1"/>
        <w:rPr>
          <w:rFonts w:eastAsiaTheme="majorEastAsia"/>
        </w:rPr>
      </w:pPr>
      <w:r w:rsidRPr="00C53823">
        <w:rPr>
          <w:rFonts w:eastAsiaTheme="majorEastAsia"/>
        </w:rPr>
        <w:t>Rahandusministeerium andis Eesti Pangale üle ajaloolise Eesti Panga hoone Tallinnas Sakala tn 4.</w:t>
      </w:r>
    </w:p>
    <w:p w:rsidR="00B6319C" w:rsidRPr="00C53823" w:rsidRDefault="00B6319C" w:rsidP="00953D51">
      <w:pPr>
        <w:pStyle w:val="Loend1"/>
        <w:rPr>
          <w:rFonts w:eastAsiaTheme="majorEastAsia"/>
        </w:rPr>
      </w:pPr>
      <w:r w:rsidRPr="00C53823">
        <w:rPr>
          <w:rFonts w:eastAsiaTheme="majorEastAsia"/>
        </w:rPr>
        <w:t>Kaitseministeerium võõrandas 12 hoonestamata kinnistut Kaitseliidule.</w:t>
      </w:r>
    </w:p>
    <w:p w:rsidR="00B6319C" w:rsidRPr="00C53823" w:rsidRDefault="00B6319C" w:rsidP="00953D51">
      <w:pPr>
        <w:pStyle w:val="Loend1"/>
        <w:rPr>
          <w:rFonts w:eastAsiaTheme="majorEastAsia"/>
        </w:rPr>
      </w:pPr>
      <w:r w:rsidRPr="00C53823">
        <w:rPr>
          <w:rFonts w:eastAsiaTheme="majorEastAsia"/>
        </w:rPr>
        <w:t xml:space="preserve">Keskkonnaministeerium </w:t>
      </w:r>
      <w:r w:rsidR="00C05050">
        <w:rPr>
          <w:rFonts w:eastAsiaTheme="majorEastAsia"/>
        </w:rPr>
        <w:t xml:space="preserve">(Maa-amet) </w:t>
      </w:r>
      <w:r w:rsidRPr="00C53823">
        <w:rPr>
          <w:rFonts w:eastAsiaTheme="majorEastAsia"/>
        </w:rPr>
        <w:t>võõrandas Tallinnas Teaduspargi 5b hoonestamata kinnistu Tallinna Tehnikaülikoolile.</w:t>
      </w:r>
    </w:p>
    <w:p w:rsidR="00B6319C" w:rsidRPr="00C53823" w:rsidRDefault="00B6319C" w:rsidP="00953D51">
      <w:pPr>
        <w:pStyle w:val="Loend1"/>
        <w:rPr>
          <w:rFonts w:eastAsiaTheme="majorEastAsia"/>
        </w:rPr>
      </w:pPr>
      <w:r w:rsidRPr="00C53823">
        <w:rPr>
          <w:rFonts w:eastAsiaTheme="majorEastAsia"/>
        </w:rPr>
        <w:t>Tartu Maavalitsus võõrandas Tartu Ülikoolile Tartus Ülikooli tn 17 asuva õppehoone aluse maa, millele oli seatud hoonestusõigus Tartu Ülikooli kasuks.</w:t>
      </w:r>
    </w:p>
    <w:p w:rsidR="00B6319C" w:rsidRPr="002F0259" w:rsidRDefault="00B6319C" w:rsidP="00683BB5">
      <w:pPr>
        <w:pStyle w:val="Pealkiri4"/>
      </w:pPr>
      <w:r w:rsidRPr="00683BB5">
        <w:t>Tasuta</w:t>
      </w:r>
      <w:r w:rsidRPr="002F0259">
        <w:t xml:space="preserve"> võõrandamine mittetulundusühingutele ja sihtasutustele</w:t>
      </w:r>
    </w:p>
    <w:p w:rsidR="00B6319C" w:rsidRDefault="00B6319C" w:rsidP="00683BB5">
      <w:r w:rsidRPr="005C05C6">
        <w:t>Mittetulundusühingutele ja sihtasutustele</w:t>
      </w:r>
      <w:r>
        <w:t xml:space="preserve"> nende seadusest või põhikirjast tulenevate ülesannete täitmiseks on tasuta võõrandatud 13 kinnistut: </w:t>
      </w:r>
    </w:p>
    <w:p w:rsidR="00B6319C" w:rsidRPr="00C53823" w:rsidRDefault="00B6319C" w:rsidP="00953D51">
      <w:pPr>
        <w:pStyle w:val="Loend1"/>
        <w:rPr>
          <w:rFonts w:eastAsiaTheme="majorEastAsia"/>
        </w:rPr>
      </w:pPr>
      <w:r w:rsidRPr="00C53823">
        <w:rPr>
          <w:rFonts w:eastAsiaTheme="majorEastAsia"/>
        </w:rPr>
        <w:t xml:space="preserve">Kultuuriministeerium võõrandas Järvamaa Muuseumi kinnistud </w:t>
      </w:r>
      <w:r w:rsidRPr="009D5557">
        <w:t>SA-le Ajakeskus Wittenstein</w:t>
      </w:r>
      <w:r w:rsidRPr="00C53823">
        <w:rPr>
          <w:rFonts w:eastAsiaTheme="majorEastAsia"/>
        </w:rPr>
        <w:t xml:space="preserve"> ja Mahtra Talurahvamuuseumi kinnistud </w:t>
      </w:r>
      <w:r w:rsidRPr="009D5557">
        <w:t>SA-le Juuru ja Hageri Kihelkonna Muuseumid.</w:t>
      </w:r>
      <w:r>
        <w:t xml:space="preserve"> Muuseumide tegevust oli otstarbekas jätkata sihtasutuse vormis.</w:t>
      </w:r>
    </w:p>
    <w:p w:rsidR="00B6319C" w:rsidRPr="00C53823" w:rsidRDefault="00B6319C" w:rsidP="00953D51">
      <w:pPr>
        <w:pStyle w:val="Loend1"/>
        <w:rPr>
          <w:rFonts w:eastAsiaTheme="majorEastAsia"/>
        </w:rPr>
      </w:pPr>
      <w:r w:rsidRPr="00C53823">
        <w:rPr>
          <w:rFonts w:eastAsiaTheme="majorEastAsia"/>
        </w:rPr>
        <w:t>Siseministeerium ja Sotsiaalministeerium võõrandasid Elva väikelastekodu kinnistud Sihtasutusele Elva Perekodu, kes korraldab edasi väikelastekodu tegevust.</w:t>
      </w:r>
    </w:p>
    <w:p w:rsidR="00B6319C" w:rsidRPr="00C53823" w:rsidRDefault="00B6319C" w:rsidP="00953D51">
      <w:pPr>
        <w:pStyle w:val="Loend1"/>
        <w:rPr>
          <w:rFonts w:eastAsiaTheme="majorEastAsia"/>
        </w:rPr>
      </w:pPr>
      <w:r w:rsidRPr="00C53823">
        <w:rPr>
          <w:rFonts w:eastAsiaTheme="majorEastAsia"/>
        </w:rPr>
        <w:t xml:space="preserve">Majandus- ja Kommunikatsiooniministeerium (Maanteeamet) võõrandas Mõniste vallas Kolgamäe karjääri kinnistu </w:t>
      </w:r>
      <w:r w:rsidRPr="00C53823">
        <w:rPr>
          <w:rFonts w:cs="Tahoma"/>
        </w:rPr>
        <w:t>Mittetulundusühingule KT Sporting lasketiiru rajamiseks.</w:t>
      </w:r>
    </w:p>
    <w:p w:rsidR="00B6319C" w:rsidRPr="00C53823" w:rsidRDefault="00B6319C" w:rsidP="00953D51">
      <w:pPr>
        <w:pStyle w:val="Loend1"/>
        <w:rPr>
          <w:rFonts w:eastAsiaTheme="majorEastAsia"/>
          <w:b/>
        </w:rPr>
      </w:pPr>
      <w:r w:rsidRPr="00C53823">
        <w:rPr>
          <w:rFonts w:eastAsiaTheme="majorEastAsia"/>
        </w:rPr>
        <w:t xml:space="preserve">Keskkonnaministeerium (Maa-amet) võõrandas tööstusparkide kinnistud Jõhvis, Kiviõlis ja Kohtla-Järvel (kokku 98,4 ha) </w:t>
      </w:r>
      <w:r w:rsidRPr="00C53823">
        <w:rPr>
          <w:rFonts w:cs="Tahoma"/>
        </w:rPr>
        <w:t>SA-le Ida-Virumaa Tööstusalade Arendus</w:t>
      </w:r>
    </w:p>
    <w:p w:rsidR="00B6319C" w:rsidRPr="002F0259" w:rsidRDefault="00B6319C" w:rsidP="00683BB5">
      <w:pPr>
        <w:pStyle w:val="Pealkiri4"/>
      </w:pPr>
      <w:r w:rsidRPr="002F0259">
        <w:t>Võõrandamine otsustuskorras harilikule väärtusele vastava tasu eest</w:t>
      </w:r>
    </w:p>
    <w:p w:rsidR="00B6319C" w:rsidRDefault="00B6319C" w:rsidP="00683BB5">
      <w:r w:rsidRPr="005614F1">
        <w:t>Harilikule väärtusele vastava tasu eest on</w:t>
      </w:r>
      <w:r>
        <w:t xml:space="preserve"> võõrandatud 10 kinnistut, sh 5 hoonestatud kinnistut:</w:t>
      </w:r>
    </w:p>
    <w:p w:rsidR="00B6319C" w:rsidRPr="00C53823" w:rsidRDefault="00B6319C" w:rsidP="00953D51">
      <w:pPr>
        <w:pStyle w:val="Loend1"/>
        <w:rPr>
          <w:rFonts w:eastAsiaTheme="majorEastAsia"/>
        </w:rPr>
      </w:pPr>
      <w:r w:rsidRPr="00C53823">
        <w:rPr>
          <w:rFonts w:eastAsiaTheme="majorEastAsia"/>
        </w:rPr>
        <w:t>Välisministeerium võõrandas Tallinnas Narva mnt 98 asuva 3 hoonega kinnistu Hiina RV suursaatkonnale hinnaga</w:t>
      </w:r>
      <w:r w:rsidRPr="00C53823">
        <w:rPr>
          <w:rFonts w:ascii="Tahoma" w:hAnsi="Tahoma" w:cs="Tahoma"/>
          <w:color w:val="50534D"/>
          <w:sz w:val="17"/>
          <w:szCs w:val="17"/>
        </w:rPr>
        <w:t xml:space="preserve"> </w:t>
      </w:r>
      <w:r w:rsidRPr="00C53823">
        <w:rPr>
          <w:rFonts w:cs="Tahoma"/>
        </w:rPr>
        <w:t>677 489,45 eurot</w:t>
      </w:r>
      <w:r>
        <w:rPr>
          <w:rStyle w:val="FootnoteReference"/>
        </w:rPr>
        <w:footnoteReference w:id="6"/>
      </w:r>
      <w:r w:rsidRPr="00C53823">
        <w:rPr>
          <w:rFonts w:eastAsiaTheme="majorEastAsia"/>
        </w:rPr>
        <w:t>.</w:t>
      </w:r>
      <w:r w:rsidR="00A84522">
        <w:rPr>
          <w:rFonts w:eastAsiaTheme="majorEastAsia"/>
        </w:rPr>
        <w:t xml:space="preserve"> 2013. a lõpetas Välisministeerium </w:t>
      </w:r>
      <w:r w:rsidR="00A84522" w:rsidRPr="00A84522">
        <w:rPr>
          <w:rFonts w:eastAsiaTheme="majorEastAsia"/>
        </w:rPr>
        <w:t xml:space="preserve">endise saatkonnahoone </w:t>
      </w:r>
      <w:r w:rsidR="00B0412C" w:rsidRPr="00A84522">
        <w:rPr>
          <w:rFonts w:eastAsiaTheme="majorEastAsia"/>
        </w:rPr>
        <w:t xml:space="preserve">Kopenhaagenis </w:t>
      </w:r>
      <w:r w:rsidR="00A84522" w:rsidRPr="00A84522">
        <w:rPr>
          <w:rFonts w:eastAsiaTheme="majorEastAsia"/>
        </w:rPr>
        <w:t>v</w:t>
      </w:r>
      <w:r w:rsidR="00B0412C">
        <w:rPr>
          <w:rFonts w:eastAsiaTheme="majorEastAsia"/>
        </w:rPr>
        <w:t xml:space="preserve">õõrandamise menetluse ja </w:t>
      </w:r>
      <w:r w:rsidR="00A84522" w:rsidRPr="00A84522">
        <w:rPr>
          <w:rFonts w:eastAsiaTheme="majorEastAsia"/>
        </w:rPr>
        <w:t>2014</w:t>
      </w:r>
      <w:r w:rsidR="00B0412C">
        <w:rPr>
          <w:rFonts w:eastAsiaTheme="majorEastAsia"/>
        </w:rPr>
        <w:t>. a</w:t>
      </w:r>
      <w:r w:rsidR="00A84522" w:rsidRPr="00A84522">
        <w:rPr>
          <w:rFonts w:eastAsiaTheme="majorEastAsia"/>
        </w:rPr>
        <w:t xml:space="preserve"> võõrandati kolm kinnisvaraobjekti - endine saatkonnahoone Brüsselis, endised saatkonna ruumid Kiievis ja endised konsulaadi ruumid Kiievis</w:t>
      </w:r>
      <w:r w:rsidR="00F25072">
        <w:rPr>
          <w:rFonts w:eastAsiaTheme="majorEastAsia"/>
        </w:rPr>
        <w:t xml:space="preserve"> (nimetatud kinnistud võõrandati enampakkumisel)</w:t>
      </w:r>
      <w:r w:rsidR="00A84522" w:rsidRPr="00A84522">
        <w:rPr>
          <w:rFonts w:eastAsiaTheme="majorEastAsia"/>
        </w:rPr>
        <w:t>.</w:t>
      </w:r>
    </w:p>
    <w:p w:rsidR="00B6319C" w:rsidRPr="00C53823" w:rsidRDefault="00B6319C" w:rsidP="00953D51">
      <w:pPr>
        <w:pStyle w:val="Loend1"/>
        <w:rPr>
          <w:rFonts w:eastAsiaTheme="majorEastAsia"/>
        </w:rPr>
      </w:pPr>
      <w:r w:rsidRPr="00C53823">
        <w:rPr>
          <w:rFonts w:eastAsiaTheme="majorEastAsia"/>
        </w:rPr>
        <w:t>RMK võõrandas Läänemaal Hanila vallas asuva Laelatu puhkemaja kinnistu Tartu Ülikoolile väärtusega</w:t>
      </w:r>
      <w:r w:rsidRPr="00C53823">
        <w:rPr>
          <w:rFonts w:ascii="Tahoma" w:hAnsi="Tahoma" w:cs="Tahoma"/>
          <w:color w:val="50534D"/>
          <w:sz w:val="17"/>
          <w:szCs w:val="17"/>
        </w:rPr>
        <w:t xml:space="preserve"> </w:t>
      </w:r>
      <w:r w:rsidRPr="00C53823">
        <w:rPr>
          <w:rFonts w:cs="Tahoma"/>
        </w:rPr>
        <w:t xml:space="preserve">25 500 eurot. </w:t>
      </w:r>
    </w:p>
    <w:p w:rsidR="00B6319C" w:rsidRPr="00C53823" w:rsidRDefault="00B6319C" w:rsidP="00953D51">
      <w:pPr>
        <w:pStyle w:val="Loend1"/>
        <w:rPr>
          <w:rFonts w:eastAsiaTheme="majorEastAsia"/>
        </w:rPr>
      </w:pPr>
      <w:r w:rsidRPr="00C53823">
        <w:rPr>
          <w:rFonts w:eastAsiaTheme="majorEastAsia"/>
        </w:rPr>
        <w:t xml:space="preserve">Keskkonnaministeeriumi valitsemisalas </w:t>
      </w:r>
      <w:r w:rsidRPr="00C53823">
        <w:rPr>
          <w:rFonts w:cs="Tahoma"/>
        </w:rPr>
        <w:t>Maa-amet võõrandas Vinni Vallavalitsusele Pajusti alevikus, Naaritsa tn 13 4,9 ha tootmismaad hinnaga 1 euro</w:t>
      </w:r>
      <w:r w:rsidRPr="00C53823">
        <w:rPr>
          <w:rFonts w:ascii="Tahoma" w:hAnsi="Tahoma" w:cs="Tahoma"/>
          <w:sz w:val="17"/>
          <w:szCs w:val="17"/>
        </w:rPr>
        <w:t xml:space="preserve"> </w:t>
      </w:r>
      <w:r w:rsidRPr="00C53823">
        <w:rPr>
          <w:rFonts w:cs="Tahoma"/>
        </w:rPr>
        <w:t>(eksperthinnanguga hinnati kinnistu turuväärtuseks 0 eurot, kuna kinnistul asusid vana naaritsafarmi lagunenud ehitised, millega kaasnesid lammutuskulud).</w:t>
      </w:r>
    </w:p>
    <w:p w:rsidR="00B6319C" w:rsidRPr="00C53823" w:rsidRDefault="00B6319C" w:rsidP="00953D51">
      <w:pPr>
        <w:pStyle w:val="Loend1"/>
        <w:spacing w:after="0"/>
        <w:rPr>
          <w:rFonts w:eastAsiaTheme="majorEastAsia"/>
        </w:rPr>
      </w:pPr>
      <w:r w:rsidRPr="00C53823">
        <w:rPr>
          <w:rFonts w:eastAsiaTheme="majorEastAsia"/>
        </w:rPr>
        <w:t xml:space="preserve">Majandus- ja Kommunikatsiooniministeerium võõrandas 7 kinnistut, sh 3 hoonestatud kinnistut: </w:t>
      </w:r>
    </w:p>
    <w:p w:rsidR="00B6319C" w:rsidRPr="00C53823" w:rsidRDefault="00B6319C" w:rsidP="00607E04">
      <w:pPr>
        <w:pStyle w:val="Loend1"/>
        <w:rPr>
          <w:rFonts w:eastAsiaTheme="majorEastAsia"/>
        </w:rPr>
      </w:pPr>
      <w:r w:rsidRPr="00A85132">
        <w:t>Harku vallas, Türisalu külas alajaama kinnistu</w:t>
      </w:r>
      <w:r w:rsidR="00C53823" w:rsidRPr="00C53823">
        <w:rPr>
          <w:rFonts w:eastAsiaTheme="majorEastAsia"/>
        </w:rPr>
        <w:t xml:space="preserve"> Eesti Energia AS-ile</w:t>
      </w:r>
      <w:r w:rsidRPr="00C53823">
        <w:rPr>
          <w:rFonts w:eastAsiaTheme="majorEastAsia"/>
        </w:rPr>
        <w:t xml:space="preserve"> hinnaga </w:t>
      </w:r>
      <w:r w:rsidRPr="00A85132">
        <w:t>5500 (</w:t>
      </w:r>
      <w:r>
        <w:t>võõrandamis</w:t>
      </w:r>
      <w:r w:rsidRPr="00A85132">
        <w:t>leping sõlmiti 2007)</w:t>
      </w:r>
    </w:p>
    <w:p w:rsidR="00B6319C" w:rsidRPr="00C53823" w:rsidRDefault="00B6319C" w:rsidP="00607E04">
      <w:pPr>
        <w:pStyle w:val="Loend1"/>
        <w:rPr>
          <w:rFonts w:eastAsiaTheme="majorEastAsia"/>
        </w:rPr>
      </w:pPr>
      <w:r w:rsidRPr="00C53823">
        <w:rPr>
          <w:rFonts w:eastAsiaTheme="majorEastAsia"/>
        </w:rPr>
        <w:t xml:space="preserve">mitteeluruumid Tallinnas, Lembitu tn 7 </w:t>
      </w:r>
      <w:r w:rsidRPr="00F518D7">
        <w:t>Osaühingule Sokotra</w:t>
      </w:r>
      <w:r>
        <w:t xml:space="preserve"> hinnaga </w:t>
      </w:r>
      <w:r w:rsidRPr="00A85132">
        <w:t>25</w:t>
      </w:r>
      <w:r>
        <w:t xml:space="preserve"> </w:t>
      </w:r>
      <w:r w:rsidRPr="00A85132">
        <w:t>564,66 eurot</w:t>
      </w:r>
      <w:r>
        <w:t>;</w:t>
      </w:r>
    </w:p>
    <w:p w:rsidR="00B6319C" w:rsidRPr="00C53823" w:rsidRDefault="00B6319C" w:rsidP="00607E04">
      <w:pPr>
        <w:pStyle w:val="Loend1"/>
        <w:rPr>
          <w:rFonts w:eastAsiaTheme="majorEastAsia"/>
        </w:rPr>
      </w:pPr>
      <w:r w:rsidRPr="00C53823">
        <w:rPr>
          <w:rFonts w:eastAsiaTheme="majorEastAsia"/>
        </w:rPr>
        <w:t>3 kinnistut Elering AS-ile Kohtla-Järvel, Saaremaal Leisi vallas ja Paldiskis kokku hinnaga 105 291 eurot;</w:t>
      </w:r>
    </w:p>
    <w:p w:rsidR="00B6319C" w:rsidRPr="00C53823" w:rsidRDefault="00B6319C" w:rsidP="00607E04">
      <w:pPr>
        <w:pStyle w:val="Loend1"/>
        <w:rPr>
          <w:rFonts w:eastAsiaTheme="majorEastAsia"/>
        </w:rPr>
      </w:pPr>
      <w:r w:rsidRPr="00C53823">
        <w:rPr>
          <w:rFonts w:eastAsiaTheme="majorEastAsia"/>
        </w:rPr>
        <w:t>Hüdroelektrijaama kinnistu Keila-Joa alevikus, Posti 5 Eesti Energia AS-ile hinnaga 2339,17 eurot.</w:t>
      </w:r>
    </w:p>
    <w:p w:rsidR="00B6319C" w:rsidRPr="002F0259" w:rsidRDefault="00B6319C" w:rsidP="00683BB5">
      <w:pPr>
        <w:pStyle w:val="Pealkiri4"/>
      </w:pPr>
      <w:r w:rsidRPr="002F0259">
        <w:t xml:space="preserve">Kinnistute vahetamine avalikul eesmärgil </w:t>
      </w:r>
    </w:p>
    <w:p w:rsidR="00B6319C" w:rsidRDefault="00B6319C" w:rsidP="00683BB5">
      <w:pPr>
        <w:rPr>
          <w:lang w:eastAsia="et-EE"/>
        </w:rPr>
      </w:pPr>
      <w:r>
        <w:rPr>
          <w:lang w:eastAsia="et-EE"/>
        </w:rPr>
        <w:t xml:space="preserve">RVS § 35 alusel võib riigivara otsustuskorras võõrandada vahetamise teel. Vahetamisi </w:t>
      </w:r>
      <w:r w:rsidRPr="00943177">
        <w:rPr>
          <w:lang w:eastAsia="et-EE"/>
        </w:rPr>
        <w:t xml:space="preserve">on olnud </w:t>
      </w:r>
      <w:r>
        <w:rPr>
          <w:lang w:eastAsia="et-EE"/>
        </w:rPr>
        <w:t>mõlemal aruandeaastal üks. Vahetamised on täitnud maakorralduslikke eesmärke.</w:t>
      </w:r>
    </w:p>
    <w:p w:rsidR="00B6319C" w:rsidRPr="00783C78" w:rsidRDefault="00B6319C" w:rsidP="00683BB5">
      <w:pPr>
        <w:pStyle w:val="Pealkiri3"/>
      </w:pPr>
      <w:bookmarkStart w:id="150" w:name="_Toc418016354"/>
      <w:bookmarkStart w:id="151" w:name="_Ref424051156"/>
      <w:bookmarkStart w:id="152" w:name="_Toc433980697"/>
      <w:r w:rsidRPr="00783C78">
        <w:t xml:space="preserve">Riigivara üleandmine mitterahalise sissemaksena eraõiguslikele juriidilistele </w:t>
      </w:r>
      <w:r w:rsidRPr="00683BB5">
        <w:t>isikutele</w:t>
      </w:r>
      <w:bookmarkEnd w:id="150"/>
      <w:bookmarkEnd w:id="151"/>
      <w:bookmarkEnd w:id="152"/>
    </w:p>
    <w:p w:rsidR="00B6319C" w:rsidRDefault="00B6319C" w:rsidP="00B6319C">
      <w:pPr>
        <w:rPr>
          <w:rFonts w:eastAsiaTheme="majorEastAsia"/>
        </w:rPr>
      </w:pPr>
      <w:r w:rsidRPr="005D5095">
        <w:rPr>
          <w:rFonts w:eastAsiaTheme="majorEastAsia"/>
        </w:rPr>
        <w:t xml:space="preserve">RVS § 51 alusel </w:t>
      </w:r>
      <w:r>
        <w:rPr>
          <w:rFonts w:eastAsiaTheme="majorEastAsia"/>
        </w:rPr>
        <w:t>on</w:t>
      </w:r>
      <w:r w:rsidRPr="005675A1">
        <w:rPr>
          <w:rFonts w:eastAsiaTheme="majorEastAsia"/>
          <w:b/>
        </w:rPr>
        <w:t xml:space="preserve"> </w:t>
      </w:r>
      <w:r>
        <w:rPr>
          <w:rFonts w:eastAsiaTheme="majorEastAsia"/>
          <w:b/>
        </w:rPr>
        <w:t>m</w:t>
      </w:r>
      <w:r w:rsidRPr="005675A1">
        <w:rPr>
          <w:rFonts w:eastAsiaTheme="majorEastAsia"/>
          <w:b/>
        </w:rPr>
        <w:t>itterahalise sissemaksena</w:t>
      </w:r>
      <w:r>
        <w:rPr>
          <w:rFonts w:eastAsiaTheme="majorEastAsia"/>
        </w:rPr>
        <w:t xml:space="preserve"> üle antud </w:t>
      </w:r>
      <w:r w:rsidRPr="00B5589D">
        <w:rPr>
          <w:rFonts w:eastAsiaTheme="majorEastAsia"/>
        </w:rPr>
        <w:t>286</w:t>
      </w:r>
      <w:r w:rsidRPr="005675A1">
        <w:rPr>
          <w:rFonts w:eastAsiaTheme="majorEastAsia"/>
        </w:rPr>
        <w:t xml:space="preserve"> ki</w:t>
      </w:r>
      <w:r>
        <w:rPr>
          <w:rFonts w:eastAsiaTheme="majorEastAsia"/>
        </w:rPr>
        <w:t>nnistut, neist 27</w:t>
      </w:r>
      <w:r w:rsidR="00F61C1E">
        <w:rPr>
          <w:rFonts w:eastAsiaTheme="majorEastAsia"/>
        </w:rPr>
        <w:t>3</w:t>
      </w:r>
      <w:r>
        <w:rPr>
          <w:rFonts w:eastAsiaTheme="majorEastAsia"/>
        </w:rPr>
        <w:t xml:space="preserve"> RKAS-ile ja 1</w:t>
      </w:r>
      <w:r w:rsidR="00F61C1E">
        <w:rPr>
          <w:rFonts w:eastAsiaTheme="majorEastAsia"/>
        </w:rPr>
        <w:t>3</w:t>
      </w:r>
      <w:r>
        <w:rPr>
          <w:rFonts w:eastAsiaTheme="majorEastAsia"/>
        </w:rPr>
        <w:t xml:space="preserve"> teistele isikutele (</w:t>
      </w:r>
      <w:r w:rsidR="00A85FDC">
        <w:rPr>
          <w:rFonts w:eastAsiaTheme="majorEastAsia"/>
        </w:rPr>
        <w:fldChar w:fldCharType="begin"/>
      </w:r>
      <w:r>
        <w:rPr>
          <w:rFonts w:eastAsiaTheme="majorEastAsia"/>
        </w:rPr>
        <w:instrText xml:space="preserve"> REF _Ref411869505 \h </w:instrText>
      </w:r>
      <w:r w:rsidR="00A85FDC">
        <w:rPr>
          <w:rFonts w:eastAsiaTheme="majorEastAsia"/>
        </w:rPr>
      </w:r>
      <w:r w:rsidR="00A85FDC">
        <w:rPr>
          <w:rFonts w:eastAsiaTheme="majorEastAsia"/>
        </w:rPr>
        <w:fldChar w:fldCharType="separate"/>
      </w:r>
      <w:r w:rsidR="00477322">
        <w:t xml:space="preserve">Tabel </w:t>
      </w:r>
      <w:r w:rsidR="00477322">
        <w:rPr>
          <w:noProof/>
        </w:rPr>
        <w:t>7</w:t>
      </w:r>
      <w:r w:rsidR="00A85FDC">
        <w:rPr>
          <w:rFonts w:eastAsiaTheme="majorEastAsia"/>
        </w:rPr>
        <w:fldChar w:fldCharType="end"/>
      </w:r>
      <w:r>
        <w:rPr>
          <w:rFonts w:eastAsiaTheme="majorEastAsia"/>
        </w:rPr>
        <w:t>)</w:t>
      </w:r>
      <w:r w:rsidRPr="005675A1">
        <w:rPr>
          <w:rFonts w:eastAsiaTheme="majorEastAsia"/>
        </w:rPr>
        <w:t xml:space="preserve">. Üle antud kinnisasjade harilik väärtus (aktsia- või sihtkapitali suurendamine) on </w:t>
      </w:r>
      <w:r w:rsidRPr="003A3660">
        <w:rPr>
          <w:rFonts w:eastAsiaTheme="majorEastAsia"/>
        </w:rPr>
        <w:t>3</w:t>
      </w:r>
      <w:r>
        <w:rPr>
          <w:rFonts w:eastAsiaTheme="majorEastAsia"/>
        </w:rPr>
        <w:t>5</w:t>
      </w:r>
      <w:r w:rsidRPr="005675A1">
        <w:rPr>
          <w:rFonts w:eastAsiaTheme="majorEastAsia"/>
        </w:rPr>
        <w:t xml:space="preserve"> miljonit eurot.</w:t>
      </w:r>
    </w:p>
    <w:p w:rsidR="00B6319C" w:rsidRDefault="00B6319C" w:rsidP="00B6319C">
      <w:pPr>
        <w:pStyle w:val="Caption"/>
      </w:pPr>
      <w:bookmarkStart w:id="153" w:name="_Ref411869505"/>
      <w:r>
        <w:t xml:space="preserve">Tabel </w:t>
      </w:r>
      <w:fldSimple w:instr=" SEQ Tabel \* ARABIC ">
        <w:r w:rsidR="00477322">
          <w:rPr>
            <w:noProof/>
          </w:rPr>
          <w:t>7</w:t>
        </w:r>
      </w:fldSimple>
      <w:bookmarkEnd w:id="153"/>
      <w:r>
        <w:t>. Riigivara üleandmine eraõiguslikele juriidilistele isikutele</w:t>
      </w:r>
    </w:p>
    <w:tbl>
      <w:tblPr>
        <w:tblW w:w="9127" w:type="dxa"/>
        <w:tblInd w:w="65" w:type="dxa"/>
        <w:tblLayout w:type="fixed"/>
        <w:tblCellMar>
          <w:left w:w="70" w:type="dxa"/>
          <w:right w:w="70" w:type="dxa"/>
        </w:tblCellMar>
        <w:tblLook w:val="04A0"/>
      </w:tblPr>
      <w:tblGrid>
        <w:gridCol w:w="2078"/>
        <w:gridCol w:w="1934"/>
        <w:gridCol w:w="830"/>
        <w:gridCol w:w="829"/>
        <w:gridCol w:w="830"/>
        <w:gridCol w:w="829"/>
        <w:gridCol w:w="967"/>
        <w:gridCol w:w="830"/>
      </w:tblGrid>
      <w:tr w:rsidR="00B6319C" w:rsidRPr="00317574" w:rsidTr="00F61C1E">
        <w:trPr>
          <w:trHeight w:hRule="exact" w:val="403"/>
        </w:trPr>
        <w:tc>
          <w:tcPr>
            <w:tcW w:w="2078" w:type="dxa"/>
            <w:vMerge w:val="restart"/>
            <w:tcBorders>
              <w:top w:val="single" w:sz="4" w:space="0" w:color="auto"/>
              <w:left w:val="single" w:sz="4" w:space="0" w:color="auto"/>
              <w:bottom w:val="single" w:sz="4" w:space="0" w:color="auto"/>
              <w:right w:val="single" w:sz="4" w:space="0" w:color="auto"/>
            </w:tcBorders>
            <w:shd w:val="clear" w:color="DBE5F1" w:fill="DBEEF3"/>
            <w:noWrap/>
            <w:vAlign w:val="bottom"/>
            <w:hideMark/>
          </w:tcPr>
          <w:p w:rsidR="00B6319C" w:rsidRPr="00317574" w:rsidRDefault="00B6319C" w:rsidP="00CD371C">
            <w:pPr>
              <w:jc w:val="center"/>
              <w:rPr>
                <w:b/>
                <w:bCs/>
                <w:color w:val="000000"/>
                <w:sz w:val="18"/>
                <w:szCs w:val="18"/>
                <w:lang w:eastAsia="et-EE"/>
              </w:rPr>
            </w:pPr>
            <w:r w:rsidRPr="00317574">
              <w:rPr>
                <w:b/>
                <w:bCs/>
                <w:color w:val="000000"/>
                <w:sz w:val="18"/>
                <w:szCs w:val="18"/>
                <w:lang w:eastAsia="et-EE"/>
              </w:rPr>
              <w:t xml:space="preserve">Valitseja </w:t>
            </w:r>
          </w:p>
        </w:tc>
        <w:tc>
          <w:tcPr>
            <w:tcW w:w="1934" w:type="dxa"/>
            <w:vMerge w:val="restart"/>
            <w:tcBorders>
              <w:top w:val="single" w:sz="4" w:space="0" w:color="auto"/>
              <w:left w:val="single" w:sz="4" w:space="0" w:color="auto"/>
              <w:bottom w:val="single" w:sz="4" w:space="0" w:color="000000"/>
              <w:right w:val="single" w:sz="4" w:space="0" w:color="auto"/>
            </w:tcBorders>
            <w:shd w:val="clear" w:color="DBE5F1" w:fill="DBEEF3"/>
            <w:noWrap/>
            <w:vAlign w:val="bottom"/>
            <w:hideMark/>
          </w:tcPr>
          <w:p w:rsidR="00B6319C" w:rsidRPr="00317574" w:rsidRDefault="00B6319C" w:rsidP="00CD371C">
            <w:pPr>
              <w:jc w:val="center"/>
              <w:rPr>
                <w:b/>
                <w:bCs/>
                <w:color w:val="000000"/>
                <w:sz w:val="18"/>
                <w:szCs w:val="18"/>
                <w:lang w:eastAsia="et-EE"/>
              </w:rPr>
            </w:pPr>
            <w:r w:rsidRPr="00317574">
              <w:rPr>
                <w:b/>
                <w:bCs/>
                <w:color w:val="000000"/>
                <w:sz w:val="18"/>
                <w:szCs w:val="18"/>
                <w:lang w:eastAsia="et-EE"/>
              </w:rPr>
              <w:t>Saaja</w:t>
            </w:r>
          </w:p>
        </w:tc>
        <w:tc>
          <w:tcPr>
            <w:tcW w:w="1658"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Kinnistute arv</w:t>
            </w:r>
          </w:p>
        </w:tc>
        <w:tc>
          <w:tcPr>
            <w:tcW w:w="1658" w:type="dxa"/>
            <w:gridSpan w:val="2"/>
            <w:tcBorders>
              <w:top w:val="single" w:sz="4" w:space="0" w:color="auto"/>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Hoonete arv</w:t>
            </w:r>
          </w:p>
        </w:tc>
        <w:tc>
          <w:tcPr>
            <w:tcW w:w="1797" w:type="dxa"/>
            <w:gridSpan w:val="2"/>
            <w:tcBorders>
              <w:top w:val="single" w:sz="4" w:space="0" w:color="auto"/>
              <w:left w:val="nil"/>
              <w:bottom w:val="single" w:sz="4" w:space="0" w:color="auto"/>
              <w:right w:val="single" w:sz="4" w:space="0" w:color="000000"/>
            </w:tcBorders>
            <w:shd w:val="clear" w:color="000000" w:fill="DBEEF3"/>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Hoonete pind (m²)</w:t>
            </w:r>
          </w:p>
        </w:tc>
      </w:tr>
      <w:tr w:rsidR="00B6319C" w:rsidRPr="00317574" w:rsidTr="00F61C1E">
        <w:trPr>
          <w:trHeight w:hRule="exact" w:val="345"/>
        </w:trPr>
        <w:tc>
          <w:tcPr>
            <w:tcW w:w="2078" w:type="dxa"/>
            <w:vMerge/>
            <w:tcBorders>
              <w:top w:val="single" w:sz="4" w:space="0" w:color="auto"/>
              <w:left w:val="single" w:sz="4" w:space="0" w:color="auto"/>
              <w:bottom w:val="single" w:sz="4" w:space="0" w:color="auto"/>
              <w:right w:val="single" w:sz="4" w:space="0" w:color="auto"/>
            </w:tcBorders>
            <w:vAlign w:val="center"/>
            <w:hideMark/>
          </w:tcPr>
          <w:p w:rsidR="00B6319C" w:rsidRPr="00317574" w:rsidRDefault="00B6319C" w:rsidP="00CD371C">
            <w:pPr>
              <w:jc w:val="left"/>
              <w:rPr>
                <w:b/>
                <w:bCs/>
                <w:color w:val="000000"/>
                <w:sz w:val="18"/>
                <w:szCs w:val="18"/>
                <w:lang w:eastAsia="et-EE"/>
              </w:rPr>
            </w:pPr>
          </w:p>
        </w:tc>
        <w:tc>
          <w:tcPr>
            <w:tcW w:w="1934" w:type="dxa"/>
            <w:vMerge/>
            <w:tcBorders>
              <w:top w:val="single" w:sz="4" w:space="0" w:color="auto"/>
              <w:left w:val="single" w:sz="4" w:space="0" w:color="auto"/>
              <w:bottom w:val="single" w:sz="4" w:space="0" w:color="000000"/>
              <w:right w:val="single" w:sz="4" w:space="0" w:color="auto"/>
            </w:tcBorders>
            <w:vAlign w:val="center"/>
            <w:hideMark/>
          </w:tcPr>
          <w:p w:rsidR="00B6319C" w:rsidRPr="00317574" w:rsidRDefault="00B6319C" w:rsidP="00CD371C">
            <w:pPr>
              <w:jc w:val="left"/>
              <w:rPr>
                <w:b/>
                <w:bCs/>
                <w:color w:val="000000"/>
                <w:sz w:val="18"/>
                <w:szCs w:val="18"/>
                <w:lang w:eastAsia="et-EE"/>
              </w:rPr>
            </w:pPr>
          </w:p>
        </w:tc>
        <w:tc>
          <w:tcPr>
            <w:tcW w:w="830"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2013</w:t>
            </w:r>
          </w:p>
        </w:tc>
        <w:tc>
          <w:tcPr>
            <w:tcW w:w="829"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2014</w:t>
            </w:r>
          </w:p>
        </w:tc>
        <w:tc>
          <w:tcPr>
            <w:tcW w:w="830"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2013</w:t>
            </w:r>
          </w:p>
        </w:tc>
        <w:tc>
          <w:tcPr>
            <w:tcW w:w="829"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2014</w:t>
            </w:r>
          </w:p>
        </w:tc>
        <w:tc>
          <w:tcPr>
            <w:tcW w:w="967"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2013</w:t>
            </w:r>
          </w:p>
        </w:tc>
        <w:tc>
          <w:tcPr>
            <w:tcW w:w="830" w:type="dxa"/>
            <w:tcBorders>
              <w:top w:val="nil"/>
              <w:left w:val="nil"/>
              <w:bottom w:val="single" w:sz="4" w:space="0" w:color="auto"/>
              <w:right w:val="single" w:sz="4" w:space="0" w:color="auto"/>
            </w:tcBorders>
            <w:shd w:val="clear" w:color="000000" w:fill="DBEEF3"/>
            <w:noWrap/>
            <w:vAlign w:val="center"/>
            <w:hideMark/>
          </w:tcPr>
          <w:p w:rsidR="00B6319C" w:rsidRPr="00317574" w:rsidRDefault="00B6319C" w:rsidP="00710207">
            <w:pPr>
              <w:spacing w:before="0"/>
              <w:jc w:val="center"/>
              <w:rPr>
                <w:b/>
                <w:bCs/>
                <w:sz w:val="18"/>
                <w:szCs w:val="18"/>
                <w:lang w:eastAsia="et-EE"/>
              </w:rPr>
            </w:pPr>
            <w:r w:rsidRPr="00317574">
              <w:rPr>
                <w:b/>
                <w:bCs/>
                <w:sz w:val="18"/>
                <w:szCs w:val="18"/>
                <w:lang w:eastAsia="et-EE"/>
              </w:rPr>
              <w:t>2014</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Haridus- ja Teadusministeerium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60</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5</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73</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7</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58 331</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22 745</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Kaitseministeerium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22</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3</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19</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7</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1 372</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7 167</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Keskkonnaministeerium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6</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28</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8</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33</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4 835</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12 278</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Kultuuriministeerium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
                <w:bCs/>
                <w:color w:val="000000"/>
                <w:sz w:val="17"/>
                <w:szCs w:val="17"/>
                <w:lang w:eastAsia="et-EE"/>
              </w:rPr>
            </w:pPr>
            <w:r w:rsidRPr="00710207">
              <w:rPr>
                <w:b/>
                <w:bCs/>
                <w:color w:val="000000"/>
                <w:sz w:val="17"/>
                <w:szCs w:val="17"/>
                <w:lang w:eastAsia="et-EE"/>
              </w:rPr>
              <w:t> </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c>
          <w:tcPr>
            <w:tcW w:w="967"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auto" w:fill="auto"/>
            <w:vAlign w:val="center"/>
            <w:hideMark/>
          </w:tcPr>
          <w:p w:rsidR="00B6319C" w:rsidRPr="00710207" w:rsidRDefault="00B6319C" w:rsidP="00710207">
            <w:pPr>
              <w:spacing w:before="0"/>
              <w:jc w:val="left"/>
              <w:rPr>
                <w:sz w:val="17"/>
                <w:szCs w:val="17"/>
                <w:lang w:eastAsia="et-EE"/>
              </w:rPr>
            </w:pPr>
            <w:r w:rsidRPr="00710207">
              <w:rPr>
                <w:sz w:val="17"/>
                <w:szCs w:val="17"/>
                <w:lang w:eastAsia="et-EE"/>
              </w:rPr>
              <w:t>Sh</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42</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2</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46</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7</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66 790</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1 654</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auto" w:fill="auto"/>
            <w:vAlign w:val="center"/>
            <w:hideMark/>
          </w:tcPr>
          <w:p w:rsidR="00B6319C" w:rsidRPr="00710207" w:rsidRDefault="00B6319C" w:rsidP="00710207">
            <w:pPr>
              <w:spacing w:before="0"/>
              <w:jc w:val="left"/>
              <w:rPr>
                <w:sz w:val="17"/>
                <w:szCs w:val="17"/>
                <w:lang w:eastAsia="et-EE"/>
              </w:rPr>
            </w:pPr>
            <w:r w:rsidRPr="00710207">
              <w:rPr>
                <w:sz w:val="17"/>
                <w:szCs w:val="17"/>
                <w:lang w:eastAsia="et-EE"/>
              </w:rPr>
              <w:t> </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Sihtasutus Eesti Kontsert</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w:t>
            </w:r>
          </w:p>
        </w:tc>
        <w:tc>
          <w:tcPr>
            <w:tcW w:w="967"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3 805</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auto" w:fill="auto"/>
            <w:vAlign w:val="center"/>
            <w:hideMark/>
          </w:tcPr>
          <w:p w:rsidR="00B6319C" w:rsidRPr="00710207" w:rsidRDefault="00B6319C" w:rsidP="00710207">
            <w:pPr>
              <w:spacing w:before="0"/>
              <w:jc w:val="left"/>
              <w:rPr>
                <w:sz w:val="17"/>
                <w:szCs w:val="17"/>
                <w:lang w:eastAsia="et-EE"/>
              </w:rPr>
            </w:pPr>
            <w:r w:rsidRPr="00710207">
              <w:rPr>
                <w:sz w:val="17"/>
                <w:szCs w:val="17"/>
                <w:lang w:eastAsia="et-EE"/>
              </w:rPr>
              <w:t> </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Sihtasutus Eesti Vabaõhumuuseum</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12</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3 753</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r>
      <w:tr w:rsidR="00B6319C" w:rsidRPr="00317574" w:rsidTr="00F61C1E">
        <w:trPr>
          <w:trHeight w:hRule="exact" w:val="575"/>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sz w:val="17"/>
                <w:szCs w:val="17"/>
                <w:lang w:eastAsia="et-EE"/>
              </w:rPr>
            </w:pPr>
            <w:r w:rsidRPr="00710207">
              <w:rPr>
                <w:sz w:val="17"/>
                <w:szCs w:val="17"/>
                <w:lang w:eastAsia="et-EE"/>
              </w:rPr>
              <w:t xml:space="preserve"> </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Sihtasutus Haapsalu ja Läänemaa Muuseumid</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3</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9</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1 674</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auto" w:fill="auto"/>
            <w:vAlign w:val="center"/>
            <w:hideMark/>
          </w:tcPr>
          <w:p w:rsidR="00B6319C" w:rsidRPr="00710207" w:rsidRDefault="00B6319C" w:rsidP="00710207">
            <w:pPr>
              <w:spacing w:before="0"/>
              <w:jc w:val="left"/>
              <w:rPr>
                <w:sz w:val="17"/>
                <w:szCs w:val="17"/>
                <w:lang w:eastAsia="et-EE"/>
              </w:rPr>
            </w:pPr>
            <w:r w:rsidRPr="00710207">
              <w:rPr>
                <w:sz w:val="17"/>
                <w:szCs w:val="17"/>
                <w:lang w:eastAsia="et-EE"/>
              </w:rPr>
              <w:t> </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Sihtasutus Hiiumaa Muuseumid</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6</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19</w:t>
            </w:r>
          </w:p>
        </w:tc>
        <w:tc>
          <w:tcPr>
            <w:tcW w:w="967"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2 295</w:t>
            </w:r>
          </w:p>
        </w:tc>
      </w:tr>
      <w:tr w:rsidR="00B6319C" w:rsidRPr="00317574" w:rsidTr="00F61C1E">
        <w:trPr>
          <w:trHeight w:hRule="exact" w:val="575"/>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Majandus- ja Kommunikatsiooniminis</w:t>
            </w:r>
            <w:r w:rsidR="00710207">
              <w:rPr>
                <w:bCs/>
                <w:color w:val="000000"/>
                <w:sz w:val="17"/>
                <w:szCs w:val="17"/>
                <w:lang w:eastAsia="et-EE"/>
              </w:rPr>
              <w:t>-</w:t>
            </w:r>
            <w:r w:rsidRPr="00710207">
              <w:rPr>
                <w:bCs/>
                <w:color w:val="000000"/>
                <w:sz w:val="17"/>
                <w:szCs w:val="17"/>
                <w:lang w:eastAsia="et-EE"/>
              </w:rPr>
              <w:t>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Aktsiaselts TALLINNA SADAM</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2</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1</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8</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Põllumajandusministeerium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2</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3</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636</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Siseministeerium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73</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6</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108</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12</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65 397</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2 280</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000000" w:fill="FFFFFF"/>
            <w:vAlign w:val="center"/>
            <w:hideMark/>
          </w:tcPr>
          <w:p w:rsidR="00B6319C" w:rsidRPr="00710207" w:rsidRDefault="00B6319C" w:rsidP="00710207">
            <w:pPr>
              <w:spacing w:before="0"/>
              <w:jc w:val="left"/>
              <w:rPr>
                <w:bCs/>
                <w:color w:val="000000"/>
                <w:sz w:val="17"/>
                <w:szCs w:val="17"/>
                <w:lang w:eastAsia="et-EE"/>
              </w:rPr>
            </w:pPr>
            <w:r w:rsidRPr="00710207">
              <w:rPr>
                <w:bCs/>
                <w:color w:val="000000"/>
                <w:sz w:val="17"/>
                <w:szCs w:val="17"/>
                <w:lang w:eastAsia="et-EE"/>
              </w:rPr>
              <w:t>Sotsiaalministeerium</w:t>
            </w:r>
          </w:p>
        </w:tc>
        <w:tc>
          <w:tcPr>
            <w:tcW w:w="1934" w:type="dxa"/>
            <w:tcBorders>
              <w:top w:val="nil"/>
              <w:left w:val="nil"/>
              <w:bottom w:val="single" w:sz="4" w:space="0" w:color="auto"/>
              <w:right w:val="single" w:sz="4" w:space="0" w:color="auto"/>
            </w:tcBorders>
            <w:shd w:val="clear" w:color="000000" w:fill="FFFFFF"/>
            <w:vAlign w:val="center"/>
            <w:hideMark/>
          </w:tcPr>
          <w:p w:rsidR="00B6319C" w:rsidRPr="00710207" w:rsidRDefault="00B6319C" w:rsidP="00710207">
            <w:pPr>
              <w:spacing w:before="0"/>
              <w:ind w:firstLineChars="100" w:firstLine="170"/>
              <w:jc w:val="left"/>
              <w:rPr>
                <w:sz w:val="17"/>
                <w:szCs w:val="17"/>
                <w:lang w:eastAsia="et-EE"/>
              </w:rPr>
            </w:pPr>
            <w:r w:rsidRPr="00710207">
              <w:rPr>
                <w:sz w:val="17"/>
                <w:szCs w:val="17"/>
                <w:lang w:eastAsia="et-EE"/>
              </w:rPr>
              <w:t>Riigi Kinnisvara Aktsiaselts</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14</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sz w:val="17"/>
                <w:szCs w:val="17"/>
                <w:lang w:eastAsia="et-EE"/>
              </w:rPr>
            </w:pPr>
            <w:r w:rsidRPr="00710207">
              <w:rPr>
                <w:sz w:val="17"/>
                <w:szCs w:val="17"/>
                <w:lang w:eastAsia="et-EE"/>
              </w:rPr>
              <w:t>10</w:t>
            </w:r>
          </w:p>
        </w:tc>
        <w:tc>
          <w:tcPr>
            <w:tcW w:w="830"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23</w:t>
            </w:r>
          </w:p>
        </w:tc>
        <w:tc>
          <w:tcPr>
            <w:tcW w:w="829" w:type="dxa"/>
            <w:tcBorders>
              <w:top w:val="nil"/>
              <w:left w:val="nil"/>
              <w:bottom w:val="single" w:sz="4" w:space="0" w:color="auto"/>
              <w:right w:val="single" w:sz="4" w:space="0" w:color="auto"/>
            </w:tcBorders>
            <w:shd w:val="clear" w:color="D8D8D8"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12</w:t>
            </w:r>
          </w:p>
        </w:tc>
        <w:tc>
          <w:tcPr>
            <w:tcW w:w="967"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17 957</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color w:val="000000"/>
                <w:sz w:val="17"/>
                <w:szCs w:val="17"/>
                <w:lang w:eastAsia="et-EE"/>
              </w:rPr>
            </w:pPr>
            <w:r w:rsidRPr="00710207">
              <w:rPr>
                <w:color w:val="000000"/>
                <w:sz w:val="17"/>
                <w:szCs w:val="17"/>
                <w:lang w:eastAsia="et-EE"/>
              </w:rPr>
              <w:t>16 229</w:t>
            </w:r>
          </w:p>
        </w:tc>
      </w:tr>
      <w:tr w:rsidR="00B6319C" w:rsidRPr="00317574" w:rsidTr="00F61C1E">
        <w:trPr>
          <w:trHeight w:hRule="exact" w:val="403"/>
        </w:trPr>
        <w:tc>
          <w:tcPr>
            <w:tcW w:w="2078" w:type="dxa"/>
            <w:tcBorders>
              <w:top w:val="nil"/>
              <w:left w:val="single" w:sz="4" w:space="0" w:color="auto"/>
              <w:bottom w:val="single" w:sz="4" w:space="0" w:color="auto"/>
              <w:right w:val="single" w:sz="4" w:space="0" w:color="auto"/>
            </w:tcBorders>
            <w:shd w:val="clear" w:color="DBE5F1" w:fill="FFFFFF"/>
            <w:noWrap/>
            <w:vAlign w:val="center"/>
            <w:hideMark/>
          </w:tcPr>
          <w:p w:rsidR="00B6319C" w:rsidRPr="00710207" w:rsidRDefault="00B6319C" w:rsidP="00710207">
            <w:pPr>
              <w:spacing w:before="0"/>
              <w:jc w:val="left"/>
              <w:rPr>
                <w:b/>
                <w:bCs/>
                <w:color w:val="000000"/>
                <w:sz w:val="17"/>
                <w:szCs w:val="17"/>
                <w:lang w:eastAsia="et-EE"/>
              </w:rPr>
            </w:pPr>
            <w:r w:rsidRPr="00710207">
              <w:rPr>
                <w:b/>
                <w:bCs/>
                <w:color w:val="000000"/>
                <w:sz w:val="17"/>
                <w:szCs w:val="17"/>
                <w:lang w:eastAsia="et-EE"/>
              </w:rPr>
              <w:t>Kokku</w:t>
            </w:r>
          </w:p>
        </w:tc>
        <w:tc>
          <w:tcPr>
            <w:tcW w:w="1934" w:type="dxa"/>
            <w:tcBorders>
              <w:top w:val="nil"/>
              <w:left w:val="nil"/>
              <w:bottom w:val="single" w:sz="4" w:space="0" w:color="auto"/>
              <w:right w:val="single" w:sz="4" w:space="0" w:color="auto"/>
            </w:tcBorders>
            <w:shd w:val="clear" w:color="DBE5F1" w:fill="FFFFFF"/>
            <w:vAlign w:val="center"/>
            <w:hideMark/>
          </w:tcPr>
          <w:p w:rsidR="00B6319C" w:rsidRPr="00710207" w:rsidRDefault="00B6319C" w:rsidP="00710207">
            <w:pPr>
              <w:spacing w:before="0"/>
              <w:jc w:val="left"/>
              <w:rPr>
                <w:b/>
                <w:bCs/>
                <w:color w:val="000000"/>
                <w:sz w:val="17"/>
                <w:szCs w:val="17"/>
                <w:lang w:eastAsia="et-EE"/>
              </w:rPr>
            </w:pPr>
            <w:r w:rsidRPr="00710207">
              <w:rPr>
                <w:b/>
                <w:bCs/>
                <w:color w:val="000000"/>
                <w:sz w:val="17"/>
                <w:szCs w:val="17"/>
                <w:lang w:eastAsia="et-EE"/>
              </w:rPr>
              <w:t> </w:t>
            </w:r>
          </w:p>
        </w:tc>
        <w:tc>
          <w:tcPr>
            <w:tcW w:w="830"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b/>
                <w:bCs/>
                <w:sz w:val="17"/>
                <w:szCs w:val="17"/>
                <w:lang w:eastAsia="et-EE"/>
              </w:rPr>
            </w:pPr>
            <w:r w:rsidRPr="00710207">
              <w:rPr>
                <w:b/>
                <w:bCs/>
                <w:sz w:val="17"/>
                <w:szCs w:val="17"/>
                <w:lang w:eastAsia="et-EE"/>
              </w:rPr>
              <w:t>225</w:t>
            </w:r>
          </w:p>
        </w:tc>
        <w:tc>
          <w:tcPr>
            <w:tcW w:w="829" w:type="dxa"/>
            <w:tcBorders>
              <w:top w:val="nil"/>
              <w:left w:val="nil"/>
              <w:bottom w:val="single" w:sz="4" w:space="0" w:color="auto"/>
              <w:right w:val="single" w:sz="4" w:space="0" w:color="auto"/>
            </w:tcBorders>
            <w:shd w:val="clear" w:color="auto" w:fill="auto"/>
            <w:noWrap/>
            <w:vAlign w:val="center"/>
            <w:hideMark/>
          </w:tcPr>
          <w:p w:rsidR="00B6319C" w:rsidRPr="00710207" w:rsidRDefault="00B6319C" w:rsidP="00710207">
            <w:pPr>
              <w:spacing w:before="0"/>
              <w:jc w:val="center"/>
              <w:rPr>
                <w:b/>
                <w:bCs/>
                <w:sz w:val="17"/>
                <w:szCs w:val="17"/>
                <w:lang w:eastAsia="et-EE"/>
              </w:rPr>
            </w:pPr>
            <w:r w:rsidRPr="00710207">
              <w:rPr>
                <w:b/>
                <w:bCs/>
                <w:sz w:val="17"/>
                <w:szCs w:val="17"/>
                <w:lang w:eastAsia="et-EE"/>
              </w:rPr>
              <w:t>61</w:t>
            </w:r>
          </w:p>
        </w:tc>
        <w:tc>
          <w:tcPr>
            <w:tcW w:w="830" w:type="dxa"/>
            <w:tcBorders>
              <w:top w:val="nil"/>
              <w:left w:val="nil"/>
              <w:bottom w:val="single" w:sz="4" w:space="0" w:color="auto"/>
              <w:right w:val="single" w:sz="4" w:space="0" w:color="auto"/>
            </w:tcBorders>
            <w:shd w:val="clear" w:color="DBE5F1"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302</w:t>
            </w:r>
          </w:p>
        </w:tc>
        <w:tc>
          <w:tcPr>
            <w:tcW w:w="829" w:type="dxa"/>
            <w:tcBorders>
              <w:top w:val="nil"/>
              <w:left w:val="nil"/>
              <w:bottom w:val="single" w:sz="4" w:space="0" w:color="auto"/>
              <w:right w:val="single" w:sz="4" w:space="0" w:color="auto"/>
            </w:tcBorders>
            <w:shd w:val="clear" w:color="DBE5F1"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98</w:t>
            </w:r>
          </w:p>
        </w:tc>
        <w:tc>
          <w:tcPr>
            <w:tcW w:w="967" w:type="dxa"/>
            <w:tcBorders>
              <w:top w:val="nil"/>
              <w:left w:val="nil"/>
              <w:bottom w:val="single" w:sz="4" w:space="0" w:color="auto"/>
              <w:right w:val="single" w:sz="4" w:space="0" w:color="auto"/>
            </w:tcBorders>
            <w:shd w:val="clear" w:color="DBE5F1"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220 752</w:t>
            </w:r>
          </w:p>
        </w:tc>
        <w:tc>
          <w:tcPr>
            <w:tcW w:w="830" w:type="dxa"/>
            <w:tcBorders>
              <w:top w:val="nil"/>
              <w:left w:val="nil"/>
              <w:bottom w:val="single" w:sz="4" w:space="0" w:color="auto"/>
              <w:right w:val="single" w:sz="4" w:space="0" w:color="auto"/>
            </w:tcBorders>
            <w:shd w:val="clear" w:color="DBE5F1" w:fill="FFFFFF"/>
            <w:noWrap/>
            <w:vAlign w:val="center"/>
            <w:hideMark/>
          </w:tcPr>
          <w:p w:rsidR="00B6319C" w:rsidRPr="00710207" w:rsidRDefault="00B6319C" w:rsidP="00710207">
            <w:pPr>
              <w:spacing w:before="0"/>
              <w:jc w:val="center"/>
              <w:rPr>
                <w:b/>
                <w:bCs/>
                <w:color w:val="000000"/>
                <w:sz w:val="17"/>
                <w:szCs w:val="17"/>
                <w:lang w:eastAsia="et-EE"/>
              </w:rPr>
            </w:pPr>
            <w:r w:rsidRPr="00710207">
              <w:rPr>
                <w:b/>
                <w:bCs/>
                <w:color w:val="000000"/>
                <w:sz w:val="17"/>
                <w:szCs w:val="17"/>
                <w:lang w:eastAsia="et-EE"/>
              </w:rPr>
              <w:t>68 454</w:t>
            </w:r>
          </w:p>
        </w:tc>
      </w:tr>
    </w:tbl>
    <w:p w:rsidR="00B6319C" w:rsidRPr="005675A1" w:rsidRDefault="00B6319C" w:rsidP="00B6319C">
      <w:pPr>
        <w:rPr>
          <w:rFonts w:eastAsiaTheme="majorEastAsia"/>
        </w:rPr>
      </w:pPr>
      <w:r w:rsidRPr="005675A1">
        <w:rPr>
          <w:rFonts w:eastAsiaTheme="majorEastAsia"/>
        </w:rPr>
        <w:t xml:space="preserve">Kõige rohkem on aruandeperioodil varade omandit üle andnud </w:t>
      </w:r>
      <w:r>
        <w:rPr>
          <w:rFonts w:eastAsiaTheme="majorEastAsia"/>
        </w:rPr>
        <w:t>Sise- ning Haridus- ja Teadusministeerium. Täpsem ülevaade üleandmistest riigivara valitsejate lõikes on toodud lisas</w:t>
      </w:r>
      <w:r w:rsidR="00ED24B2">
        <w:rPr>
          <w:rFonts w:eastAsiaTheme="majorEastAsia"/>
        </w:rPr>
        <w:t xml:space="preserve"> </w:t>
      </w:r>
      <w:r w:rsidR="00ED24B2" w:rsidRPr="00ED24B2">
        <w:rPr>
          <w:rFonts w:eastAsiaTheme="majorEastAsia"/>
        </w:rPr>
        <w:t>2</w:t>
      </w:r>
      <w:r>
        <w:rPr>
          <w:rFonts w:eastAsiaTheme="majorEastAsia"/>
        </w:rPr>
        <w:t xml:space="preserve"> (</w:t>
      </w:r>
      <w:r w:rsidR="00A85FDC">
        <w:rPr>
          <w:rFonts w:eastAsiaTheme="majorEastAsia"/>
        </w:rPr>
        <w:fldChar w:fldCharType="begin"/>
      </w:r>
      <w:r>
        <w:rPr>
          <w:rFonts w:eastAsiaTheme="majorEastAsia"/>
        </w:rPr>
        <w:instrText xml:space="preserve"> REF _Ref411869551 \h </w:instrText>
      </w:r>
      <w:r w:rsidR="00A85FDC">
        <w:rPr>
          <w:rFonts w:eastAsiaTheme="majorEastAsia"/>
        </w:rPr>
      </w:r>
      <w:r w:rsidR="00A85FDC">
        <w:rPr>
          <w:rFonts w:eastAsiaTheme="majorEastAsia"/>
        </w:rPr>
        <w:fldChar w:fldCharType="separate"/>
      </w:r>
      <w:r w:rsidR="00477322">
        <w:t xml:space="preserve">Tabel </w:t>
      </w:r>
      <w:r w:rsidR="00477322">
        <w:rPr>
          <w:noProof/>
        </w:rPr>
        <w:t>7</w:t>
      </w:r>
      <w:r w:rsidR="00A85FDC">
        <w:rPr>
          <w:rFonts w:eastAsiaTheme="majorEastAsia"/>
        </w:rPr>
        <w:fldChar w:fldCharType="end"/>
      </w:r>
      <w:r>
        <w:rPr>
          <w:rFonts w:eastAsiaTheme="majorEastAsia"/>
        </w:rPr>
        <w:t>).</w:t>
      </w:r>
    </w:p>
    <w:p w:rsidR="00B6319C" w:rsidRDefault="00B6319C" w:rsidP="00B6319C">
      <w:pPr>
        <w:rPr>
          <w:rFonts w:eastAsiaTheme="majorEastAsia"/>
        </w:rPr>
      </w:pPr>
      <w:r>
        <w:rPr>
          <w:rFonts w:eastAsiaTheme="majorEastAsia"/>
        </w:rPr>
        <w:t>RKAS-ile varade üleandmis</w:t>
      </w:r>
      <w:r w:rsidRPr="005675A1">
        <w:rPr>
          <w:rFonts w:eastAsiaTheme="majorEastAsia"/>
        </w:rPr>
        <w:t xml:space="preserve">e mahud </w:t>
      </w:r>
      <w:r>
        <w:rPr>
          <w:rFonts w:eastAsiaTheme="majorEastAsia"/>
        </w:rPr>
        <w:t>aastate</w:t>
      </w:r>
      <w:r w:rsidRPr="005675A1">
        <w:rPr>
          <w:rFonts w:eastAsiaTheme="majorEastAsia"/>
        </w:rPr>
        <w:t xml:space="preserve"> lõikes on t</w:t>
      </w:r>
      <w:r>
        <w:rPr>
          <w:rFonts w:eastAsiaTheme="majorEastAsia"/>
        </w:rPr>
        <w:t>oodud järgneval joonisel (</w:t>
      </w:r>
      <w:r w:rsidR="00A85FDC">
        <w:rPr>
          <w:rFonts w:eastAsiaTheme="majorEastAsia"/>
        </w:rPr>
        <w:fldChar w:fldCharType="begin"/>
      </w:r>
      <w:r>
        <w:rPr>
          <w:rFonts w:eastAsiaTheme="majorEastAsia"/>
        </w:rPr>
        <w:instrText xml:space="preserve"> REF _Ref411869621 \h </w:instrText>
      </w:r>
      <w:r w:rsidR="00A85FDC">
        <w:rPr>
          <w:rFonts w:eastAsiaTheme="majorEastAsia"/>
        </w:rPr>
      </w:r>
      <w:r w:rsidR="00A85FDC">
        <w:rPr>
          <w:rFonts w:eastAsiaTheme="majorEastAsia"/>
        </w:rPr>
        <w:fldChar w:fldCharType="separate"/>
      </w:r>
      <w:r w:rsidR="00477322">
        <w:t xml:space="preserve">Joonis </w:t>
      </w:r>
      <w:r w:rsidR="00477322">
        <w:rPr>
          <w:noProof/>
        </w:rPr>
        <w:t>11</w:t>
      </w:r>
      <w:r w:rsidR="00A85FDC">
        <w:rPr>
          <w:rFonts w:eastAsiaTheme="majorEastAsia"/>
        </w:rPr>
        <w:fldChar w:fldCharType="end"/>
      </w:r>
      <w:r w:rsidRPr="005675A1">
        <w:rPr>
          <w:rFonts w:eastAsiaTheme="majorEastAsia"/>
        </w:rPr>
        <w:t>)</w:t>
      </w:r>
      <w:r>
        <w:rPr>
          <w:rFonts w:eastAsiaTheme="majorEastAsia"/>
        </w:rPr>
        <w:t xml:space="preserve">. </w:t>
      </w:r>
    </w:p>
    <w:p w:rsidR="00B6319C" w:rsidRDefault="00B6319C" w:rsidP="00B6319C">
      <w:pPr>
        <w:pStyle w:val="Caption"/>
        <w:jc w:val="both"/>
      </w:pPr>
      <w:bookmarkStart w:id="154" w:name="_Ref411869621"/>
      <w:r>
        <w:t xml:space="preserve">Joonis </w:t>
      </w:r>
      <w:fldSimple w:instr=" SEQ Joonis \* ARABIC ">
        <w:r w:rsidR="00477322">
          <w:rPr>
            <w:noProof/>
          </w:rPr>
          <w:t>11</w:t>
        </w:r>
      </w:fldSimple>
      <w:bookmarkEnd w:id="154"/>
      <w:r>
        <w:t>. Vara üleandmine Riigi Kinnisvara Aktsiaseltsile aastate lõikes</w:t>
      </w:r>
    </w:p>
    <w:p w:rsidR="00B6319C" w:rsidRDefault="00B6319C" w:rsidP="00B6319C">
      <w:pPr>
        <w:pStyle w:val="Caption"/>
        <w:jc w:val="both"/>
      </w:pPr>
      <w:r w:rsidRPr="0066136A">
        <w:rPr>
          <w:noProof/>
          <w:lang w:eastAsia="et-EE"/>
        </w:rPr>
        <w:drawing>
          <wp:inline distT="0" distB="0" distL="0" distR="0">
            <wp:extent cx="5388520" cy="2603863"/>
            <wp:effectExtent l="19050" t="0" r="21680" b="5987"/>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6319C" w:rsidRPr="005D5095" w:rsidRDefault="00B6319C" w:rsidP="00B6319C"/>
    <w:p w:rsidR="00B6319C" w:rsidRPr="00683BB5" w:rsidRDefault="00B6319C" w:rsidP="00351253">
      <w:pPr>
        <w:pStyle w:val="ListParagraph"/>
      </w:pPr>
      <w:r w:rsidRPr="00683BB5">
        <w:t>1/3 RKAS-ile üle antud varadest on võõrandatud riigile mittevajalikuna, 2/3 on RKAS-ilt tagasi renditud.</w:t>
      </w:r>
    </w:p>
    <w:p w:rsidR="00B6319C" w:rsidRPr="00953D51" w:rsidRDefault="00B6319C" w:rsidP="00351253">
      <w:pPr>
        <w:pStyle w:val="ListParagraph"/>
      </w:pPr>
      <w:r w:rsidRPr="00953D51">
        <w:t>2013 a anti vara üle rohkem, kuna omandina võeti üle suur osa Siseministeeriumi portfellist, mille haldusleping sõlmiti 2012. aasta alguses. Selle vara omandi ülea</w:t>
      </w:r>
      <w:r w:rsidR="00655E30">
        <w:t>nd</w:t>
      </w:r>
      <w:r w:rsidR="00296B09">
        <w:t>m</w:t>
      </w:r>
      <w:r w:rsidR="00655E30">
        <w:t>ine lõppes 2013.aasta jooksul.</w:t>
      </w:r>
    </w:p>
    <w:p w:rsidR="00B6319C" w:rsidRPr="00953D51" w:rsidRDefault="00B6319C" w:rsidP="00351253">
      <w:pPr>
        <w:pStyle w:val="ListParagraph"/>
      </w:pPr>
      <w:r w:rsidRPr="00953D51">
        <w:t>Enamik mittevajalikust varast oli 2014. a alguseks üle antud.</w:t>
      </w:r>
    </w:p>
    <w:p w:rsidR="00B6319C" w:rsidRPr="00683BB5" w:rsidRDefault="00B6319C" w:rsidP="00953D51">
      <w:pPr>
        <w:pStyle w:val="Loend1"/>
      </w:pPr>
      <w:r w:rsidRPr="00683BB5">
        <w:t>Justiitsministeeriumi ja Rahandusministeeriumi hooned on RKAS-ile üle antud.</w:t>
      </w:r>
    </w:p>
    <w:p w:rsidR="00B6319C" w:rsidRPr="00683BB5" w:rsidRDefault="00B6319C" w:rsidP="00953D51">
      <w:pPr>
        <w:pStyle w:val="Loend1"/>
      </w:pPr>
      <w:r w:rsidRPr="00683BB5">
        <w:t xml:space="preserve">Sise-, Sotsiaal- ja Kultuuriministeeriumi üleantavad portfellid on suures osas üle antud. Haridus- ja Teadusministeerium andis omandina 2014 üle suhteliselt vähe, kuna nad panustavad pigem haldusteenuse hankimisele. Uusi üleandjaid 2014 ei tekkinud. </w:t>
      </w:r>
    </w:p>
    <w:p w:rsidR="00B6319C" w:rsidRPr="00683BB5" w:rsidRDefault="00B6319C" w:rsidP="00953D51">
      <w:pPr>
        <w:pStyle w:val="Loend1"/>
      </w:pPr>
      <w:r w:rsidRPr="00683BB5">
        <w:t xml:space="preserve">Üle on andmata veel suur osa Põllumajandusministeeriumi ja Majandus- ja Kommunikatsiooniministeeriumi portfellist. </w:t>
      </w:r>
    </w:p>
    <w:p w:rsidR="00B6319C" w:rsidRPr="00754699" w:rsidRDefault="00B6319C" w:rsidP="00B6319C">
      <w:r>
        <w:t>Aruandes esitatud RKAS-ile üle antud</w:t>
      </w:r>
      <w:r w:rsidR="00ED24B2">
        <w:t xml:space="preserve"> hoonete pindala ei ühti </w:t>
      </w:r>
      <w:r w:rsidR="00A85FDC">
        <w:fldChar w:fldCharType="begin"/>
      </w:r>
      <w:r w:rsidR="00ED24B2">
        <w:instrText xml:space="preserve"> REF _Ref427305076 \h </w:instrText>
      </w:r>
      <w:r w:rsidR="00A85FDC">
        <w:fldChar w:fldCharType="separate"/>
      </w:r>
      <w:r w:rsidR="00477322">
        <w:t>Lisa 3. Riigi Kinnisvara AS-i tegevusaruanne 2013-2014</w:t>
      </w:r>
      <w:r w:rsidR="00A85FDC">
        <w:fldChar w:fldCharType="end"/>
      </w:r>
      <w:r>
        <w:t>RKAS-i tegevusaruandes esitatud vastava numbriga, kuna arvestuse alused on erinevad.</w:t>
      </w:r>
    </w:p>
    <w:p w:rsidR="00B6319C" w:rsidRDefault="00B6319C" w:rsidP="00C470A0">
      <w:pPr>
        <w:pStyle w:val="Pealkiri2"/>
      </w:pPr>
      <w:bookmarkStart w:id="155" w:name="_Toc411870326"/>
      <w:bookmarkStart w:id="156" w:name="_Toc418016355"/>
      <w:bookmarkStart w:id="157" w:name="_Ref423622406"/>
      <w:bookmarkStart w:id="158" w:name="_Toc433980698"/>
      <w:r w:rsidRPr="00C470A0">
        <w:t>Riigivara</w:t>
      </w:r>
      <w:r>
        <w:t xml:space="preserve"> kasutamiseks andmine</w:t>
      </w:r>
      <w:bookmarkEnd w:id="155"/>
      <w:bookmarkEnd w:id="156"/>
      <w:bookmarkEnd w:id="157"/>
      <w:bookmarkEnd w:id="158"/>
    </w:p>
    <w:p w:rsidR="00B6319C" w:rsidRPr="00953D51" w:rsidRDefault="00B6319C" w:rsidP="00351253">
      <w:pPr>
        <w:pStyle w:val="ListParagraph"/>
      </w:pPr>
      <w:r w:rsidRPr="00953D51">
        <w:t xml:space="preserve">Riik on lepingu alusel kasutusse andnud 13 503 kinnistut (või osa kinnistust) millest 634 on hoonestatud. Riigi omandis olevast maast on teistele isikutele kasutamiseks antud 22% ning hoonetest 6%. </w:t>
      </w:r>
    </w:p>
    <w:p w:rsidR="00F54DE0" w:rsidRPr="00953D51" w:rsidRDefault="00B6319C" w:rsidP="00351253">
      <w:pPr>
        <w:pStyle w:val="ListParagraph"/>
      </w:pPr>
      <w:r w:rsidRPr="00953D51">
        <w:t xml:space="preserve">Kokku oli 2014. a lõpu seisuga RKVR-is registreeritud 14 446 kasutuslepingut, millest 5% on </w:t>
      </w:r>
      <w:r w:rsidR="00F54DE0" w:rsidRPr="00953D51">
        <w:t xml:space="preserve">hoonestatud vara üürilepingud, </w:t>
      </w:r>
      <w:r w:rsidRPr="00953D51">
        <w:t xml:space="preserve">49% hoonestamata maa kasutamiseks andmise lepingud (maa rentimine, rentimine kaevandamiseks, kasutusvaldus, hoonestusõigus, isiklik kasutusõigus ja servituut) ning 46% maareformi seaduse alusel sõlmitud kasutusvalduse ja hoonestusõiguse lepingud. </w:t>
      </w:r>
    </w:p>
    <w:p w:rsidR="00B6319C" w:rsidRPr="00953D51" w:rsidRDefault="00B6319C" w:rsidP="00351253">
      <w:pPr>
        <w:pStyle w:val="ListParagraph"/>
      </w:pPr>
      <w:r w:rsidRPr="00953D51">
        <w:t xml:space="preserve">Registri andmetele tuginedes laekub riigile kasutustasudena 3,6 mln eurot aastas (vt </w:t>
      </w:r>
      <w:fldSimple w:instr=" REF _Ref420050565 \h  \* MERGEFORMAT ">
        <w:r w:rsidR="00477322">
          <w:t>Tabel 8</w:t>
        </w:r>
      </w:fldSimple>
      <w:r w:rsidRPr="00953D51">
        <w:t>). Kasutustasust ligikaudu 45% on seotud maa korralise hindamise tulemustega (maksustamishinnaga).</w:t>
      </w:r>
    </w:p>
    <w:p w:rsidR="00B6319C" w:rsidRDefault="00B6319C" w:rsidP="00B6319C">
      <w:pPr>
        <w:pStyle w:val="Caption"/>
      </w:pPr>
      <w:bookmarkStart w:id="159" w:name="_Ref420050565"/>
      <w:r>
        <w:t xml:space="preserve">Tabel </w:t>
      </w:r>
      <w:fldSimple w:instr=" SEQ Tabel \* ARABIC ">
        <w:r w:rsidR="00477322">
          <w:rPr>
            <w:noProof/>
          </w:rPr>
          <w:t>8</w:t>
        </w:r>
      </w:fldSimple>
      <w:bookmarkEnd w:id="159"/>
      <w:r>
        <w:t>. Kasutamiseks andmise lepingud</w:t>
      </w:r>
    </w:p>
    <w:tbl>
      <w:tblPr>
        <w:tblW w:w="9219" w:type="dxa"/>
        <w:tblInd w:w="65" w:type="dxa"/>
        <w:tblCellMar>
          <w:left w:w="70" w:type="dxa"/>
          <w:right w:w="70" w:type="dxa"/>
        </w:tblCellMar>
        <w:tblLook w:val="04A0"/>
      </w:tblPr>
      <w:tblGrid>
        <w:gridCol w:w="3124"/>
        <w:gridCol w:w="1215"/>
        <w:gridCol w:w="1620"/>
        <w:gridCol w:w="1701"/>
        <w:gridCol w:w="1559"/>
      </w:tblGrid>
      <w:tr w:rsidR="00B6319C" w:rsidRPr="00197E37" w:rsidTr="00CD371C">
        <w:trPr>
          <w:trHeight w:val="480"/>
        </w:trPr>
        <w:tc>
          <w:tcPr>
            <w:tcW w:w="3124"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6319C" w:rsidRPr="00197E37" w:rsidRDefault="00B6319C" w:rsidP="00F54DE0">
            <w:pPr>
              <w:jc w:val="center"/>
              <w:rPr>
                <w:b/>
                <w:bCs/>
                <w:color w:val="000000"/>
                <w:sz w:val="18"/>
                <w:szCs w:val="18"/>
                <w:lang w:eastAsia="et-EE"/>
              </w:rPr>
            </w:pPr>
            <w:r w:rsidRPr="00197E37">
              <w:rPr>
                <w:b/>
                <w:bCs/>
                <w:color w:val="000000"/>
                <w:sz w:val="18"/>
                <w:szCs w:val="18"/>
                <w:lang w:eastAsia="et-EE"/>
              </w:rPr>
              <w:t>Lepingu liik</w:t>
            </w:r>
          </w:p>
        </w:tc>
        <w:tc>
          <w:tcPr>
            <w:tcW w:w="1215"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197E37" w:rsidRDefault="00B6319C" w:rsidP="00F54DE0">
            <w:pPr>
              <w:jc w:val="center"/>
              <w:rPr>
                <w:b/>
                <w:bCs/>
                <w:color w:val="000000"/>
                <w:sz w:val="18"/>
                <w:szCs w:val="18"/>
                <w:lang w:eastAsia="et-EE"/>
              </w:rPr>
            </w:pPr>
            <w:r w:rsidRPr="00197E37">
              <w:rPr>
                <w:b/>
                <w:bCs/>
                <w:color w:val="000000"/>
                <w:sz w:val="18"/>
                <w:szCs w:val="18"/>
                <w:lang w:eastAsia="et-EE"/>
              </w:rPr>
              <w:t>Lepingute arv</w:t>
            </w:r>
          </w:p>
        </w:tc>
        <w:tc>
          <w:tcPr>
            <w:tcW w:w="1620" w:type="dxa"/>
            <w:tcBorders>
              <w:top w:val="single" w:sz="4" w:space="0" w:color="auto"/>
              <w:left w:val="nil"/>
              <w:bottom w:val="single" w:sz="4" w:space="0" w:color="auto"/>
              <w:right w:val="single" w:sz="4" w:space="0" w:color="auto"/>
            </w:tcBorders>
            <w:shd w:val="clear" w:color="000000" w:fill="DBEEF3"/>
            <w:vAlign w:val="bottom"/>
            <w:hideMark/>
          </w:tcPr>
          <w:p w:rsidR="00B6319C" w:rsidRPr="00197E37" w:rsidRDefault="00655E30" w:rsidP="00F54DE0">
            <w:pPr>
              <w:jc w:val="center"/>
              <w:rPr>
                <w:b/>
                <w:bCs/>
                <w:color w:val="000000"/>
                <w:sz w:val="18"/>
                <w:szCs w:val="18"/>
                <w:lang w:eastAsia="et-EE"/>
              </w:rPr>
            </w:pPr>
            <w:r>
              <w:rPr>
                <w:b/>
                <w:bCs/>
                <w:color w:val="000000"/>
                <w:sz w:val="18"/>
                <w:szCs w:val="18"/>
                <w:lang w:eastAsia="et-EE"/>
              </w:rPr>
              <w:t>Maa</w:t>
            </w:r>
            <w:r w:rsidR="00B6319C" w:rsidRPr="00197E37">
              <w:rPr>
                <w:b/>
                <w:bCs/>
                <w:color w:val="000000"/>
                <w:sz w:val="18"/>
                <w:szCs w:val="18"/>
                <w:lang w:eastAsia="et-EE"/>
              </w:rPr>
              <w:t xml:space="preserve"> pind</w:t>
            </w:r>
            <w:r w:rsidR="00B6319C">
              <w:rPr>
                <w:b/>
                <w:bCs/>
                <w:color w:val="000000"/>
                <w:sz w:val="18"/>
                <w:szCs w:val="18"/>
                <w:lang w:eastAsia="et-EE"/>
              </w:rPr>
              <w:t>ala</w:t>
            </w:r>
            <w:r w:rsidR="00B6319C" w:rsidRPr="00197E37">
              <w:rPr>
                <w:b/>
                <w:bCs/>
                <w:color w:val="000000"/>
                <w:sz w:val="18"/>
                <w:szCs w:val="18"/>
                <w:lang w:eastAsia="et-EE"/>
              </w:rPr>
              <w:t xml:space="preserve"> </w:t>
            </w:r>
            <w:r w:rsidR="00F54DE0">
              <w:rPr>
                <w:b/>
                <w:bCs/>
                <w:color w:val="000000"/>
                <w:sz w:val="18"/>
                <w:szCs w:val="18"/>
                <w:lang w:eastAsia="et-EE"/>
              </w:rPr>
              <w:t>(</w:t>
            </w:r>
            <w:r w:rsidR="00B6319C" w:rsidRPr="00197E37">
              <w:rPr>
                <w:b/>
                <w:bCs/>
                <w:color w:val="000000"/>
                <w:sz w:val="18"/>
                <w:szCs w:val="18"/>
                <w:lang w:eastAsia="et-EE"/>
              </w:rPr>
              <w:t>ha</w:t>
            </w:r>
            <w:r w:rsidR="00F54DE0">
              <w:rPr>
                <w:b/>
                <w:bCs/>
                <w:color w:val="000000"/>
                <w:sz w:val="18"/>
                <w:szCs w:val="18"/>
                <w:lang w:eastAsia="et-EE"/>
              </w:rPr>
              <w:t>)</w:t>
            </w:r>
          </w:p>
        </w:tc>
        <w:tc>
          <w:tcPr>
            <w:tcW w:w="1701"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197E37" w:rsidRDefault="00B6319C" w:rsidP="00F54DE0">
            <w:pPr>
              <w:jc w:val="center"/>
              <w:rPr>
                <w:b/>
                <w:bCs/>
                <w:color w:val="000000"/>
                <w:sz w:val="18"/>
                <w:szCs w:val="18"/>
                <w:lang w:eastAsia="et-EE"/>
              </w:rPr>
            </w:pPr>
            <w:r w:rsidRPr="00197E37">
              <w:rPr>
                <w:b/>
                <w:bCs/>
                <w:color w:val="000000"/>
                <w:sz w:val="18"/>
                <w:szCs w:val="18"/>
                <w:lang w:eastAsia="et-EE"/>
              </w:rPr>
              <w:t xml:space="preserve">Hoonete pind </w:t>
            </w:r>
            <w:r w:rsidR="00F54DE0">
              <w:rPr>
                <w:b/>
                <w:bCs/>
                <w:color w:val="000000"/>
                <w:sz w:val="18"/>
                <w:szCs w:val="18"/>
                <w:lang w:eastAsia="et-EE"/>
              </w:rPr>
              <w:t>(</w:t>
            </w:r>
            <w:r w:rsidRPr="00197E37">
              <w:rPr>
                <w:b/>
                <w:bCs/>
                <w:color w:val="000000"/>
                <w:sz w:val="18"/>
                <w:szCs w:val="18"/>
                <w:lang w:eastAsia="et-EE"/>
              </w:rPr>
              <w:t>m</w:t>
            </w:r>
            <w:r>
              <w:rPr>
                <w:rFonts w:ascii="Calibri" w:hAnsi="Calibri"/>
                <w:b/>
                <w:bCs/>
                <w:color w:val="000000"/>
                <w:sz w:val="18"/>
                <w:szCs w:val="18"/>
                <w:lang w:eastAsia="et-EE"/>
              </w:rPr>
              <w:t>²</w:t>
            </w:r>
            <w:r w:rsidR="00F54DE0">
              <w:rPr>
                <w:rFonts w:ascii="Calibri" w:hAnsi="Calibri"/>
                <w:b/>
                <w:bCs/>
                <w:color w:val="000000"/>
                <w:sz w:val="18"/>
                <w:szCs w:val="18"/>
                <w:lang w:eastAsia="et-EE"/>
              </w:rPr>
              <w:t>)</w:t>
            </w:r>
          </w:p>
        </w:tc>
        <w:tc>
          <w:tcPr>
            <w:tcW w:w="1559" w:type="dxa"/>
            <w:tcBorders>
              <w:top w:val="single" w:sz="4" w:space="0" w:color="auto"/>
              <w:left w:val="nil"/>
              <w:bottom w:val="single" w:sz="4" w:space="0" w:color="auto"/>
              <w:right w:val="single" w:sz="4" w:space="0" w:color="auto"/>
            </w:tcBorders>
            <w:shd w:val="clear" w:color="000000" w:fill="DBEEF3"/>
            <w:vAlign w:val="bottom"/>
            <w:hideMark/>
          </w:tcPr>
          <w:p w:rsidR="00B6319C" w:rsidRPr="00197E37" w:rsidRDefault="00B6319C" w:rsidP="00F54DE0">
            <w:pPr>
              <w:jc w:val="center"/>
              <w:rPr>
                <w:b/>
                <w:bCs/>
                <w:color w:val="000000"/>
                <w:sz w:val="18"/>
                <w:szCs w:val="18"/>
                <w:lang w:eastAsia="et-EE"/>
              </w:rPr>
            </w:pPr>
            <w:r w:rsidRPr="00197E37">
              <w:rPr>
                <w:b/>
                <w:bCs/>
                <w:color w:val="000000"/>
                <w:sz w:val="18"/>
                <w:szCs w:val="18"/>
                <w:lang w:eastAsia="et-EE"/>
              </w:rPr>
              <w:t xml:space="preserve">Aastatasu </w:t>
            </w:r>
            <w:r w:rsidR="00F54DE0">
              <w:rPr>
                <w:b/>
                <w:bCs/>
                <w:color w:val="000000"/>
                <w:sz w:val="18"/>
                <w:szCs w:val="18"/>
                <w:lang w:eastAsia="et-EE"/>
              </w:rPr>
              <w:t>(</w:t>
            </w:r>
            <w:r w:rsidRPr="00197E37">
              <w:rPr>
                <w:b/>
                <w:bCs/>
                <w:color w:val="000000"/>
                <w:sz w:val="18"/>
                <w:szCs w:val="18"/>
                <w:lang w:eastAsia="et-EE"/>
              </w:rPr>
              <w:t>€)</w:t>
            </w:r>
          </w:p>
        </w:tc>
      </w:tr>
      <w:tr w:rsidR="00B6319C" w:rsidRPr="00197E37" w:rsidTr="00F54DE0">
        <w:trPr>
          <w:trHeight w:hRule="exact" w:val="397"/>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Pr>
                <w:color w:val="000000"/>
                <w:sz w:val="18"/>
                <w:szCs w:val="18"/>
                <w:lang w:eastAsia="et-EE"/>
              </w:rPr>
              <w:t>Hoonestatud vara üürimine</w:t>
            </w:r>
          </w:p>
        </w:tc>
        <w:tc>
          <w:tcPr>
            <w:tcW w:w="1215"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791</w:t>
            </w:r>
          </w:p>
        </w:tc>
        <w:tc>
          <w:tcPr>
            <w:tcW w:w="1620"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0</w:t>
            </w:r>
          </w:p>
        </w:tc>
        <w:tc>
          <w:tcPr>
            <w:tcW w:w="1701"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88 515</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437 88</w:t>
            </w:r>
            <w:r>
              <w:rPr>
                <w:color w:val="000000"/>
                <w:sz w:val="18"/>
                <w:szCs w:val="18"/>
                <w:lang w:eastAsia="et-EE"/>
              </w:rPr>
              <w:t>0</w:t>
            </w:r>
          </w:p>
        </w:tc>
      </w:tr>
      <w:tr w:rsidR="00B6319C" w:rsidRPr="00197E37" w:rsidTr="00F54DE0">
        <w:trPr>
          <w:trHeight w:hRule="exact" w:val="45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Hoonestamata maa kasutamiseks andmine</w:t>
            </w:r>
          </w:p>
        </w:tc>
        <w:tc>
          <w:tcPr>
            <w:tcW w:w="1215"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Pr>
                <w:color w:val="000000"/>
                <w:sz w:val="18"/>
                <w:szCs w:val="18"/>
                <w:lang w:eastAsia="et-EE"/>
              </w:rPr>
              <w:t>7094</w:t>
            </w:r>
          </w:p>
        </w:tc>
        <w:tc>
          <w:tcPr>
            <w:tcW w:w="1620"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349 252</w:t>
            </w:r>
          </w:p>
        </w:tc>
        <w:tc>
          <w:tcPr>
            <w:tcW w:w="1701" w:type="dxa"/>
            <w:tcBorders>
              <w:top w:val="nil"/>
              <w:left w:val="nil"/>
              <w:bottom w:val="single" w:sz="4" w:space="0" w:color="auto"/>
              <w:right w:val="single" w:sz="4" w:space="0" w:color="auto"/>
            </w:tcBorders>
            <w:shd w:val="clear" w:color="000000" w:fill="FFFFFF"/>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0</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Pr>
                <w:color w:val="000000"/>
                <w:sz w:val="18"/>
                <w:szCs w:val="18"/>
                <w:lang w:eastAsia="et-EE"/>
              </w:rPr>
              <w:t>2 842 073</w:t>
            </w:r>
          </w:p>
        </w:tc>
      </w:tr>
      <w:tr w:rsidR="00B6319C" w:rsidRPr="00197E37" w:rsidTr="00F54DE0">
        <w:trPr>
          <w:trHeight w:hRule="exact" w:val="454"/>
        </w:trPr>
        <w:tc>
          <w:tcPr>
            <w:tcW w:w="3124" w:type="dxa"/>
            <w:tcBorders>
              <w:top w:val="nil"/>
              <w:left w:val="single" w:sz="4" w:space="0" w:color="auto"/>
              <w:bottom w:val="single" w:sz="4" w:space="0" w:color="auto"/>
              <w:right w:val="single" w:sz="4" w:space="0" w:color="auto"/>
            </w:tcBorders>
            <w:shd w:val="clear" w:color="auto" w:fill="auto"/>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Maareformi seaduse alusel sõlmitud kasutusvaldused ja hoonestusõigused</w:t>
            </w:r>
          </w:p>
        </w:tc>
        <w:tc>
          <w:tcPr>
            <w:tcW w:w="1215"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6 561</w:t>
            </w:r>
          </w:p>
        </w:tc>
        <w:tc>
          <w:tcPr>
            <w:tcW w:w="1620" w:type="dxa"/>
            <w:tcBorders>
              <w:top w:val="nil"/>
              <w:left w:val="nil"/>
              <w:bottom w:val="single" w:sz="4" w:space="0" w:color="auto"/>
              <w:right w:val="single" w:sz="4" w:space="0" w:color="auto"/>
            </w:tcBorders>
            <w:shd w:val="clear" w:color="000000" w:fill="FFFFFF"/>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61 657</w:t>
            </w:r>
          </w:p>
        </w:tc>
        <w:tc>
          <w:tcPr>
            <w:tcW w:w="1701"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sidRPr="00197E37">
              <w:rPr>
                <w:color w:val="000000"/>
                <w:sz w:val="18"/>
                <w:szCs w:val="18"/>
                <w:lang w:eastAsia="et-EE"/>
              </w:rPr>
              <w:t>0</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color w:val="000000"/>
                <w:sz w:val="18"/>
                <w:szCs w:val="18"/>
                <w:lang w:eastAsia="et-EE"/>
              </w:rPr>
            </w:pPr>
            <w:r>
              <w:rPr>
                <w:color w:val="000000"/>
                <w:sz w:val="18"/>
                <w:szCs w:val="18"/>
                <w:lang w:eastAsia="et-EE"/>
              </w:rPr>
              <w:t>276 595</w:t>
            </w:r>
          </w:p>
        </w:tc>
      </w:tr>
      <w:tr w:rsidR="00B6319C" w:rsidRPr="00197E37" w:rsidTr="00F54DE0">
        <w:trPr>
          <w:trHeight w:hRule="exact" w:val="397"/>
        </w:trPr>
        <w:tc>
          <w:tcPr>
            <w:tcW w:w="3124" w:type="dxa"/>
            <w:tcBorders>
              <w:top w:val="nil"/>
              <w:left w:val="single" w:sz="4" w:space="0" w:color="auto"/>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b/>
                <w:bCs/>
                <w:color w:val="000000"/>
                <w:sz w:val="18"/>
                <w:szCs w:val="18"/>
                <w:lang w:eastAsia="et-EE"/>
              </w:rPr>
            </w:pPr>
            <w:r w:rsidRPr="00197E37">
              <w:rPr>
                <w:b/>
                <w:bCs/>
                <w:color w:val="000000"/>
                <w:sz w:val="18"/>
                <w:szCs w:val="18"/>
                <w:lang w:eastAsia="et-EE"/>
              </w:rPr>
              <w:t>Kokku</w:t>
            </w:r>
          </w:p>
        </w:tc>
        <w:tc>
          <w:tcPr>
            <w:tcW w:w="1215"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b/>
                <w:bCs/>
                <w:color w:val="000000"/>
                <w:sz w:val="18"/>
                <w:szCs w:val="18"/>
                <w:lang w:eastAsia="et-EE"/>
              </w:rPr>
            </w:pPr>
            <w:r w:rsidRPr="00197E37">
              <w:rPr>
                <w:b/>
                <w:bCs/>
                <w:color w:val="000000"/>
                <w:sz w:val="18"/>
                <w:szCs w:val="18"/>
                <w:lang w:eastAsia="et-EE"/>
              </w:rPr>
              <w:t>14 446</w:t>
            </w:r>
          </w:p>
        </w:tc>
        <w:tc>
          <w:tcPr>
            <w:tcW w:w="1620"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b/>
                <w:bCs/>
                <w:color w:val="000000"/>
                <w:sz w:val="18"/>
                <w:szCs w:val="18"/>
                <w:lang w:eastAsia="et-EE"/>
              </w:rPr>
            </w:pPr>
            <w:r w:rsidRPr="00197E37">
              <w:rPr>
                <w:b/>
                <w:bCs/>
                <w:color w:val="000000"/>
                <w:sz w:val="18"/>
                <w:szCs w:val="18"/>
                <w:lang w:eastAsia="et-EE"/>
              </w:rPr>
              <w:t>410 909</w:t>
            </w:r>
          </w:p>
        </w:tc>
        <w:tc>
          <w:tcPr>
            <w:tcW w:w="1701"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b/>
                <w:bCs/>
                <w:color w:val="000000"/>
                <w:sz w:val="18"/>
                <w:szCs w:val="18"/>
                <w:lang w:eastAsia="et-EE"/>
              </w:rPr>
            </w:pPr>
            <w:r w:rsidRPr="00197E37">
              <w:rPr>
                <w:b/>
                <w:bCs/>
                <w:color w:val="000000"/>
                <w:sz w:val="18"/>
                <w:szCs w:val="18"/>
                <w:lang w:eastAsia="et-EE"/>
              </w:rPr>
              <w:t>88 515</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197E37" w:rsidRDefault="00B6319C" w:rsidP="00F54DE0">
            <w:pPr>
              <w:spacing w:before="0"/>
              <w:jc w:val="center"/>
              <w:rPr>
                <w:b/>
                <w:bCs/>
                <w:color w:val="000000"/>
                <w:sz w:val="18"/>
                <w:szCs w:val="18"/>
                <w:lang w:eastAsia="et-EE"/>
              </w:rPr>
            </w:pPr>
            <w:r>
              <w:rPr>
                <w:b/>
                <w:bCs/>
                <w:color w:val="000000"/>
                <w:sz w:val="18"/>
                <w:szCs w:val="18"/>
                <w:lang w:eastAsia="et-EE"/>
              </w:rPr>
              <w:t>3 556 548</w:t>
            </w:r>
          </w:p>
        </w:tc>
      </w:tr>
    </w:tbl>
    <w:p w:rsidR="00B6319C" w:rsidRPr="00953D51" w:rsidRDefault="00B6319C" w:rsidP="00351253">
      <w:pPr>
        <w:pStyle w:val="ListParagraph"/>
      </w:pPr>
      <w:r>
        <w:t xml:space="preserve">Sõlmitud </w:t>
      </w:r>
      <w:r w:rsidRPr="00953D51">
        <w:t xml:space="preserve">kasutuslepingutest 79% on asjaõiguslepingud ning 21% võlaõiguslepingud. Kõige rohkem on sõlmitud kasutusvalduse lepinguid (5461), isikliku kasutusõiguse seadmise lepinguid on 4410 ja hoonestusõigusi 1439. </w:t>
      </w:r>
    </w:p>
    <w:p w:rsidR="00B6319C" w:rsidRDefault="00B6319C" w:rsidP="00351253">
      <w:pPr>
        <w:pStyle w:val="ListParagraph"/>
      </w:pPr>
      <w:r w:rsidRPr="00953D51">
        <w:t>Võlaõiguslepingutest on kõige enam sõlmitud maarendilepinguid (1887), hoonestatud vara üüri- ja rendilepinguid</w:t>
      </w:r>
      <w:r>
        <w:t xml:space="preserve"> on 791</w:t>
      </w:r>
      <w:r w:rsidRPr="00364A42">
        <w:t xml:space="preserve"> ja rentimisi kaevandamiseks 330.</w:t>
      </w:r>
    </w:p>
    <w:p w:rsidR="00B6319C" w:rsidRPr="00F50653" w:rsidRDefault="00B6319C" w:rsidP="00B6319C">
      <w:r w:rsidRPr="00F50653">
        <w:t>Valitsemisalade kaupa jagunevad kasutuslepingud järgmiselt (</w:t>
      </w:r>
      <w:fldSimple w:instr=" REF _Ref418014911 \h  \* MERGEFORMAT ">
        <w:r w:rsidR="00477322">
          <w:t>Joonis 12</w:t>
        </w:r>
      </w:fldSimple>
      <w:r w:rsidRPr="00F50653">
        <w:t>):</w:t>
      </w:r>
    </w:p>
    <w:p w:rsidR="00B6319C" w:rsidRDefault="00B6319C" w:rsidP="00B6319C">
      <w:pPr>
        <w:pStyle w:val="Caption"/>
        <w:jc w:val="both"/>
      </w:pPr>
      <w:bookmarkStart w:id="160" w:name="_Ref418014911"/>
      <w:r>
        <w:t xml:space="preserve">Joonis </w:t>
      </w:r>
      <w:fldSimple w:instr=" SEQ Joonis \* ARABIC ">
        <w:r w:rsidR="00477322">
          <w:rPr>
            <w:noProof/>
          </w:rPr>
          <w:t>12</w:t>
        </w:r>
      </w:fldSimple>
      <w:bookmarkEnd w:id="160"/>
      <w:r>
        <w:t>.</w:t>
      </w:r>
      <w:r w:rsidRPr="00671059">
        <w:t xml:space="preserve"> </w:t>
      </w:r>
      <w:r>
        <w:t>Kasut</w:t>
      </w:r>
      <w:r w:rsidR="00655E30">
        <w:t>amiseks andmise lepingute arv</w:t>
      </w:r>
      <w:r w:rsidR="003469C1">
        <w:t xml:space="preserve"> ja aastatasu</w:t>
      </w:r>
      <w:r>
        <w:t xml:space="preserve"> valitsejate lõikes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44"/>
        <w:gridCol w:w="4787"/>
      </w:tblGrid>
      <w:tr w:rsidR="00B6319C" w:rsidTr="00CD371C">
        <w:tc>
          <w:tcPr>
            <w:tcW w:w="4644" w:type="dxa"/>
          </w:tcPr>
          <w:p w:rsidR="00B6319C" w:rsidRDefault="00B6319C" w:rsidP="00746C6C">
            <w:pPr>
              <w:spacing w:before="120" w:after="120"/>
              <w:ind w:right="567"/>
            </w:pPr>
            <w:r w:rsidRPr="00F57DBC">
              <w:rPr>
                <w:noProof/>
                <w:lang w:eastAsia="et-EE"/>
              </w:rPr>
              <w:drawing>
                <wp:inline distT="0" distB="0" distL="0" distR="0">
                  <wp:extent cx="2856352" cy="2743200"/>
                  <wp:effectExtent l="19050" t="0" r="20198"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787" w:type="dxa"/>
          </w:tcPr>
          <w:p w:rsidR="00B6319C" w:rsidRDefault="00B6319C" w:rsidP="00F54DE0">
            <w:pPr>
              <w:spacing w:before="120" w:after="120"/>
            </w:pPr>
            <w:r w:rsidRPr="009C123C">
              <w:rPr>
                <w:noProof/>
                <w:lang w:eastAsia="et-EE"/>
              </w:rPr>
              <w:drawing>
                <wp:inline distT="0" distB="0" distL="0" distR="0">
                  <wp:extent cx="2933700" cy="2743200"/>
                  <wp:effectExtent l="19050" t="0" r="19050" b="0"/>
                  <wp:docPr id="1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B6319C" w:rsidRPr="00953D51" w:rsidRDefault="00B6319C" w:rsidP="00351253">
      <w:pPr>
        <w:pStyle w:val="ListParagraph"/>
      </w:pPr>
      <w:r w:rsidRPr="00953D51">
        <w:t>Ligikaudu pooled kõigist kasutuslepingutest on maavalitsuste valitsemisel, samas laekub nendest lepingutest alla kümnendiku kasutamiseks andmise lepingute tulust. Maavalitsuste poolt sõlmitud lepingut</w:t>
      </w:r>
      <w:r w:rsidR="00F54DE0" w:rsidRPr="00953D51">
        <w:t xml:space="preserve">est annab ülevaate peatükk </w:t>
      </w:r>
      <w:fldSimple w:instr=" REF _Ref423641411 \r \h  \* MERGEFORMAT ">
        <w:r w:rsidR="00477322">
          <w:t>1.4.3</w:t>
        </w:r>
      </w:fldSimple>
      <w:r w:rsidRPr="00953D51">
        <w:t xml:space="preserve">. </w:t>
      </w:r>
    </w:p>
    <w:p w:rsidR="00B6319C" w:rsidRPr="00953D51" w:rsidRDefault="00B6319C" w:rsidP="00351253">
      <w:pPr>
        <w:pStyle w:val="ListParagraph"/>
      </w:pPr>
      <w:r w:rsidRPr="00953D51">
        <w:t>Majandus- ja Kommunikatsiooniministeeriumi valitsemisala hallata on 24% lepingutest. Enamus neist on Maanteeameti poolt sõlmitud isiklikud kasutusõigused tehnorajatiste talumiseks.</w:t>
      </w:r>
    </w:p>
    <w:p w:rsidR="00B6319C" w:rsidRPr="00953D51" w:rsidRDefault="00B6319C" w:rsidP="00351253">
      <w:pPr>
        <w:pStyle w:val="ListParagraph"/>
      </w:pPr>
      <w:r w:rsidRPr="00953D51">
        <w:t>Keskkonnaministeeriumi valitsemisalas on sõlmitud 19% kasutamiseks andmise lepingutest, sh:</w:t>
      </w:r>
    </w:p>
    <w:p w:rsidR="00B6319C" w:rsidRDefault="00B6319C" w:rsidP="00953D51">
      <w:pPr>
        <w:pStyle w:val="Loend1"/>
      </w:pPr>
      <w:r>
        <w:t xml:space="preserve">1108 </w:t>
      </w:r>
      <w:r w:rsidRPr="004E009A">
        <w:rPr>
          <w:b/>
        </w:rPr>
        <w:t>Maa-ameti</w:t>
      </w:r>
      <w:r>
        <w:t xml:space="preserve"> maatulundusmaa rendilepingut ja rendilepingut </w:t>
      </w:r>
      <w:r w:rsidRPr="00364A42">
        <w:t>kaevandamiseks</w:t>
      </w:r>
      <w:r>
        <w:t xml:space="preserve">. </w:t>
      </w:r>
    </w:p>
    <w:p w:rsidR="00B6319C" w:rsidRDefault="00B6319C" w:rsidP="00953D51">
      <w:pPr>
        <w:pStyle w:val="Loend1"/>
      </w:pPr>
      <w:r>
        <w:t xml:space="preserve">1545 </w:t>
      </w:r>
      <w:r w:rsidRPr="004E009A">
        <w:rPr>
          <w:b/>
        </w:rPr>
        <w:t>RMK</w:t>
      </w:r>
      <w:r>
        <w:t xml:space="preserve"> haldamisel olevat lepingut</w:t>
      </w:r>
      <w:r w:rsidRPr="00364A42">
        <w:t>.</w:t>
      </w:r>
      <w:r>
        <w:t xml:space="preserve"> </w:t>
      </w:r>
    </w:p>
    <w:p w:rsidR="00B6319C" w:rsidRDefault="00B6319C" w:rsidP="00953D51">
      <w:pPr>
        <w:pStyle w:val="Loend1"/>
      </w:pPr>
      <w:r>
        <w:t>457 teiste Keskkonnaministeeriumi valitsemisala asutuste sõlmitud lepingut.</w:t>
      </w:r>
    </w:p>
    <w:p w:rsidR="00B6319C" w:rsidRDefault="00B6319C" w:rsidP="00351253">
      <w:pPr>
        <w:pStyle w:val="ListParagraph"/>
      </w:pPr>
      <w:r>
        <w:t xml:space="preserve">Ülejäänud valitsejate vahel jaguneb ülejäänud 10% kõigist lepingutest. Kasutamiseks andmine valitsejate </w:t>
      </w:r>
      <w:r w:rsidRPr="00953D51">
        <w:t>lõikes</w:t>
      </w:r>
      <w:r>
        <w:t xml:space="preserve"> on detailsemalt välja toodud </w:t>
      </w:r>
      <w:r w:rsidRPr="00DE4D54">
        <w:t>Lisa</w:t>
      </w:r>
      <w:r w:rsidR="00DE4D54" w:rsidRPr="00DE4D54">
        <w:t>s</w:t>
      </w:r>
      <w:r w:rsidR="004E009A" w:rsidRPr="00DE4D54">
        <w:t xml:space="preserve"> 2</w:t>
      </w:r>
      <w:r w:rsidR="00DE4D54" w:rsidRPr="00DE4D54">
        <w:t xml:space="preserve"> </w:t>
      </w:r>
      <w:r w:rsidR="00DE4D54">
        <w:t>(</w:t>
      </w:r>
      <w:r w:rsidR="00A85FDC">
        <w:fldChar w:fldCharType="begin"/>
      </w:r>
      <w:r w:rsidR="00DE4D54">
        <w:instrText xml:space="preserve"> REF _Ref423641588 \h </w:instrText>
      </w:r>
      <w:r w:rsidR="00A85FDC">
        <w:fldChar w:fldCharType="separate"/>
      </w:r>
      <w:r w:rsidR="00477322">
        <w:t xml:space="preserve">Tabel </w:t>
      </w:r>
      <w:r w:rsidR="00477322">
        <w:rPr>
          <w:noProof/>
        </w:rPr>
        <w:t>8</w:t>
      </w:r>
      <w:r w:rsidR="00A85FDC">
        <w:fldChar w:fldCharType="end"/>
      </w:r>
      <w:r w:rsidR="00DE4D54">
        <w:t>).</w:t>
      </w:r>
      <w:r w:rsidRPr="00057ECC">
        <w:t xml:space="preserve"> </w:t>
      </w:r>
    </w:p>
    <w:p w:rsidR="003469C1" w:rsidRDefault="003469C1" w:rsidP="003469C1">
      <w:pPr>
        <w:spacing w:before="120" w:after="120"/>
        <w:ind w:left="360"/>
      </w:pPr>
      <w:r>
        <w:t xml:space="preserve">Kasutamiseks andmise lepingute arvu muutust aastate lõikes kajastab </w:t>
      </w:r>
      <w:r w:rsidR="00A85FDC">
        <w:fldChar w:fldCharType="begin"/>
      </w:r>
      <w:r>
        <w:instrText xml:space="preserve"> REF _Ref423641795 \h </w:instrText>
      </w:r>
      <w:r w:rsidR="00A85FDC">
        <w:fldChar w:fldCharType="separate"/>
      </w:r>
      <w:r w:rsidR="00477322">
        <w:t xml:space="preserve">Joonis </w:t>
      </w:r>
      <w:r w:rsidR="00477322">
        <w:rPr>
          <w:noProof/>
        </w:rPr>
        <w:t>13</w:t>
      </w:r>
      <w:r w:rsidR="00A85FDC">
        <w:fldChar w:fldCharType="end"/>
      </w:r>
      <w:r>
        <w:t>.</w:t>
      </w:r>
    </w:p>
    <w:p w:rsidR="00B6319C" w:rsidRDefault="00B6319C" w:rsidP="00B6319C">
      <w:pPr>
        <w:pStyle w:val="Caption"/>
        <w:jc w:val="both"/>
      </w:pPr>
      <w:bookmarkStart w:id="161" w:name="_Ref423641795"/>
      <w:r>
        <w:t xml:space="preserve">Joonis </w:t>
      </w:r>
      <w:fldSimple w:instr=" SEQ Joonis \* ARABIC ">
        <w:r w:rsidR="00477322">
          <w:rPr>
            <w:noProof/>
          </w:rPr>
          <w:t>13</w:t>
        </w:r>
      </w:fldSimple>
      <w:bookmarkEnd w:id="161"/>
      <w:r w:rsidR="00655E30">
        <w:t>.</w:t>
      </w:r>
      <w:r>
        <w:t xml:space="preserve"> Kasutamiseks andmise lepingute arv aastate lõikes</w:t>
      </w:r>
    </w:p>
    <w:p w:rsidR="00B6319C" w:rsidRDefault="00B6319C" w:rsidP="003469C1">
      <w:pPr>
        <w:spacing w:before="120"/>
      </w:pPr>
      <w:r w:rsidRPr="00CC2A66">
        <w:rPr>
          <w:noProof/>
          <w:lang w:eastAsia="et-EE"/>
        </w:rPr>
        <w:drawing>
          <wp:inline distT="0" distB="0" distL="0" distR="0">
            <wp:extent cx="5851525" cy="3605724"/>
            <wp:effectExtent l="19050" t="0" r="15875"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6319C" w:rsidRDefault="00B6319C" w:rsidP="00B6319C"/>
    <w:p w:rsidR="00B6319C" w:rsidRPr="00953D51" w:rsidRDefault="00B6319C" w:rsidP="00351253">
      <w:pPr>
        <w:pStyle w:val="ListParagraph"/>
      </w:pPr>
      <w:r>
        <w:t xml:space="preserve"> Kasut</w:t>
      </w:r>
      <w:r w:rsidR="003469C1">
        <w:t>ami</w:t>
      </w:r>
      <w:r>
        <w:t xml:space="preserve">seks </w:t>
      </w:r>
      <w:r w:rsidRPr="00953D51">
        <w:t>andmise lepingute arv on järk-järgult kasvanud. Vanast riigivara registrist toodi 2010. a lõpus üle 9570 lepingut, 2014. a lõpuks</w:t>
      </w:r>
      <w:r w:rsidR="003469C1" w:rsidRPr="00953D51">
        <w:t xml:space="preserve"> on</w:t>
      </w:r>
      <w:r w:rsidR="00655E30">
        <w:t xml:space="preserve"> lepingute arv </w:t>
      </w:r>
      <w:r w:rsidR="003469C1" w:rsidRPr="00953D51">
        <w:t xml:space="preserve">tõusnud </w:t>
      </w:r>
      <w:r w:rsidRPr="00953D51">
        <w:t>14 446-ni.</w:t>
      </w:r>
    </w:p>
    <w:p w:rsidR="00B6319C" w:rsidRDefault="00B6319C" w:rsidP="00351253">
      <w:pPr>
        <w:pStyle w:val="ListParagraph"/>
      </w:pPr>
      <w:r w:rsidRPr="00953D51">
        <w:t>Lepingute arv on kasvanud eelkõ</w:t>
      </w:r>
      <w:r w:rsidR="003469C1" w:rsidRPr="00953D51">
        <w:t>ige andmete korrastamise arvelt.</w:t>
      </w:r>
      <w:r w:rsidRPr="00953D51">
        <w:t xml:space="preserve"> </w:t>
      </w:r>
      <w:r w:rsidR="003469C1" w:rsidRPr="00953D51">
        <w:t>S</w:t>
      </w:r>
      <w:r w:rsidRPr="00953D51">
        <w:t>isestatud on ka need lepingud, mida</w:t>
      </w:r>
      <w:r>
        <w:t xml:space="preserve"> vanasse registrisse ei kantud. Näiteks Maanteeamet sisestas 2013. a jooksul registrisse juba varem sõlmitud</w:t>
      </w:r>
      <w:r w:rsidR="00655E30">
        <w:t xml:space="preserve"> </w:t>
      </w:r>
      <w:r>
        <w:t>isikliku kasutusõiguse lepingud. Samas on üürilepingute arv vähenenud seetõttu, et hoonestatud varad koos neid koormavate üürilepingutega antakse üle RKAS</w:t>
      </w:r>
      <w:r w:rsidR="003469C1">
        <w:t>-</w:t>
      </w:r>
      <w:r>
        <w:t>ile.</w:t>
      </w:r>
    </w:p>
    <w:p w:rsidR="00B6319C" w:rsidRDefault="00B6319C" w:rsidP="00C470A0">
      <w:pPr>
        <w:pStyle w:val="Pealkiri3"/>
      </w:pPr>
      <w:bookmarkStart w:id="162" w:name="_Toc418016356"/>
      <w:bookmarkStart w:id="163" w:name="_Toc433980699"/>
      <w:r w:rsidRPr="00C470A0">
        <w:t>Hoonestatud</w:t>
      </w:r>
      <w:r w:rsidRPr="006768AA">
        <w:t xml:space="preserve"> vara üürimine</w:t>
      </w:r>
      <w:bookmarkEnd w:id="162"/>
      <w:bookmarkEnd w:id="163"/>
      <w:r w:rsidR="00655E30">
        <w:t xml:space="preserve"> </w:t>
      </w:r>
    </w:p>
    <w:p w:rsidR="00B6319C" w:rsidRPr="00953D51" w:rsidRDefault="00B6319C" w:rsidP="00351253">
      <w:pPr>
        <w:pStyle w:val="ListParagraph"/>
      </w:pPr>
      <w:r w:rsidRPr="00953D51">
        <w:t>Riik kasutab 94% omandis olevatest hoonetest ise, 6% on välja üüritud kolmandatele isikutele.</w:t>
      </w:r>
    </w:p>
    <w:p w:rsidR="00B6319C" w:rsidRPr="00953D51" w:rsidRDefault="00B6319C" w:rsidP="00351253">
      <w:pPr>
        <w:pStyle w:val="ListParagraph"/>
      </w:pPr>
      <w:r w:rsidRPr="00953D51">
        <w:rPr>
          <w:b/>
        </w:rPr>
        <w:t>Hoonestatud vara üürilepinguid</w:t>
      </w:r>
      <w:r w:rsidRPr="00953D51">
        <w:t xml:space="preserve"> (va riigisisesed kasutamise kokkulepped) on 2014.a lõpu seisuga registreeritud 791. Riik on andnud kasutusse 88 515 m2 hoonete pinda, millest laekub kasutustasu 437 856 € aastas. Keskmine kasutustasu on 0,41 €/m²/kuus (vt </w:t>
      </w:r>
      <w:fldSimple w:instr=" REF _Ref420062586 \h  \* MERGEFORMAT ">
        <w:r w:rsidR="00477322">
          <w:t>Tabel 9</w:t>
        </w:r>
      </w:fldSimple>
      <w:r w:rsidRPr="00953D51">
        <w:t>). Keskmist kasutustasu mõjutab asjaolu, et kasutamiseks andmisel reeglina ei kajastu teenused üüris, vaid kõrvalteenustes, mille üle registris arvestust ei peeta.</w:t>
      </w:r>
      <w:r w:rsidR="00655E30">
        <w:t xml:space="preserve"> </w:t>
      </w:r>
    </w:p>
    <w:p w:rsidR="00B6319C" w:rsidRDefault="00B6319C" w:rsidP="00B6319C">
      <w:pPr>
        <w:pStyle w:val="Caption"/>
      </w:pPr>
      <w:bookmarkStart w:id="164" w:name="_Ref420062586"/>
      <w:r>
        <w:t xml:space="preserve">Tabel </w:t>
      </w:r>
      <w:fldSimple w:instr=" SEQ Tabel \* ARABIC ">
        <w:r w:rsidR="00477322">
          <w:rPr>
            <w:noProof/>
          </w:rPr>
          <w:t>9</w:t>
        </w:r>
      </w:fldSimple>
      <w:bookmarkEnd w:id="164"/>
      <w:r>
        <w:t>.</w:t>
      </w:r>
      <w:r w:rsidRPr="003233AF">
        <w:t xml:space="preserve"> </w:t>
      </w:r>
      <w:r>
        <w:t>Riigi hoonete kasutamiseks andmine kasutusotstarvete lõikes</w:t>
      </w:r>
    </w:p>
    <w:tbl>
      <w:tblPr>
        <w:tblW w:w="9228" w:type="dxa"/>
        <w:tblInd w:w="56" w:type="dxa"/>
        <w:tblCellMar>
          <w:left w:w="70" w:type="dxa"/>
          <w:right w:w="70" w:type="dxa"/>
        </w:tblCellMar>
        <w:tblLook w:val="04A0"/>
      </w:tblPr>
      <w:tblGrid>
        <w:gridCol w:w="2282"/>
        <w:gridCol w:w="1418"/>
        <w:gridCol w:w="1701"/>
        <w:gridCol w:w="2126"/>
        <w:gridCol w:w="1701"/>
      </w:tblGrid>
      <w:tr w:rsidR="0082564A" w:rsidRPr="0082564A" w:rsidTr="0082564A">
        <w:trPr>
          <w:trHeight w:hRule="exact" w:val="454"/>
        </w:trPr>
        <w:tc>
          <w:tcPr>
            <w:tcW w:w="2282"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Hoonestatud vara</w:t>
            </w:r>
          </w:p>
        </w:tc>
        <w:tc>
          <w:tcPr>
            <w:tcW w:w="1418" w:type="dxa"/>
            <w:tcBorders>
              <w:top w:val="single" w:sz="8" w:space="0" w:color="auto"/>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lepingute arv</w:t>
            </w:r>
          </w:p>
        </w:tc>
        <w:tc>
          <w:tcPr>
            <w:tcW w:w="1701" w:type="dxa"/>
            <w:tcBorders>
              <w:top w:val="single" w:sz="8" w:space="0" w:color="auto"/>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hoone pind (m²)</w:t>
            </w:r>
          </w:p>
        </w:tc>
        <w:tc>
          <w:tcPr>
            <w:tcW w:w="2126" w:type="dxa"/>
            <w:tcBorders>
              <w:top w:val="single" w:sz="8" w:space="0" w:color="auto"/>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kasutustasu (€/aastas)</w:t>
            </w:r>
          </w:p>
        </w:tc>
        <w:tc>
          <w:tcPr>
            <w:tcW w:w="1701" w:type="dxa"/>
            <w:tcBorders>
              <w:top w:val="single" w:sz="8" w:space="0" w:color="auto"/>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kasutustasu (€/m²/kuus)</w:t>
            </w:r>
          </w:p>
        </w:tc>
      </w:tr>
      <w:tr w:rsidR="0082564A" w:rsidRPr="0082564A" w:rsidTr="0082564A">
        <w:trPr>
          <w:trHeight w:hRule="exact" w:val="315"/>
        </w:trPr>
        <w:tc>
          <w:tcPr>
            <w:tcW w:w="2282" w:type="dxa"/>
            <w:tcBorders>
              <w:top w:val="nil"/>
              <w:left w:val="single" w:sz="8" w:space="0" w:color="auto"/>
              <w:bottom w:val="single" w:sz="8" w:space="0" w:color="auto"/>
              <w:right w:val="single" w:sz="8" w:space="0" w:color="auto"/>
            </w:tcBorders>
            <w:shd w:val="clear" w:color="000000" w:fill="FFFFFF"/>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Elamispinnad</w:t>
            </w:r>
          </w:p>
        </w:tc>
        <w:tc>
          <w:tcPr>
            <w:tcW w:w="1418"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574</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30 611</w:t>
            </w:r>
          </w:p>
        </w:tc>
        <w:tc>
          <w:tcPr>
            <w:tcW w:w="2126"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84 360</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0,23</w:t>
            </w:r>
          </w:p>
        </w:tc>
      </w:tr>
      <w:tr w:rsidR="0082564A" w:rsidRPr="0082564A" w:rsidTr="0082564A">
        <w:trPr>
          <w:trHeight w:hRule="exact" w:val="315"/>
        </w:trPr>
        <w:tc>
          <w:tcPr>
            <w:tcW w:w="2282" w:type="dxa"/>
            <w:tcBorders>
              <w:top w:val="nil"/>
              <w:left w:val="single" w:sz="8" w:space="0" w:color="auto"/>
              <w:bottom w:val="single" w:sz="8" w:space="0" w:color="auto"/>
              <w:right w:val="single" w:sz="8" w:space="0" w:color="auto"/>
            </w:tcBorders>
            <w:shd w:val="clear" w:color="000000" w:fill="FFFFFF"/>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Büroo- ja teeninduspinnad</w:t>
            </w:r>
          </w:p>
        </w:tc>
        <w:tc>
          <w:tcPr>
            <w:tcW w:w="1418"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168</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42 386</w:t>
            </w:r>
          </w:p>
        </w:tc>
        <w:tc>
          <w:tcPr>
            <w:tcW w:w="2126"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311 53</w:t>
            </w:r>
            <w:r w:rsidR="00746C6C">
              <w:rPr>
                <w:rFonts w:eastAsia="Times New Roman"/>
                <w:color w:val="000000"/>
                <w:sz w:val="18"/>
                <w:szCs w:val="18"/>
                <w:lang w:eastAsia="et-EE"/>
              </w:rPr>
              <w:t>0</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0,61</w:t>
            </w:r>
          </w:p>
        </w:tc>
      </w:tr>
      <w:tr w:rsidR="0082564A" w:rsidRPr="0082564A" w:rsidTr="0082564A">
        <w:trPr>
          <w:trHeight w:hRule="exact" w:val="315"/>
        </w:trPr>
        <w:tc>
          <w:tcPr>
            <w:tcW w:w="2282" w:type="dxa"/>
            <w:tcBorders>
              <w:top w:val="nil"/>
              <w:left w:val="single" w:sz="8" w:space="0" w:color="auto"/>
              <w:bottom w:val="single" w:sz="8" w:space="0" w:color="auto"/>
              <w:right w:val="single" w:sz="8" w:space="0" w:color="auto"/>
            </w:tcBorders>
            <w:shd w:val="clear" w:color="000000" w:fill="FFFFFF"/>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Muud</w:t>
            </w:r>
          </w:p>
        </w:tc>
        <w:tc>
          <w:tcPr>
            <w:tcW w:w="1418"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49</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15 518</w:t>
            </w:r>
          </w:p>
        </w:tc>
        <w:tc>
          <w:tcPr>
            <w:tcW w:w="2126"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41 99</w:t>
            </w:r>
            <w:r w:rsidR="00746C6C">
              <w:rPr>
                <w:rFonts w:eastAsia="Times New Roman"/>
                <w:color w:val="000000"/>
                <w:sz w:val="18"/>
                <w:szCs w:val="18"/>
                <w:lang w:eastAsia="et-EE"/>
              </w:rPr>
              <w:t>0</w:t>
            </w:r>
          </w:p>
        </w:tc>
        <w:tc>
          <w:tcPr>
            <w:tcW w:w="1701" w:type="dxa"/>
            <w:tcBorders>
              <w:top w:val="nil"/>
              <w:left w:val="nil"/>
              <w:bottom w:val="single" w:sz="8" w:space="0" w:color="auto"/>
              <w:right w:val="single" w:sz="8" w:space="0" w:color="auto"/>
            </w:tcBorders>
            <w:shd w:val="clear" w:color="auto" w:fill="auto"/>
            <w:noWrap/>
            <w:vAlign w:val="bottom"/>
            <w:hideMark/>
          </w:tcPr>
          <w:p w:rsidR="0082564A" w:rsidRPr="0082564A" w:rsidRDefault="0082564A" w:rsidP="0082564A">
            <w:pPr>
              <w:spacing w:before="0"/>
              <w:jc w:val="center"/>
              <w:rPr>
                <w:rFonts w:eastAsia="Times New Roman"/>
                <w:color w:val="000000"/>
                <w:sz w:val="18"/>
                <w:szCs w:val="18"/>
                <w:lang w:eastAsia="et-EE"/>
              </w:rPr>
            </w:pPr>
            <w:r w:rsidRPr="0082564A">
              <w:rPr>
                <w:rFonts w:eastAsia="Times New Roman"/>
                <w:color w:val="000000"/>
                <w:sz w:val="18"/>
                <w:szCs w:val="18"/>
                <w:lang w:eastAsia="et-EE"/>
              </w:rPr>
              <w:t>0,23</w:t>
            </w:r>
          </w:p>
        </w:tc>
      </w:tr>
      <w:tr w:rsidR="0082564A" w:rsidRPr="0082564A" w:rsidTr="0082564A">
        <w:trPr>
          <w:trHeight w:hRule="exact" w:val="315"/>
        </w:trPr>
        <w:tc>
          <w:tcPr>
            <w:tcW w:w="2282" w:type="dxa"/>
            <w:tcBorders>
              <w:top w:val="nil"/>
              <w:left w:val="single" w:sz="8" w:space="0" w:color="auto"/>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Kokku</w:t>
            </w:r>
          </w:p>
        </w:tc>
        <w:tc>
          <w:tcPr>
            <w:tcW w:w="1418" w:type="dxa"/>
            <w:tcBorders>
              <w:top w:val="nil"/>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791</w:t>
            </w:r>
          </w:p>
        </w:tc>
        <w:tc>
          <w:tcPr>
            <w:tcW w:w="1701" w:type="dxa"/>
            <w:tcBorders>
              <w:top w:val="nil"/>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88</w:t>
            </w:r>
            <w:r w:rsidR="00746C6C">
              <w:rPr>
                <w:rFonts w:eastAsia="Times New Roman"/>
                <w:b/>
                <w:bCs/>
                <w:color w:val="000000"/>
                <w:sz w:val="18"/>
                <w:szCs w:val="18"/>
                <w:lang w:eastAsia="et-EE"/>
              </w:rPr>
              <w:t xml:space="preserve"> </w:t>
            </w:r>
            <w:r w:rsidRPr="0082564A">
              <w:rPr>
                <w:rFonts w:eastAsia="Times New Roman"/>
                <w:b/>
                <w:bCs/>
                <w:color w:val="000000"/>
                <w:sz w:val="18"/>
                <w:szCs w:val="18"/>
                <w:lang w:eastAsia="et-EE"/>
              </w:rPr>
              <w:t>515</w:t>
            </w:r>
          </w:p>
        </w:tc>
        <w:tc>
          <w:tcPr>
            <w:tcW w:w="2126" w:type="dxa"/>
            <w:tcBorders>
              <w:top w:val="nil"/>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437</w:t>
            </w:r>
            <w:r w:rsidR="00746C6C">
              <w:rPr>
                <w:rFonts w:eastAsia="Times New Roman"/>
                <w:b/>
                <w:bCs/>
                <w:color w:val="000000"/>
                <w:sz w:val="18"/>
                <w:szCs w:val="18"/>
                <w:lang w:eastAsia="et-EE"/>
              </w:rPr>
              <w:t xml:space="preserve"> </w:t>
            </w:r>
            <w:r w:rsidRPr="0082564A">
              <w:rPr>
                <w:rFonts w:eastAsia="Times New Roman"/>
                <w:b/>
                <w:bCs/>
                <w:color w:val="000000"/>
                <w:sz w:val="18"/>
                <w:szCs w:val="18"/>
                <w:lang w:eastAsia="et-EE"/>
              </w:rPr>
              <w:t>88</w:t>
            </w:r>
            <w:r w:rsidR="00746C6C">
              <w:rPr>
                <w:rFonts w:eastAsia="Times New Roman"/>
                <w:b/>
                <w:bCs/>
                <w:color w:val="000000"/>
                <w:sz w:val="18"/>
                <w:szCs w:val="18"/>
                <w:lang w:eastAsia="et-EE"/>
              </w:rPr>
              <w:t>0</w:t>
            </w:r>
          </w:p>
        </w:tc>
        <w:tc>
          <w:tcPr>
            <w:tcW w:w="1701" w:type="dxa"/>
            <w:tcBorders>
              <w:top w:val="nil"/>
              <w:left w:val="nil"/>
              <w:bottom w:val="single" w:sz="8" w:space="0" w:color="auto"/>
              <w:right w:val="single" w:sz="8" w:space="0" w:color="auto"/>
            </w:tcBorders>
            <w:shd w:val="clear" w:color="000000" w:fill="DBEEF3"/>
            <w:noWrap/>
            <w:vAlign w:val="bottom"/>
            <w:hideMark/>
          </w:tcPr>
          <w:p w:rsidR="0082564A" w:rsidRPr="0082564A" w:rsidRDefault="0082564A" w:rsidP="0082564A">
            <w:pPr>
              <w:spacing w:before="0"/>
              <w:jc w:val="center"/>
              <w:rPr>
                <w:rFonts w:eastAsia="Times New Roman"/>
                <w:b/>
                <w:bCs/>
                <w:color w:val="000000"/>
                <w:sz w:val="18"/>
                <w:szCs w:val="18"/>
                <w:lang w:eastAsia="et-EE"/>
              </w:rPr>
            </w:pPr>
            <w:r w:rsidRPr="0082564A">
              <w:rPr>
                <w:rFonts w:eastAsia="Times New Roman"/>
                <w:b/>
                <w:bCs/>
                <w:color w:val="000000"/>
                <w:sz w:val="18"/>
                <w:szCs w:val="18"/>
                <w:lang w:eastAsia="et-EE"/>
              </w:rPr>
              <w:t>0,41</w:t>
            </w:r>
          </w:p>
        </w:tc>
      </w:tr>
    </w:tbl>
    <w:p w:rsidR="00B6319C" w:rsidRDefault="00B6319C" w:rsidP="00B6319C">
      <w:r>
        <w:t>Enamus lepingutest (73%) on sõlmitud eluruumi kasutamiseks andmiseks, sh valdavalt Kaitseväeteenistuse seaduse alusel. Kaitseministri 14.06.2013 määrusega nr 35 „Kaitseväeteenistuse seaduse alusel antava tööandja eluruumi kasutustasu kehtestamine“ on kehtestatud tööandja eluruumi kasutustasu suurused, milleks Tallinnas ja Tartus on 0,32 €/m²/kuus ning mujal Eestis 0,19 €/m²/kuus.</w:t>
      </w:r>
    </w:p>
    <w:p w:rsidR="00B6319C" w:rsidRDefault="00B6319C" w:rsidP="00B6319C">
      <w:r>
        <w:t>Viiendik lepingutest (see on ca pool kasutusse antud pinnast) on büroo- või teeninduspinna kasutamiseks andmiseks. Neist 24 juhul on tegemist tasuta kasutamise lepinguga, kus üürnik tasub vaid kõrvalkulusid. Kasutusse antud büroo- ja teeninduspindade hulka kuuluvad nii riigi hoonetes asuvad toitlustuspinnad (teenust osutatakse konkreetses hoones töötajatele), kabinetid, õppehooned kui keldrikorruse ruumid. Enamasti paiknevad kasutusse antud büroo- ja teeninduspinnad väljaspool Tallinna ja Tartut (165-st</w:t>
      </w:r>
      <w:r w:rsidR="00655E30">
        <w:t xml:space="preserve"> </w:t>
      </w:r>
      <w:r>
        <w:t>123). Seega võib väita, et enamuse kasutusse antud pindade puhul ei ole tegemist väljakujunenud üürituruga piirkonnas asuva klassikalise bürooga.</w:t>
      </w:r>
    </w:p>
    <w:p w:rsidR="00B6319C" w:rsidRDefault="00B6319C" w:rsidP="00B6319C">
      <w:r>
        <w:t>Riik on 49 juhul kasutusse andnud garaaže, töökodasid, põllumajanduslikke tootmishooneid või muid pindu, mis ei ole elu-, büroo- ega teeninduspinnad. Siia hulka kuuluvad näiteks tuletornid, RMK-le kuuluvad töökojad ja Põllumajandusministeeriumi haldusalas olevad loomakasvatushooned. Ligikaudu pooled nimetatud hoonetest ei ole riigile põhitegevuseks vajalikud.</w:t>
      </w:r>
    </w:p>
    <w:p w:rsidR="00B6319C" w:rsidRPr="00F2024C" w:rsidRDefault="00B6319C" w:rsidP="00B6319C">
      <w:r>
        <w:t>Kuigi keskmine kasutustasu m² kohta tundub madal, ei ole see tingitud lepingutest, mille kasutustasu oleks võimalik tõsta. Enamasti on tegemist Kaitseministeeriumi tööandja eluruumidega, mille tasu kujuneb eriregulatsiooni alusel. Mitteeluruumidest on kasutusse antud piiratud kasutusega teeninduspindu (asutuste sööklad) või väljaspool aktiivseid turupiirkondi asuvaid riigile mittevajalikke pindu.</w:t>
      </w:r>
    </w:p>
    <w:p w:rsidR="00B6319C" w:rsidRDefault="00B6319C" w:rsidP="00B6319C">
      <w:r w:rsidRPr="00FD638F">
        <w:t>Kõige rohkem</w:t>
      </w:r>
      <w:r>
        <w:t xml:space="preserve"> (39%)</w:t>
      </w:r>
      <w:r w:rsidRPr="00FD638F">
        <w:t xml:space="preserve"> </w:t>
      </w:r>
      <w:r>
        <w:t xml:space="preserve">hoonete pinda </w:t>
      </w:r>
      <w:r w:rsidRPr="00FD638F">
        <w:t>on</w:t>
      </w:r>
      <w:r>
        <w:t xml:space="preserve"> kasutada antud era</w:t>
      </w:r>
      <w:r w:rsidRPr="00FD638F">
        <w:t xml:space="preserve">isikutele, millest olulise osa </w:t>
      </w:r>
      <w:r>
        <w:t xml:space="preserve">moodustavad Kaitseväe korterid. Äriühingutele (AS, OÜ) on kasutada antud 31 % pinnast, peamiselt büroopindu. Ülevaate riigi hoonete üürnikest </w:t>
      </w:r>
      <w:r w:rsidR="0082564A">
        <w:t>ja üürilepingutest annavad</w:t>
      </w:r>
      <w:r>
        <w:t xml:space="preserve"> järgnev joonis (</w:t>
      </w:r>
      <w:r w:rsidR="00A85FDC">
        <w:fldChar w:fldCharType="begin"/>
      </w:r>
      <w:r>
        <w:instrText xml:space="preserve"> REF _Ref418015545 \h </w:instrText>
      </w:r>
      <w:r w:rsidR="00A85FDC">
        <w:fldChar w:fldCharType="separate"/>
      </w:r>
      <w:r w:rsidR="00477322">
        <w:t xml:space="preserve">Joonis </w:t>
      </w:r>
      <w:r w:rsidR="00477322">
        <w:rPr>
          <w:noProof/>
        </w:rPr>
        <w:t>14</w:t>
      </w:r>
      <w:r w:rsidR="00A85FDC">
        <w:fldChar w:fldCharType="end"/>
      </w:r>
      <w:r>
        <w:t>)</w:t>
      </w:r>
      <w:r w:rsidR="0082564A">
        <w:t xml:space="preserve"> ja tabel (</w:t>
      </w:r>
      <w:r w:rsidR="00A85FDC">
        <w:fldChar w:fldCharType="begin"/>
      </w:r>
      <w:r w:rsidR="0082564A">
        <w:instrText xml:space="preserve"> REF _Ref423642678 \h </w:instrText>
      </w:r>
      <w:r w:rsidR="00A85FDC">
        <w:fldChar w:fldCharType="separate"/>
      </w:r>
      <w:r w:rsidR="00477322">
        <w:t xml:space="preserve">Tabel </w:t>
      </w:r>
      <w:r w:rsidR="00477322">
        <w:rPr>
          <w:noProof/>
        </w:rPr>
        <w:t>10</w:t>
      </w:r>
      <w:r w:rsidR="00A85FDC">
        <w:fldChar w:fldCharType="end"/>
      </w:r>
      <w:r w:rsidR="0082564A">
        <w:t>)</w:t>
      </w:r>
      <w:r>
        <w:t>.</w:t>
      </w:r>
    </w:p>
    <w:p w:rsidR="00B6319C" w:rsidRDefault="00B6319C" w:rsidP="00B6319C">
      <w:pPr>
        <w:pStyle w:val="Caption"/>
        <w:jc w:val="both"/>
      </w:pPr>
      <w:bookmarkStart w:id="165" w:name="_Ref418015545"/>
      <w:r>
        <w:t xml:space="preserve">Joonis </w:t>
      </w:r>
      <w:fldSimple w:instr=" SEQ Joonis \* ARABIC ">
        <w:r w:rsidR="00477322">
          <w:rPr>
            <w:noProof/>
          </w:rPr>
          <w:t>14</w:t>
        </w:r>
      </w:fldSimple>
      <w:bookmarkEnd w:id="165"/>
      <w:r>
        <w:t>.</w:t>
      </w:r>
      <w:r w:rsidRPr="009965DD">
        <w:t xml:space="preserve"> </w:t>
      </w:r>
      <w:r>
        <w:t>Riigi hoonete üürnikud (osakaal kasutatava pinna järgi)</w:t>
      </w:r>
    </w:p>
    <w:p w:rsidR="00B6319C" w:rsidRDefault="00B6319C" w:rsidP="0082564A">
      <w:pPr>
        <w:spacing w:before="120" w:after="120"/>
      </w:pPr>
      <w:r w:rsidRPr="008557C2">
        <w:rPr>
          <w:noProof/>
          <w:lang w:eastAsia="et-EE"/>
        </w:rPr>
        <w:drawing>
          <wp:inline distT="0" distB="0" distL="0" distR="0">
            <wp:extent cx="4552950" cy="2926080"/>
            <wp:effectExtent l="19050" t="0" r="19050" b="7620"/>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6319C" w:rsidRDefault="00B6319C" w:rsidP="0082564A">
      <w:pPr>
        <w:pStyle w:val="Caption"/>
      </w:pPr>
    </w:p>
    <w:p w:rsidR="0082564A" w:rsidRDefault="0082564A" w:rsidP="0082564A">
      <w:pPr>
        <w:pStyle w:val="Caption"/>
      </w:pPr>
      <w:bookmarkStart w:id="166" w:name="_Ref423642678"/>
      <w:r>
        <w:t xml:space="preserve">Tabel </w:t>
      </w:r>
      <w:fldSimple w:instr=" SEQ Tabel \* ARABIC ">
        <w:r w:rsidR="00477322">
          <w:rPr>
            <w:noProof/>
          </w:rPr>
          <w:t>10</w:t>
        </w:r>
      </w:fldSimple>
      <w:bookmarkEnd w:id="166"/>
      <w:r>
        <w:t>.</w:t>
      </w:r>
      <w:r w:rsidRPr="0082564A">
        <w:t xml:space="preserve"> </w:t>
      </w:r>
      <w:r>
        <w:t>Riigi hoonete kasutamiseks andmine üürnike lõikes</w:t>
      </w:r>
    </w:p>
    <w:tbl>
      <w:tblPr>
        <w:tblW w:w="9219" w:type="dxa"/>
        <w:tblInd w:w="65" w:type="dxa"/>
        <w:tblCellMar>
          <w:left w:w="70" w:type="dxa"/>
          <w:right w:w="70" w:type="dxa"/>
        </w:tblCellMar>
        <w:tblLook w:val="04A0"/>
      </w:tblPr>
      <w:tblGrid>
        <w:gridCol w:w="2982"/>
        <w:gridCol w:w="1559"/>
        <w:gridCol w:w="1843"/>
        <w:gridCol w:w="1843"/>
        <w:gridCol w:w="1171"/>
      </w:tblGrid>
      <w:tr w:rsidR="00B6319C" w:rsidRPr="008557C2" w:rsidTr="00171A73">
        <w:trPr>
          <w:trHeight w:val="480"/>
        </w:trPr>
        <w:tc>
          <w:tcPr>
            <w:tcW w:w="2982" w:type="dxa"/>
            <w:tcBorders>
              <w:top w:val="single" w:sz="4" w:space="0" w:color="auto"/>
              <w:left w:val="single" w:sz="4" w:space="0" w:color="auto"/>
              <w:bottom w:val="single" w:sz="4" w:space="0" w:color="auto"/>
              <w:right w:val="single" w:sz="4" w:space="0" w:color="auto"/>
            </w:tcBorders>
            <w:shd w:val="clear" w:color="DBE5F1" w:fill="DBEEF3"/>
            <w:vAlign w:val="bottom"/>
            <w:hideMark/>
          </w:tcPr>
          <w:p w:rsidR="00B6319C" w:rsidRPr="00AC5007" w:rsidRDefault="00B6319C" w:rsidP="0082564A">
            <w:pPr>
              <w:spacing w:before="0"/>
              <w:jc w:val="center"/>
              <w:rPr>
                <w:b/>
                <w:bCs/>
                <w:color w:val="000000"/>
                <w:sz w:val="18"/>
                <w:szCs w:val="18"/>
                <w:lang w:eastAsia="et-EE"/>
              </w:rPr>
            </w:pPr>
            <w:r w:rsidRPr="00AC5007">
              <w:rPr>
                <w:b/>
                <w:bCs/>
                <w:color w:val="000000"/>
                <w:sz w:val="18"/>
                <w:szCs w:val="18"/>
                <w:lang w:eastAsia="et-EE"/>
              </w:rPr>
              <w:t>Üürnik</w:t>
            </w:r>
          </w:p>
        </w:tc>
        <w:tc>
          <w:tcPr>
            <w:tcW w:w="1559" w:type="dxa"/>
            <w:tcBorders>
              <w:top w:val="single" w:sz="4" w:space="0" w:color="auto"/>
              <w:left w:val="nil"/>
              <w:bottom w:val="single" w:sz="4" w:space="0" w:color="auto"/>
              <w:right w:val="single" w:sz="4" w:space="0" w:color="auto"/>
            </w:tcBorders>
            <w:shd w:val="clear" w:color="DBE5F1" w:fill="DBEEF3"/>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Lepingute arv</w:t>
            </w:r>
          </w:p>
        </w:tc>
        <w:tc>
          <w:tcPr>
            <w:tcW w:w="1843" w:type="dxa"/>
            <w:tcBorders>
              <w:top w:val="single" w:sz="4" w:space="0" w:color="auto"/>
              <w:left w:val="nil"/>
              <w:bottom w:val="single" w:sz="4" w:space="0" w:color="auto"/>
              <w:right w:val="single" w:sz="4" w:space="0" w:color="auto"/>
            </w:tcBorders>
            <w:shd w:val="clear" w:color="DBE5F1" w:fill="DBEEF3"/>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Üüripind hoones</w:t>
            </w:r>
            <w:r w:rsidR="0082564A">
              <w:rPr>
                <w:b/>
                <w:bCs/>
                <w:color w:val="000000"/>
                <w:sz w:val="18"/>
                <w:szCs w:val="18"/>
                <w:lang w:eastAsia="et-EE"/>
              </w:rPr>
              <w:t xml:space="preserve"> (m²)</w:t>
            </w:r>
          </w:p>
        </w:tc>
        <w:tc>
          <w:tcPr>
            <w:tcW w:w="1843" w:type="dxa"/>
            <w:tcBorders>
              <w:top w:val="single" w:sz="4" w:space="0" w:color="auto"/>
              <w:left w:val="nil"/>
              <w:bottom w:val="single" w:sz="4" w:space="0" w:color="auto"/>
              <w:right w:val="single" w:sz="4" w:space="0" w:color="auto"/>
            </w:tcBorders>
            <w:shd w:val="clear" w:color="DBE5F1" w:fill="DBEEF3"/>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 xml:space="preserve">Kasutustasu </w:t>
            </w:r>
            <w:r w:rsidR="0082564A">
              <w:rPr>
                <w:b/>
                <w:bCs/>
                <w:color w:val="000000"/>
                <w:sz w:val="18"/>
                <w:szCs w:val="18"/>
                <w:lang w:eastAsia="et-EE"/>
              </w:rPr>
              <w:t>(€/</w:t>
            </w:r>
            <w:r w:rsidRPr="00AC5007">
              <w:rPr>
                <w:b/>
                <w:bCs/>
                <w:color w:val="000000"/>
                <w:sz w:val="18"/>
                <w:szCs w:val="18"/>
                <w:lang w:eastAsia="et-EE"/>
              </w:rPr>
              <w:t>aastas</w:t>
            </w:r>
            <w:r w:rsidR="0082564A">
              <w:rPr>
                <w:b/>
                <w:bCs/>
                <w:color w:val="000000"/>
                <w:sz w:val="18"/>
                <w:szCs w:val="18"/>
                <w:lang w:eastAsia="et-EE"/>
              </w:rPr>
              <w:t>)</w:t>
            </w:r>
          </w:p>
        </w:tc>
        <w:tc>
          <w:tcPr>
            <w:tcW w:w="992" w:type="dxa"/>
            <w:tcBorders>
              <w:top w:val="single" w:sz="4" w:space="0" w:color="auto"/>
              <w:left w:val="nil"/>
              <w:bottom w:val="single" w:sz="4" w:space="0" w:color="auto"/>
              <w:right w:val="single" w:sz="4" w:space="0" w:color="auto"/>
            </w:tcBorders>
            <w:shd w:val="clear" w:color="DBE5F1" w:fill="DBEEF3"/>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€/m</w:t>
            </w:r>
            <w:r w:rsidR="0082564A">
              <w:rPr>
                <w:b/>
                <w:bCs/>
                <w:color w:val="000000"/>
                <w:sz w:val="18"/>
                <w:szCs w:val="18"/>
                <w:lang w:eastAsia="et-EE"/>
              </w:rPr>
              <w:t>²</w:t>
            </w:r>
            <w:r w:rsidR="00BC328B">
              <w:rPr>
                <w:b/>
                <w:bCs/>
                <w:color w:val="000000"/>
                <w:sz w:val="18"/>
                <w:szCs w:val="18"/>
                <w:lang w:eastAsia="et-EE"/>
              </w:rPr>
              <w:t>/kuus</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Avalik-õiguslik juriidiline isik</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7</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1 824</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124</w:t>
            </w:r>
            <w:r w:rsidR="00746C6C">
              <w:rPr>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0,06</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Eraõiguslik juriidiline isik</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83</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27 586</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266 424</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0,80</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Füüsiline isik</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610</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34 372</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106 098</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0,26</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Kohalik omavalitsus</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17</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9 240</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4 855</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0,04</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Mittetulundusühing</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53</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6 626</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30 763</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0,39</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Sihtasutus</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18</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2 759</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28 50</w:t>
            </w:r>
            <w:r w:rsidR="00746C6C">
              <w:rPr>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0,86</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auto" w:fill="auto"/>
            <w:noWrap/>
            <w:vAlign w:val="bottom"/>
            <w:hideMark/>
          </w:tcPr>
          <w:p w:rsidR="00B6319C" w:rsidRPr="00AC5007" w:rsidRDefault="00B6319C" w:rsidP="0082564A">
            <w:pPr>
              <w:spacing w:before="0"/>
              <w:jc w:val="left"/>
              <w:rPr>
                <w:color w:val="000000"/>
                <w:sz w:val="18"/>
                <w:szCs w:val="18"/>
                <w:lang w:eastAsia="et-EE"/>
              </w:rPr>
            </w:pPr>
            <w:r w:rsidRPr="00AC5007">
              <w:rPr>
                <w:color w:val="000000"/>
                <w:sz w:val="18"/>
                <w:szCs w:val="18"/>
                <w:lang w:eastAsia="et-EE"/>
              </w:rPr>
              <w:t>Välisriik</w:t>
            </w:r>
          </w:p>
        </w:tc>
        <w:tc>
          <w:tcPr>
            <w:tcW w:w="1559"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3</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6 108</w:t>
            </w:r>
          </w:p>
        </w:tc>
        <w:tc>
          <w:tcPr>
            <w:tcW w:w="1843"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B6319C" w:rsidRPr="00AC5007" w:rsidRDefault="00B6319C" w:rsidP="00171A73">
            <w:pPr>
              <w:spacing w:before="0"/>
              <w:jc w:val="center"/>
              <w:rPr>
                <w:color w:val="000000"/>
                <w:sz w:val="18"/>
                <w:szCs w:val="18"/>
                <w:lang w:eastAsia="et-EE"/>
              </w:rPr>
            </w:pPr>
            <w:r w:rsidRPr="00AC5007">
              <w:rPr>
                <w:color w:val="000000"/>
                <w:sz w:val="18"/>
                <w:szCs w:val="18"/>
                <w:lang w:eastAsia="et-EE"/>
              </w:rPr>
              <w:t>0,00</w:t>
            </w:r>
          </w:p>
        </w:tc>
      </w:tr>
      <w:tr w:rsidR="00B6319C" w:rsidRPr="008557C2" w:rsidTr="00171A73">
        <w:trPr>
          <w:trHeight w:val="288"/>
        </w:trPr>
        <w:tc>
          <w:tcPr>
            <w:tcW w:w="2982" w:type="dxa"/>
            <w:tcBorders>
              <w:top w:val="nil"/>
              <w:left w:val="single" w:sz="4" w:space="0" w:color="auto"/>
              <w:bottom w:val="single" w:sz="4" w:space="0" w:color="auto"/>
              <w:right w:val="single" w:sz="4" w:space="0" w:color="auto"/>
            </w:tcBorders>
            <w:shd w:val="clear" w:color="DBE5F1" w:fill="DBEEF3"/>
            <w:noWrap/>
            <w:vAlign w:val="bottom"/>
            <w:hideMark/>
          </w:tcPr>
          <w:p w:rsidR="00B6319C" w:rsidRPr="00AC5007" w:rsidRDefault="00B6319C" w:rsidP="0082564A">
            <w:pPr>
              <w:spacing w:before="0"/>
              <w:jc w:val="left"/>
              <w:rPr>
                <w:b/>
                <w:bCs/>
                <w:color w:val="000000"/>
                <w:sz w:val="18"/>
                <w:szCs w:val="18"/>
                <w:lang w:eastAsia="et-EE"/>
              </w:rPr>
            </w:pPr>
            <w:r w:rsidRPr="00AC5007">
              <w:rPr>
                <w:b/>
                <w:bCs/>
                <w:color w:val="000000"/>
                <w:sz w:val="18"/>
                <w:szCs w:val="18"/>
                <w:lang w:eastAsia="et-EE"/>
              </w:rPr>
              <w:t>Kokku</w:t>
            </w:r>
          </w:p>
        </w:tc>
        <w:tc>
          <w:tcPr>
            <w:tcW w:w="1559" w:type="dxa"/>
            <w:tcBorders>
              <w:top w:val="nil"/>
              <w:left w:val="nil"/>
              <w:bottom w:val="single" w:sz="4" w:space="0" w:color="auto"/>
              <w:right w:val="single" w:sz="4" w:space="0" w:color="auto"/>
            </w:tcBorders>
            <w:shd w:val="clear" w:color="DBE5F1" w:fill="DBEEF3"/>
            <w:noWrap/>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791</w:t>
            </w:r>
          </w:p>
        </w:tc>
        <w:tc>
          <w:tcPr>
            <w:tcW w:w="1843" w:type="dxa"/>
            <w:tcBorders>
              <w:top w:val="nil"/>
              <w:left w:val="nil"/>
              <w:bottom w:val="single" w:sz="4" w:space="0" w:color="auto"/>
              <w:right w:val="single" w:sz="4" w:space="0" w:color="auto"/>
            </w:tcBorders>
            <w:shd w:val="clear" w:color="DBE5F1" w:fill="DBEEF3"/>
            <w:noWrap/>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88 515</w:t>
            </w:r>
          </w:p>
        </w:tc>
        <w:tc>
          <w:tcPr>
            <w:tcW w:w="1843" w:type="dxa"/>
            <w:tcBorders>
              <w:top w:val="nil"/>
              <w:left w:val="nil"/>
              <w:bottom w:val="single" w:sz="4" w:space="0" w:color="auto"/>
              <w:right w:val="single" w:sz="4" w:space="0" w:color="auto"/>
            </w:tcBorders>
            <w:shd w:val="clear" w:color="DBE5F1" w:fill="DBEEF3"/>
            <w:noWrap/>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437 8</w:t>
            </w:r>
            <w:r w:rsidR="00BC328B">
              <w:rPr>
                <w:b/>
                <w:bCs/>
                <w:color w:val="000000"/>
                <w:sz w:val="18"/>
                <w:szCs w:val="18"/>
                <w:lang w:eastAsia="et-EE"/>
              </w:rPr>
              <w:t>80</w:t>
            </w:r>
          </w:p>
        </w:tc>
        <w:tc>
          <w:tcPr>
            <w:tcW w:w="992" w:type="dxa"/>
            <w:tcBorders>
              <w:top w:val="nil"/>
              <w:left w:val="nil"/>
              <w:bottom w:val="single" w:sz="4" w:space="0" w:color="auto"/>
              <w:right w:val="single" w:sz="4" w:space="0" w:color="auto"/>
            </w:tcBorders>
            <w:shd w:val="clear" w:color="000000" w:fill="DBEEF3"/>
            <w:noWrap/>
            <w:vAlign w:val="center"/>
            <w:hideMark/>
          </w:tcPr>
          <w:p w:rsidR="00B6319C" w:rsidRPr="00AC5007" w:rsidRDefault="00B6319C" w:rsidP="00171A73">
            <w:pPr>
              <w:spacing w:before="0"/>
              <w:jc w:val="center"/>
              <w:rPr>
                <w:b/>
                <w:bCs/>
                <w:color w:val="000000"/>
                <w:sz w:val="18"/>
                <w:szCs w:val="18"/>
                <w:lang w:eastAsia="et-EE"/>
              </w:rPr>
            </w:pPr>
            <w:r w:rsidRPr="00AC5007">
              <w:rPr>
                <w:b/>
                <w:bCs/>
                <w:color w:val="000000"/>
                <w:sz w:val="18"/>
                <w:szCs w:val="18"/>
                <w:lang w:eastAsia="et-EE"/>
              </w:rPr>
              <w:t>0,41</w:t>
            </w:r>
          </w:p>
        </w:tc>
      </w:tr>
    </w:tbl>
    <w:p w:rsidR="00B6319C" w:rsidRDefault="00B6319C" w:rsidP="00C470A0">
      <w:pPr>
        <w:pStyle w:val="Pealkiri3"/>
      </w:pPr>
      <w:bookmarkStart w:id="167" w:name="_Toc418016357"/>
      <w:bookmarkStart w:id="168" w:name="_Toc433980700"/>
      <w:r w:rsidRPr="00C470A0">
        <w:t>Hoonestamata</w:t>
      </w:r>
      <w:r w:rsidRPr="009965DD">
        <w:t xml:space="preserve"> maa kasutamiseks andmine</w:t>
      </w:r>
      <w:bookmarkEnd w:id="167"/>
      <w:bookmarkEnd w:id="168"/>
      <w:r w:rsidRPr="009965DD">
        <w:t xml:space="preserve"> </w:t>
      </w:r>
    </w:p>
    <w:p w:rsidR="00B6319C" w:rsidRDefault="00B6319C" w:rsidP="00B6319C">
      <w:pPr>
        <w:spacing w:before="240"/>
      </w:pPr>
      <w:r>
        <w:t>Hoonestamata maa kasutamiseks andmistest on käesolevas peatükis kajastatud riigivaraseaduse alusel sõlmitud lepingud: maa rentimine, rentimine kaevandamiseks, kasutusvaldus, hoonestusõigus, isi</w:t>
      </w:r>
      <w:r w:rsidR="00D5410A">
        <w:t>klik kasutusõigus ja servituut.</w:t>
      </w:r>
      <w:r>
        <w:t xml:space="preserve"> RVS-i alusel on kasutada antud 349 252 ha maad kasutustasuga </w:t>
      </w:r>
      <w:r w:rsidRPr="000C3916">
        <w:t>2,8 mln</w:t>
      </w:r>
      <w:r>
        <w:t xml:space="preserve"> € aastas (vt </w:t>
      </w:r>
      <w:r w:rsidR="00A85FDC">
        <w:fldChar w:fldCharType="begin"/>
      </w:r>
      <w:r>
        <w:instrText xml:space="preserve"> REF _Ref420071795 \h </w:instrText>
      </w:r>
      <w:r w:rsidR="00A85FDC">
        <w:fldChar w:fldCharType="separate"/>
      </w:r>
      <w:r w:rsidR="00477322">
        <w:t xml:space="preserve">Tabel </w:t>
      </w:r>
      <w:r w:rsidR="00477322">
        <w:rPr>
          <w:noProof/>
        </w:rPr>
        <w:t>11</w:t>
      </w:r>
      <w:r w:rsidR="00A85FDC">
        <w:fldChar w:fldCharType="end"/>
      </w:r>
      <w:r>
        <w:t xml:space="preserve">). </w:t>
      </w:r>
    </w:p>
    <w:p w:rsidR="00B6319C" w:rsidRDefault="00B6319C" w:rsidP="00B6319C">
      <w:pPr>
        <w:spacing w:before="240"/>
      </w:pPr>
      <w:r>
        <w:t>Maareformiseaduse alusel sõlmitud kasutusvaldusi ja hoones</w:t>
      </w:r>
      <w:r w:rsidR="00D5410A">
        <w:t xml:space="preserve">tusõigusi käsitleb peatükk </w:t>
      </w:r>
      <w:r w:rsidR="00A85FDC">
        <w:fldChar w:fldCharType="begin"/>
      </w:r>
      <w:r w:rsidR="00D5410A">
        <w:instrText xml:space="preserve"> REF _Ref423641411 \r \h </w:instrText>
      </w:r>
      <w:r w:rsidR="00A85FDC">
        <w:fldChar w:fldCharType="separate"/>
      </w:r>
      <w:r w:rsidR="00477322">
        <w:t>1.4.3</w:t>
      </w:r>
      <w:r w:rsidR="00A85FDC">
        <w:fldChar w:fldCharType="end"/>
      </w:r>
      <w:r>
        <w:t>.</w:t>
      </w:r>
    </w:p>
    <w:p w:rsidR="00B6319C" w:rsidRDefault="00B6319C" w:rsidP="00B6319C">
      <w:pPr>
        <w:pStyle w:val="Caption"/>
      </w:pPr>
      <w:bookmarkStart w:id="169" w:name="_Ref420071795"/>
      <w:r>
        <w:t xml:space="preserve">Tabel </w:t>
      </w:r>
      <w:fldSimple w:instr=" SEQ Tabel \* ARABIC ">
        <w:r w:rsidR="00477322">
          <w:rPr>
            <w:noProof/>
          </w:rPr>
          <w:t>11</w:t>
        </w:r>
      </w:fldSimple>
      <w:bookmarkEnd w:id="169"/>
      <w:r>
        <w:t>.</w:t>
      </w:r>
      <w:r w:rsidRPr="00DD2EDA">
        <w:t xml:space="preserve"> </w:t>
      </w:r>
      <w:r>
        <w:t>Hoonestamata maa kasutamiseks andmine lepingu liigiti</w:t>
      </w:r>
    </w:p>
    <w:tbl>
      <w:tblPr>
        <w:tblW w:w="8560" w:type="dxa"/>
        <w:tblInd w:w="65" w:type="dxa"/>
        <w:tblCellMar>
          <w:left w:w="70" w:type="dxa"/>
          <w:right w:w="70" w:type="dxa"/>
        </w:tblCellMar>
        <w:tblLook w:val="04A0"/>
      </w:tblPr>
      <w:tblGrid>
        <w:gridCol w:w="2680"/>
        <w:gridCol w:w="1640"/>
        <w:gridCol w:w="1920"/>
        <w:gridCol w:w="2320"/>
      </w:tblGrid>
      <w:tr w:rsidR="00B6319C" w:rsidRPr="00303F8D" w:rsidTr="00D5410A">
        <w:trPr>
          <w:trHeight w:hRule="exact" w:val="454"/>
        </w:trPr>
        <w:tc>
          <w:tcPr>
            <w:tcW w:w="2680" w:type="dxa"/>
            <w:tcBorders>
              <w:top w:val="single" w:sz="4" w:space="0" w:color="auto"/>
              <w:left w:val="single" w:sz="4" w:space="0" w:color="auto"/>
              <w:bottom w:val="single" w:sz="4" w:space="0" w:color="auto"/>
              <w:right w:val="single" w:sz="4" w:space="0" w:color="auto"/>
            </w:tcBorders>
            <w:shd w:val="clear" w:color="000000" w:fill="DBEEF3"/>
            <w:vAlign w:val="bottom"/>
            <w:hideMark/>
          </w:tcPr>
          <w:p w:rsidR="00B6319C" w:rsidRPr="00303F8D" w:rsidRDefault="00B6319C" w:rsidP="00CD371C">
            <w:pPr>
              <w:jc w:val="left"/>
              <w:rPr>
                <w:b/>
                <w:bCs/>
                <w:color w:val="000000"/>
                <w:sz w:val="18"/>
                <w:szCs w:val="18"/>
                <w:lang w:eastAsia="et-EE"/>
              </w:rPr>
            </w:pPr>
            <w:r w:rsidRPr="00303F8D">
              <w:rPr>
                <w:b/>
                <w:bCs/>
                <w:color w:val="000000"/>
                <w:sz w:val="18"/>
                <w:szCs w:val="18"/>
                <w:lang w:eastAsia="et-EE"/>
              </w:rPr>
              <w:t>Lepingu liik</w:t>
            </w:r>
          </w:p>
        </w:tc>
        <w:tc>
          <w:tcPr>
            <w:tcW w:w="1640"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303F8D" w:rsidRDefault="00B6319C" w:rsidP="00CD371C">
            <w:pPr>
              <w:jc w:val="left"/>
              <w:rPr>
                <w:b/>
                <w:bCs/>
                <w:color w:val="000000"/>
                <w:sz w:val="18"/>
                <w:szCs w:val="18"/>
                <w:lang w:eastAsia="et-EE"/>
              </w:rPr>
            </w:pPr>
            <w:r w:rsidRPr="00303F8D">
              <w:rPr>
                <w:b/>
                <w:bCs/>
                <w:color w:val="000000"/>
                <w:sz w:val="18"/>
                <w:szCs w:val="18"/>
                <w:lang w:eastAsia="et-EE"/>
              </w:rPr>
              <w:t>Lepingute arv</w:t>
            </w:r>
          </w:p>
        </w:tc>
        <w:tc>
          <w:tcPr>
            <w:tcW w:w="1920"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303F8D" w:rsidRDefault="00B6319C" w:rsidP="00CD371C">
            <w:pPr>
              <w:jc w:val="center"/>
              <w:rPr>
                <w:b/>
                <w:bCs/>
                <w:color w:val="000000"/>
                <w:sz w:val="18"/>
                <w:szCs w:val="18"/>
                <w:lang w:eastAsia="et-EE"/>
              </w:rPr>
            </w:pPr>
            <w:r w:rsidRPr="00303F8D">
              <w:rPr>
                <w:b/>
                <w:bCs/>
                <w:color w:val="000000"/>
                <w:sz w:val="18"/>
                <w:szCs w:val="18"/>
                <w:lang w:eastAsia="et-EE"/>
              </w:rPr>
              <w:t xml:space="preserve"> maa pind (ha)</w:t>
            </w:r>
          </w:p>
        </w:tc>
        <w:tc>
          <w:tcPr>
            <w:tcW w:w="2320"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303F8D" w:rsidRDefault="00B6319C" w:rsidP="00D5410A">
            <w:pPr>
              <w:jc w:val="left"/>
              <w:rPr>
                <w:b/>
                <w:bCs/>
                <w:color w:val="000000"/>
                <w:sz w:val="18"/>
                <w:szCs w:val="18"/>
                <w:lang w:eastAsia="et-EE"/>
              </w:rPr>
            </w:pPr>
            <w:r w:rsidRPr="00303F8D">
              <w:rPr>
                <w:b/>
                <w:bCs/>
                <w:color w:val="000000"/>
                <w:sz w:val="18"/>
                <w:szCs w:val="18"/>
                <w:lang w:eastAsia="et-EE"/>
              </w:rPr>
              <w:t xml:space="preserve">kasutustasu </w:t>
            </w:r>
            <w:r w:rsidR="00D5410A">
              <w:rPr>
                <w:b/>
                <w:bCs/>
                <w:color w:val="000000"/>
                <w:sz w:val="18"/>
                <w:szCs w:val="18"/>
                <w:lang w:eastAsia="et-EE"/>
              </w:rPr>
              <w:t>(</w:t>
            </w:r>
            <w:r w:rsidRPr="00303F8D">
              <w:rPr>
                <w:b/>
                <w:bCs/>
                <w:color w:val="000000"/>
                <w:sz w:val="18"/>
                <w:szCs w:val="18"/>
                <w:lang w:eastAsia="et-EE"/>
              </w:rPr>
              <w:t>€</w:t>
            </w:r>
            <w:r w:rsidR="00D5410A">
              <w:rPr>
                <w:b/>
                <w:bCs/>
                <w:color w:val="000000"/>
                <w:sz w:val="18"/>
                <w:szCs w:val="18"/>
                <w:lang w:eastAsia="et-EE"/>
              </w:rPr>
              <w:t>/</w:t>
            </w:r>
            <w:r w:rsidR="00D5410A" w:rsidRPr="00303F8D">
              <w:rPr>
                <w:b/>
                <w:bCs/>
                <w:color w:val="000000"/>
                <w:sz w:val="18"/>
                <w:szCs w:val="18"/>
                <w:lang w:eastAsia="et-EE"/>
              </w:rPr>
              <w:t>aastas</w:t>
            </w:r>
            <w:r w:rsidR="00D5410A">
              <w:rPr>
                <w:b/>
                <w:bCs/>
                <w:color w:val="000000"/>
                <w:sz w:val="18"/>
                <w:szCs w:val="18"/>
                <w:lang w:eastAsia="et-EE"/>
              </w:rPr>
              <w:t>)</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maa</w:t>
            </w:r>
            <w:r>
              <w:rPr>
                <w:color w:val="000000"/>
                <w:sz w:val="18"/>
                <w:szCs w:val="18"/>
                <w:lang w:eastAsia="et-EE"/>
              </w:rPr>
              <w:t>tulundusmaa</w:t>
            </w:r>
            <w:r w:rsidRPr="00303F8D">
              <w:rPr>
                <w:color w:val="000000"/>
                <w:sz w:val="18"/>
                <w:szCs w:val="18"/>
                <w:lang w:eastAsia="et-EE"/>
              </w:rPr>
              <w:t xml:space="preserve"> rentimine</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1 887</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298 001</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1 535 94</w:t>
            </w:r>
            <w:r>
              <w:rPr>
                <w:color w:val="000000"/>
                <w:sz w:val="18"/>
                <w:szCs w:val="18"/>
                <w:lang w:eastAsia="et-EE"/>
              </w:rPr>
              <w:t>3</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rentimine kaevandamiseks</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330</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39 746</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476 806</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hoonestusõigus</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273</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9 600</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Pr>
                <w:color w:val="000000"/>
                <w:sz w:val="18"/>
                <w:szCs w:val="18"/>
                <w:lang w:eastAsia="et-EE"/>
              </w:rPr>
              <w:t>762 543</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kasutusvaldus</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66</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1 905</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Pr>
                <w:color w:val="000000"/>
                <w:sz w:val="18"/>
                <w:szCs w:val="18"/>
                <w:lang w:eastAsia="et-EE"/>
              </w:rPr>
              <w:t>32 378</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isiklik kasutusõigus</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4 410</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Pr>
                <w:color w:val="000000"/>
                <w:sz w:val="18"/>
                <w:szCs w:val="18"/>
                <w:lang w:eastAsia="et-EE"/>
              </w:rPr>
              <w:t>RKVR-is ei koguta</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Pr>
                <w:color w:val="000000"/>
                <w:sz w:val="18"/>
                <w:szCs w:val="18"/>
                <w:lang w:eastAsia="et-EE"/>
              </w:rPr>
              <w:t>22 920</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left"/>
              <w:rPr>
                <w:color w:val="000000"/>
                <w:sz w:val="18"/>
                <w:szCs w:val="18"/>
                <w:lang w:eastAsia="et-EE"/>
              </w:rPr>
            </w:pPr>
            <w:r w:rsidRPr="00303F8D">
              <w:rPr>
                <w:color w:val="000000"/>
                <w:sz w:val="18"/>
                <w:szCs w:val="18"/>
                <w:lang w:eastAsia="et-EE"/>
              </w:rPr>
              <w:t>reaalservituut</w:t>
            </w:r>
          </w:p>
        </w:tc>
        <w:tc>
          <w:tcPr>
            <w:tcW w:w="164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sidRPr="00303F8D">
              <w:rPr>
                <w:color w:val="000000"/>
                <w:sz w:val="18"/>
                <w:szCs w:val="18"/>
                <w:lang w:eastAsia="et-EE"/>
              </w:rPr>
              <w:t>128</w:t>
            </w:r>
          </w:p>
        </w:tc>
        <w:tc>
          <w:tcPr>
            <w:tcW w:w="19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rFonts w:ascii="Calibri" w:hAnsi="Calibri"/>
                <w:color w:val="000000"/>
                <w:lang w:eastAsia="et-EE"/>
              </w:rPr>
            </w:pPr>
            <w:r>
              <w:rPr>
                <w:color w:val="000000"/>
                <w:sz w:val="18"/>
                <w:szCs w:val="18"/>
                <w:lang w:eastAsia="et-EE"/>
              </w:rPr>
              <w:t>RKVR-is ei koguta</w:t>
            </w:r>
          </w:p>
        </w:tc>
        <w:tc>
          <w:tcPr>
            <w:tcW w:w="2320" w:type="dxa"/>
            <w:tcBorders>
              <w:top w:val="nil"/>
              <w:left w:val="nil"/>
              <w:bottom w:val="single" w:sz="4" w:space="0" w:color="auto"/>
              <w:right w:val="single" w:sz="4" w:space="0" w:color="auto"/>
            </w:tcBorders>
            <w:shd w:val="clear" w:color="000000" w:fill="FFFFFF"/>
            <w:noWrap/>
            <w:vAlign w:val="center"/>
            <w:hideMark/>
          </w:tcPr>
          <w:p w:rsidR="00B6319C" w:rsidRPr="00303F8D" w:rsidRDefault="00B6319C" w:rsidP="00D5410A">
            <w:pPr>
              <w:spacing w:before="120"/>
              <w:jc w:val="center"/>
              <w:rPr>
                <w:color w:val="000000"/>
                <w:sz w:val="18"/>
                <w:szCs w:val="18"/>
                <w:lang w:eastAsia="et-EE"/>
              </w:rPr>
            </w:pPr>
            <w:r>
              <w:rPr>
                <w:color w:val="000000"/>
                <w:sz w:val="18"/>
                <w:szCs w:val="18"/>
                <w:lang w:eastAsia="et-EE"/>
              </w:rPr>
              <w:t>11 484</w:t>
            </w:r>
          </w:p>
        </w:tc>
      </w:tr>
      <w:tr w:rsidR="00B6319C" w:rsidRPr="00303F8D" w:rsidTr="00D5410A">
        <w:trPr>
          <w:trHeight w:hRule="exact" w:val="340"/>
        </w:trPr>
        <w:tc>
          <w:tcPr>
            <w:tcW w:w="2680" w:type="dxa"/>
            <w:tcBorders>
              <w:top w:val="nil"/>
              <w:left w:val="single" w:sz="4" w:space="0" w:color="auto"/>
              <w:bottom w:val="single" w:sz="4" w:space="0" w:color="auto"/>
              <w:right w:val="single" w:sz="4" w:space="0" w:color="auto"/>
            </w:tcBorders>
            <w:shd w:val="clear" w:color="DBE5F1" w:fill="DBEEF3"/>
            <w:noWrap/>
            <w:vAlign w:val="center"/>
            <w:hideMark/>
          </w:tcPr>
          <w:p w:rsidR="00B6319C" w:rsidRPr="00303F8D" w:rsidRDefault="00B6319C" w:rsidP="00D5410A">
            <w:pPr>
              <w:spacing w:before="120"/>
              <w:jc w:val="left"/>
              <w:rPr>
                <w:b/>
                <w:bCs/>
                <w:color w:val="000000"/>
                <w:sz w:val="18"/>
                <w:szCs w:val="18"/>
                <w:lang w:eastAsia="et-EE"/>
              </w:rPr>
            </w:pPr>
            <w:r w:rsidRPr="00303F8D">
              <w:rPr>
                <w:b/>
                <w:bCs/>
                <w:color w:val="000000"/>
                <w:sz w:val="18"/>
                <w:szCs w:val="18"/>
                <w:lang w:eastAsia="et-EE"/>
              </w:rPr>
              <w:t>Kokku</w:t>
            </w:r>
          </w:p>
        </w:tc>
        <w:tc>
          <w:tcPr>
            <w:tcW w:w="1640" w:type="dxa"/>
            <w:tcBorders>
              <w:top w:val="nil"/>
              <w:left w:val="nil"/>
              <w:bottom w:val="single" w:sz="4" w:space="0" w:color="auto"/>
              <w:right w:val="single" w:sz="4" w:space="0" w:color="auto"/>
            </w:tcBorders>
            <w:shd w:val="clear" w:color="DBE5F1" w:fill="DBEEF3"/>
            <w:noWrap/>
            <w:vAlign w:val="center"/>
            <w:hideMark/>
          </w:tcPr>
          <w:p w:rsidR="00B6319C" w:rsidRPr="00303F8D" w:rsidRDefault="00B6319C" w:rsidP="00D5410A">
            <w:pPr>
              <w:spacing w:before="120"/>
              <w:jc w:val="center"/>
              <w:rPr>
                <w:b/>
                <w:bCs/>
                <w:color w:val="000000"/>
                <w:sz w:val="18"/>
                <w:szCs w:val="18"/>
                <w:lang w:eastAsia="et-EE"/>
              </w:rPr>
            </w:pPr>
            <w:r w:rsidRPr="00303F8D">
              <w:rPr>
                <w:b/>
                <w:bCs/>
                <w:color w:val="000000"/>
                <w:sz w:val="18"/>
                <w:szCs w:val="18"/>
                <w:lang w:eastAsia="et-EE"/>
              </w:rPr>
              <w:t>7 094</w:t>
            </w:r>
          </w:p>
        </w:tc>
        <w:tc>
          <w:tcPr>
            <w:tcW w:w="1920" w:type="dxa"/>
            <w:tcBorders>
              <w:top w:val="nil"/>
              <w:left w:val="nil"/>
              <w:bottom w:val="single" w:sz="4" w:space="0" w:color="auto"/>
              <w:right w:val="single" w:sz="4" w:space="0" w:color="auto"/>
            </w:tcBorders>
            <w:shd w:val="clear" w:color="000000" w:fill="DBEEF3"/>
            <w:noWrap/>
            <w:vAlign w:val="center"/>
            <w:hideMark/>
          </w:tcPr>
          <w:p w:rsidR="00B6319C" w:rsidRPr="00303F8D" w:rsidRDefault="00B6319C" w:rsidP="00D5410A">
            <w:pPr>
              <w:spacing w:before="120"/>
              <w:jc w:val="center"/>
              <w:rPr>
                <w:b/>
                <w:bCs/>
                <w:color w:val="000000"/>
                <w:sz w:val="18"/>
                <w:szCs w:val="18"/>
                <w:lang w:eastAsia="et-EE"/>
              </w:rPr>
            </w:pPr>
            <w:r w:rsidRPr="00303F8D">
              <w:rPr>
                <w:b/>
                <w:bCs/>
                <w:color w:val="000000"/>
                <w:sz w:val="18"/>
                <w:szCs w:val="18"/>
                <w:lang w:eastAsia="et-EE"/>
              </w:rPr>
              <w:t>349 252</w:t>
            </w:r>
          </w:p>
        </w:tc>
        <w:tc>
          <w:tcPr>
            <w:tcW w:w="2320" w:type="dxa"/>
            <w:tcBorders>
              <w:top w:val="nil"/>
              <w:left w:val="nil"/>
              <w:bottom w:val="single" w:sz="4" w:space="0" w:color="auto"/>
              <w:right w:val="single" w:sz="4" w:space="0" w:color="auto"/>
            </w:tcBorders>
            <w:shd w:val="clear" w:color="000000" w:fill="DBEEF3"/>
            <w:noWrap/>
            <w:vAlign w:val="center"/>
            <w:hideMark/>
          </w:tcPr>
          <w:p w:rsidR="00B6319C" w:rsidRPr="00303F8D" w:rsidRDefault="00B6319C" w:rsidP="00D5410A">
            <w:pPr>
              <w:spacing w:before="120"/>
              <w:jc w:val="center"/>
              <w:rPr>
                <w:b/>
                <w:bCs/>
                <w:color w:val="000000"/>
                <w:sz w:val="18"/>
                <w:szCs w:val="18"/>
                <w:lang w:eastAsia="et-EE"/>
              </w:rPr>
            </w:pPr>
            <w:r>
              <w:rPr>
                <w:b/>
                <w:bCs/>
                <w:color w:val="000000"/>
                <w:sz w:val="18"/>
                <w:szCs w:val="18"/>
                <w:lang w:eastAsia="et-EE"/>
              </w:rPr>
              <w:t>2 842 073</w:t>
            </w:r>
          </w:p>
        </w:tc>
      </w:tr>
    </w:tbl>
    <w:p w:rsidR="00B6319C" w:rsidRPr="00BD323B" w:rsidRDefault="00B6319C" w:rsidP="00351253">
      <w:pPr>
        <w:pStyle w:val="ListParagraph"/>
      </w:pPr>
      <w:r w:rsidRPr="005275BB">
        <w:rPr>
          <w:b/>
        </w:rPr>
        <w:t>Maatulundusmaa rendilepingu</w:t>
      </w:r>
      <w:r>
        <w:rPr>
          <w:b/>
        </w:rPr>
        <w:t>tega</w:t>
      </w:r>
      <w:r>
        <w:t xml:space="preserve"> antakse kasutusse enamus (85%) kasutusse antud maast, seepärast on nendest tehtud det</w:t>
      </w:r>
      <w:r w:rsidR="00D5410A">
        <w:t xml:space="preserve">ailsem ülevaade peatükis </w:t>
      </w:r>
      <w:fldSimple w:instr=" REF _Ref423642907 \r \h  \* MERGEFORMAT ">
        <w:r w:rsidR="00477322">
          <w:t>1.4.2.1</w:t>
        </w:r>
      </w:fldSimple>
      <w:r>
        <w:t xml:space="preserve">. </w:t>
      </w:r>
    </w:p>
    <w:p w:rsidR="00B6319C" w:rsidRPr="006A4EF6" w:rsidRDefault="00B6319C" w:rsidP="00351253">
      <w:pPr>
        <w:pStyle w:val="ListParagraph"/>
      </w:pPr>
      <w:r w:rsidRPr="00A970F2">
        <w:t>Rentimised kaevandamiseks</w:t>
      </w:r>
      <w:r>
        <w:t>. Maa-ametil on 330 kehtivat lepingut maa rendile andmiseks maavara kaevandamiseks. Kokku antakse kaevandamiseks maad rendile 39 746 ha aastatasuga 477 tuhat eurot.</w:t>
      </w:r>
    </w:p>
    <w:p w:rsidR="00B6319C" w:rsidRPr="005275BB" w:rsidRDefault="00B6319C" w:rsidP="00351253">
      <w:pPr>
        <w:pStyle w:val="ListParagraph"/>
      </w:pPr>
      <w:r>
        <w:rPr>
          <w:b/>
        </w:rPr>
        <w:t xml:space="preserve">Hoonestusõiguse </w:t>
      </w:r>
      <w:r w:rsidR="00D5410A">
        <w:t xml:space="preserve">seadmise </w:t>
      </w:r>
      <w:r>
        <w:t>lepinguid on sõlmitud</w:t>
      </w:r>
      <w:r w:rsidRPr="006A4EF6">
        <w:t xml:space="preserve"> 273</w:t>
      </w:r>
      <w:r>
        <w:t xml:space="preserve">, aastase kasutustasuga 760 </w:t>
      </w:r>
      <w:r w:rsidR="00D5410A">
        <w:t>000</w:t>
      </w:r>
      <w:r>
        <w:t xml:space="preserve"> eurot. Kõige rohke</w:t>
      </w:r>
      <w:r w:rsidR="00D5410A">
        <w:t>m hoonestusõigusi</w:t>
      </w:r>
      <w:r>
        <w:t xml:space="preserve"> (184) on sõlminud Majandus- ja Kommunikatsiooniministeerium, peamiselt raudteetaristu majandamiseks. Siseministeeriumil on 25 hoonestusõiguse lepingut, sellest 21 kirikute- ja koguduste kasuks. Teised valitsejad on sõlminud üksikuid lepinguid.</w:t>
      </w:r>
    </w:p>
    <w:p w:rsidR="00B6319C" w:rsidRPr="00067046" w:rsidRDefault="00B6319C" w:rsidP="00351253">
      <w:pPr>
        <w:pStyle w:val="ListParagraph"/>
      </w:pPr>
      <w:r>
        <w:rPr>
          <w:b/>
        </w:rPr>
        <w:t xml:space="preserve">Kasutusvaldusi </w:t>
      </w:r>
      <w:r w:rsidRPr="00067046">
        <w:t>on riik seadnud 66</w:t>
      </w:r>
      <w:r>
        <w:t>, aastase kasutustasuga</w:t>
      </w:r>
      <w:r w:rsidRPr="00067046">
        <w:t xml:space="preserve"> </w:t>
      </w:r>
      <w:r>
        <w:t>32 000 eurot. Enamus kasutusvaldusi on sõlminud Majandus-ja Kommunikatsiooniministeerium teede majandamisega tegelevate ettevõtete kasuks (AS Eesti Teed, AS Järva Teed, Lääne Teed OÜ jms).</w:t>
      </w:r>
    </w:p>
    <w:p w:rsidR="00B6319C" w:rsidRDefault="00B6319C" w:rsidP="00351253">
      <w:pPr>
        <w:pStyle w:val="ListParagraph"/>
      </w:pPr>
      <w:r w:rsidRPr="005275BB">
        <w:rPr>
          <w:b/>
        </w:rPr>
        <w:t>Isikliku kasutusõiguse</w:t>
      </w:r>
      <w:r>
        <w:t xml:space="preserve"> lepingute arv on suur. Kokku on arvel 4410 lepingut aastase kasutustasuga 23 000 eurot, enamus neist on sõlmitud Majandus- ja Kommunikatsiooniministeeriumi valitsemisalas teede tehnorajatiste talumiseks. Kasutustasu on enamusel lepingutest määramata, st tegemist on </w:t>
      </w:r>
      <w:r w:rsidR="00D5410A">
        <w:t>tasuta kasutamiseks andmisega.</w:t>
      </w:r>
    </w:p>
    <w:p w:rsidR="00B6319C" w:rsidRPr="002D5F97" w:rsidRDefault="00B6319C" w:rsidP="00351253">
      <w:pPr>
        <w:pStyle w:val="ListParagraph"/>
      </w:pPr>
      <w:r>
        <w:rPr>
          <w:b/>
        </w:rPr>
        <w:t xml:space="preserve">Reaalservituut </w:t>
      </w:r>
      <w:r w:rsidRPr="00DE4455">
        <w:t xml:space="preserve">on </w:t>
      </w:r>
      <w:r w:rsidRPr="00953D51">
        <w:t>seatud</w:t>
      </w:r>
      <w:r>
        <w:t xml:space="preserve"> 128 korral, aastatasuga kokku 11 902 eurot. Tegemist on enamasti Keskkonnaministeeriumi ja RMK poolt seatud lepingutega.</w:t>
      </w:r>
    </w:p>
    <w:p w:rsidR="00B6319C" w:rsidRDefault="00B6319C" w:rsidP="00C470A0">
      <w:pPr>
        <w:pStyle w:val="Pealkiri4"/>
      </w:pPr>
      <w:bookmarkStart w:id="170" w:name="_Ref423642907"/>
      <w:r w:rsidRPr="009929D4">
        <w:t>Hoonestamata maa</w:t>
      </w:r>
      <w:r>
        <w:t>tulundusmaa rendile andmine</w:t>
      </w:r>
      <w:bookmarkEnd w:id="170"/>
    </w:p>
    <w:p w:rsidR="00B6319C" w:rsidRPr="00440350" w:rsidRDefault="00B6319C" w:rsidP="00440350">
      <w:pPr>
        <w:rPr>
          <w:noProof/>
        </w:rPr>
      </w:pPr>
      <w:r w:rsidRPr="0041225D">
        <w:rPr>
          <w:noProof/>
        </w:rPr>
        <w:t>M</w:t>
      </w:r>
      <w:r>
        <w:rPr>
          <w:noProof/>
        </w:rPr>
        <w:t>aatulundusmaa rendilepinguid on</w:t>
      </w:r>
      <w:r w:rsidRPr="0041225D">
        <w:rPr>
          <w:noProof/>
        </w:rPr>
        <w:t xml:space="preserve"> 1887, </w:t>
      </w:r>
      <w:r>
        <w:rPr>
          <w:noProof/>
        </w:rPr>
        <w:t>millega antakse rendile 298 000 ha maad.</w:t>
      </w:r>
      <w:r w:rsidRPr="0041225D">
        <w:rPr>
          <w:noProof/>
        </w:rPr>
        <w:t xml:space="preserve"> </w:t>
      </w:r>
      <w:r>
        <w:rPr>
          <w:noProof/>
        </w:rPr>
        <w:t>Nii lepingute arvu kui kasutusse antud pindala poolest moodustavad</w:t>
      </w:r>
      <w:r w:rsidRPr="0041225D">
        <w:rPr>
          <w:noProof/>
        </w:rPr>
        <w:t xml:space="preserve"> Keskkonnaministeeriumi valitsemisalas</w:t>
      </w:r>
      <w:r>
        <w:rPr>
          <w:noProof/>
        </w:rPr>
        <w:t xml:space="preserve"> sõlmitud lepingud </w:t>
      </w:r>
      <w:r w:rsidRPr="0041225D">
        <w:rPr>
          <w:noProof/>
        </w:rPr>
        <w:t>99%</w:t>
      </w:r>
      <w:r>
        <w:rPr>
          <w:noProof/>
        </w:rPr>
        <w:t xml:space="preserve"> kõikidest maatulundusmaa rendilepingutest (vt </w:t>
      </w:r>
      <w:fldSimple w:instr=" REF _Ref420070468 \h  \* MERGEFORMAT ">
        <w:r w:rsidR="00477322">
          <w:rPr>
            <w:noProof/>
          </w:rPr>
          <w:t>Tabel 12</w:t>
        </w:r>
      </w:fldSimple>
      <w:r>
        <w:rPr>
          <w:noProof/>
        </w:rPr>
        <w:t>).</w:t>
      </w:r>
    </w:p>
    <w:p w:rsidR="00B6319C" w:rsidRDefault="00B6319C" w:rsidP="00B6319C">
      <w:pPr>
        <w:pStyle w:val="Caption"/>
      </w:pPr>
      <w:bookmarkStart w:id="171" w:name="_Ref420070468"/>
      <w:r>
        <w:t xml:space="preserve">Tabel </w:t>
      </w:r>
      <w:fldSimple w:instr=" SEQ Tabel \* ARABIC ">
        <w:r w:rsidR="00477322">
          <w:rPr>
            <w:noProof/>
          </w:rPr>
          <w:t>12</w:t>
        </w:r>
      </w:fldSimple>
      <w:bookmarkEnd w:id="171"/>
      <w:r>
        <w:t xml:space="preserve">. Maatulundusmaa rendile andmine </w:t>
      </w:r>
    </w:p>
    <w:tbl>
      <w:tblPr>
        <w:tblW w:w="8794" w:type="dxa"/>
        <w:tblInd w:w="65" w:type="dxa"/>
        <w:tblCellMar>
          <w:left w:w="70" w:type="dxa"/>
          <w:right w:w="70" w:type="dxa"/>
        </w:tblCellMar>
        <w:tblLook w:val="04A0"/>
      </w:tblPr>
      <w:tblGrid>
        <w:gridCol w:w="3124"/>
        <w:gridCol w:w="1417"/>
        <w:gridCol w:w="1560"/>
        <w:gridCol w:w="1287"/>
        <w:gridCol w:w="1406"/>
      </w:tblGrid>
      <w:tr w:rsidR="00B6319C" w:rsidRPr="00A745A1" w:rsidTr="00CD371C">
        <w:trPr>
          <w:trHeight w:val="300"/>
        </w:trPr>
        <w:tc>
          <w:tcPr>
            <w:tcW w:w="3124"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6319C" w:rsidRPr="009C123C" w:rsidRDefault="00B6319C" w:rsidP="00CD371C">
            <w:pPr>
              <w:jc w:val="left"/>
              <w:rPr>
                <w:b/>
                <w:bCs/>
                <w:color w:val="000000"/>
                <w:sz w:val="18"/>
                <w:szCs w:val="18"/>
                <w:lang w:eastAsia="et-EE"/>
              </w:rPr>
            </w:pPr>
            <w:r w:rsidRPr="009C123C">
              <w:rPr>
                <w:b/>
                <w:bCs/>
                <w:color w:val="000000"/>
                <w:sz w:val="18"/>
                <w:szCs w:val="18"/>
                <w:lang w:eastAsia="et-EE"/>
              </w:rPr>
              <w:t>Rendile andja</w:t>
            </w:r>
          </w:p>
        </w:tc>
        <w:tc>
          <w:tcPr>
            <w:tcW w:w="1417"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9C123C" w:rsidRDefault="00B6319C" w:rsidP="00CD371C">
            <w:pPr>
              <w:jc w:val="center"/>
              <w:rPr>
                <w:b/>
                <w:bCs/>
                <w:color w:val="000000"/>
                <w:sz w:val="18"/>
                <w:szCs w:val="18"/>
                <w:lang w:eastAsia="et-EE"/>
              </w:rPr>
            </w:pPr>
            <w:r w:rsidRPr="009C123C">
              <w:rPr>
                <w:b/>
                <w:bCs/>
                <w:color w:val="000000"/>
                <w:sz w:val="18"/>
                <w:szCs w:val="18"/>
                <w:lang w:eastAsia="et-EE"/>
              </w:rPr>
              <w:t>Lepingute arv</w:t>
            </w:r>
          </w:p>
        </w:tc>
        <w:tc>
          <w:tcPr>
            <w:tcW w:w="1560"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9C123C" w:rsidRDefault="00B6319C" w:rsidP="00CD371C">
            <w:pPr>
              <w:jc w:val="center"/>
              <w:rPr>
                <w:b/>
                <w:bCs/>
                <w:color w:val="000000"/>
                <w:sz w:val="18"/>
                <w:szCs w:val="18"/>
                <w:lang w:eastAsia="et-EE"/>
              </w:rPr>
            </w:pPr>
            <w:r w:rsidRPr="009C123C">
              <w:rPr>
                <w:b/>
                <w:bCs/>
                <w:color w:val="000000"/>
                <w:sz w:val="18"/>
                <w:szCs w:val="18"/>
                <w:lang w:eastAsia="et-EE"/>
              </w:rPr>
              <w:t>Maa pindala</w:t>
            </w:r>
            <w:r w:rsidR="008F5270">
              <w:rPr>
                <w:rStyle w:val="FootnoteReference"/>
                <w:b/>
                <w:bCs/>
                <w:color w:val="000000"/>
                <w:sz w:val="18"/>
                <w:szCs w:val="18"/>
                <w:lang w:eastAsia="et-EE"/>
              </w:rPr>
              <w:footnoteReference w:id="7"/>
            </w:r>
            <w:r w:rsidRPr="009C123C">
              <w:rPr>
                <w:b/>
                <w:bCs/>
                <w:color w:val="000000"/>
                <w:sz w:val="18"/>
                <w:szCs w:val="18"/>
                <w:lang w:eastAsia="et-EE"/>
              </w:rPr>
              <w:t xml:space="preserve"> </w:t>
            </w:r>
            <w:r w:rsidR="00440350">
              <w:rPr>
                <w:b/>
                <w:bCs/>
                <w:color w:val="000000"/>
                <w:sz w:val="18"/>
                <w:szCs w:val="18"/>
                <w:lang w:eastAsia="et-EE"/>
              </w:rPr>
              <w:t>(</w:t>
            </w:r>
            <w:r w:rsidRPr="009C123C">
              <w:rPr>
                <w:b/>
                <w:bCs/>
                <w:color w:val="000000"/>
                <w:sz w:val="18"/>
                <w:szCs w:val="18"/>
                <w:lang w:eastAsia="et-EE"/>
              </w:rPr>
              <w:t>ha</w:t>
            </w:r>
            <w:r w:rsidR="00440350">
              <w:rPr>
                <w:b/>
                <w:bCs/>
                <w:color w:val="000000"/>
                <w:sz w:val="18"/>
                <w:szCs w:val="18"/>
                <w:lang w:eastAsia="et-EE"/>
              </w:rPr>
              <w:t>)</w:t>
            </w:r>
          </w:p>
        </w:tc>
        <w:tc>
          <w:tcPr>
            <w:tcW w:w="1287"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9C123C" w:rsidRDefault="00B6319C" w:rsidP="00CD371C">
            <w:pPr>
              <w:jc w:val="center"/>
              <w:rPr>
                <w:b/>
                <w:bCs/>
                <w:color w:val="000000"/>
                <w:sz w:val="18"/>
                <w:szCs w:val="18"/>
                <w:lang w:eastAsia="et-EE"/>
              </w:rPr>
            </w:pPr>
            <w:r w:rsidRPr="009C123C">
              <w:rPr>
                <w:b/>
                <w:bCs/>
                <w:color w:val="000000"/>
                <w:sz w:val="18"/>
                <w:szCs w:val="18"/>
                <w:lang w:eastAsia="et-EE"/>
              </w:rPr>
              <w:t xml:space="preserve">Kasutustasu </w:t>
            </w:r>
            <w:r w:rsidR="00440350">
              <w:rPr>
                <w:b/>
                <w:bCs/>
                <w:color w:val="000000"/>
                <w:sz w:val="18"/>
                <w:szCs w:val="18"/>
                <w:lang w:eastAsia="et-EE"/>
              </w:rPr>
              <w:t>(€/</w:t>
            </w:r>
            <w:r w:rsidRPr="009C123C">
              <w:rPr>
                <w:b/>
                <w:bCs/>
                <w:color w:val="000000"/>
                <w:sz w:val="18"/>
                <w:szCs w:val="18"/>
                <w:lang w:eastAsia="et-EE"/>
              </w:rPr>
              <w:t>aastas</w:t>
            </w:r>
            <w:r w:rsidR="00440350">
              <w:rPr>
                <w:b/>
                <w:bCs/>
                <w:color w:val="000000"/>
                <w:sz w:val="18"/>
                <w:szCs w:val="18"/>
                <w:lang w:eastAsia="et-EE"/>
              </w:rPr>
              <w:t>)</w:t>
            </w:r>
          </w:p>
        </w:tc>
        <w:tc>
          <w:tcPr>
            <w:tcW w:w="1406"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9C123C" w:rsidRDefault="00440350" w:rsidP="00440350">
            <w:pPr>
              <w:jc w:val="center"/>
              <w:rPr>
                <w:b/>
                <w:bCs/>
                <w:color w:val="000000"/>
                <w:sz w:val="18"/>
                <w:szCs w:val="18"/>
                <w:lang w:eastAsia="et-EE"/>
              </w:rPr>
            </w:pPr>
            <w:r>
              <w:rPr>
                <w:b/>
                <w:bCs/>
                <w:color w:val="000000"/>
                <w:sz w:val="18"/>
                <w:szCs w:val="18"/>
                <w:lang w:eastAsia="et-EE"/>
              </w:rPr>
              <w:t>Kasutustasu (</w:t>
            </w:r>
            <w:r w:rsidR="00B6319C" w:rsidRPr="009C123C">
              <w:rPr>
                <w:b/>
                <w:bCs/>
                <w:color w:val="000000"/>
                <w:sz w:val="18"/>
                <w:szCs w:val="18"/>
                <w:lang w:eastAsia="et-EE"/>
              </w:rPr>
              <w:t>€/ha kuus</w:t>
            </w:r>
            <w:r>
              <w:rPr>
                <w:b/>
                <w:bCs/>
                <w:color w:val="000000"/>
                <w:sz w:val="18"/>
                <w:szCs w:val="18"/>
                <w:lang w:eastAsia="et-EE"/>
              </w:rPr>
              <w:t>)</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Keskkonnaministeerium</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1 877</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294 034</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1 460 664</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0,41</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Sh: Keskkonnaamet</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6</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214</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168</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0,07</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 xml:space="preserve">        Keskkonnaministeerium</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36</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0</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0,01</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 xml:space="preserve">       Maa-amet</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778</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13 335</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1 242 408</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7,76</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 xml:space="preserve">       Riigimetsa Majandamise Keskus</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1 092</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280 448</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218 088</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0,06</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left"/>
              <w:rPr>
                <w:color w:val="000000"/>
                <w:sz w:val="18"/>
                <w:szCs w:val="18"/>
                <w:lang w:eastAsia="et-EE"/>
              </w:rPr>
            </w:pPr>
            <w:r w:rsidRPr="009C123C">
              <w:rPr>
                <w:color w:val="000000"/>
                <w:sz w:val="18"/>
                <w:szCs w:val="18"/>
                <w:lang w:eastAsia="et-EE"/>
              </w:rPr>
              <w:t>Teised valitsejad</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10</w:t>
            </w:r>
          </w:p>
        </w:tc>
        <w:tc>
          <w:tcPr>
            <w:tcW w:w="1560"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3 967</w:t>
            </w:r>
          </w:p>
        </w:tc>
        <w:tc>
          <w:tcPr>
            <w:tcW w:w="1287"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75 276</w:t>
            </w:r>
          </w:p>
        </w:tc>
        <w:tc>
          <w:tcPr>
            <w:tcW w:w="1406" w:type="dxa"/>
            <w:tcBorders>
              <w:top w:val="nil"/>
              <w:left w:val="nil"/>
              <w:bottom w:val="single" w:sz="4" w:space="0" w:color="auto"/>
              <w:right w:val="single" w:sz="4" w:space="0" w:color="auto"/>
            </w:tcBorders>
            <w:shd w:val="clear" w:color="auto" w:fill="auto"/>
            <w:noWrap/>
            <w:vAlign w:val="bottom"/>
            <w:hideMark/>
          </w:tcPr>
          <w:p w:rsidR="00B6319C" w:rsidRPr="009C123C" w:rsidRDefault="00B6319C" w:rsidP="00440350">
            <w:pPr>
              <w:spacing w:before="120"/>
              <w:jc w:val="center"/>
              <w:rPr>
                <w:color w:val="000000"/>
                <w:sz w:val="18"/>
                <w:szCs w:val="18"/>
                <w:lang w:eastAsia="et-EE"/>
              </w:rPr>
            </w:pPr>
            <w:r w:rsidRPr="009C123C">
              <w:rPr>
                <w:color w:val="000000"/>
                <w:sz w:val="18"/>
                <w:szCs w:val="18"/>
                <w:lang w:eastAsia="et-EE"/>
              </w:rPr>
              <w:t>1,58</w:t>
            </w:r>
          </w:p>
        </w:tc>
      </w:tr>
      <w:tr w:rsidR="00B6319C" w:rsidRPr="00A745A1" w:rsidTr="00440350">
        <w:trPr>
          <w:trHeight w:hRule="exact" w:val="340"/>
        </w:trPr>
        <w:tc>
          <w:tcPr>
            <w:tcW w:w="3124" w:type="dxa"/>
            <w:tcBorders>
              <w:top w:val="nil"/>
              <w:left w:val="single" w:sz="4" w:space="0" w:color="auto"/>
              <w:bottom w:val="single" w:sz="4" w:space="0" w:color="auto"/>
              <w:right w:val="single" w:sz="4" w:space="0" w:color="auto"/>
            </w:tcBorders>
            <w:shd w:val="clear" w:color="000000" w:fill="DBEEF3"/>
            <w:noWrap/>
            <w:vAlign w:val="bottom"/>
            <w:hideMark/>
          </w:tcPr>
          <w:p w:rsidR="00B6319C" w:rsidRPr="009C123C" w:rsidRDefault="00B6319C" w:rsidP="00440350">
            <w:pPr>
              <w:spacing w:before="120"/>
              <w:jc w:val="left"/>
              <w:rPr>
                <w:b/>
                <w:bCs/>
                <w:color w:val="000000"/>
                <w:sz w:val="18"/>
                <w:szCs w:val="18"/>
                <w:lang w:eastAsia="et-EE"/>
              </w:rPr>
            </w:pPr>
            <w:r w:rsidRPr="009C123C">
              <w:rPr>
                <w:b/>
                <w:bCs/>
                <w:color w:val="000000"/>
                <w:sz w:val="18"/>
                <w:szCs w:val="18"/>
                <w:lang w:eastAsia="et-EE"/>
              </w:rPr>
              <w:t>Kokku</w:t>
            </w:r>
          </w:p>
        </w:tc>
        <w:tc>
          <w:tcPr>
            <w:tcW w:w="1417" w:type="dxa"/>
            <w:tcBorders>
              <w:top w:val="nil"/>
              <w:left w:val="nil"/>
              <w:bottom w:val="single" w:sz="4" w:space="0" w:color="auto"/>
              <w:right w:val="single" w:sz="4" w:space="0" w:color="auto"/>
            </w:tcBorders>
            <w:shd w:val="clear" w:color="000000" w:fill="DBEEF3"/>
            <w:noWrap/>
            <w:vAlign w:val="bottom"/>
            <w:hideMark/>
          </w:tcPr>
          <w:p w:rsidR="00B6319C" w:rsidRPr="009C123C" w:rsidRDefault="00B6319C" w:rsidP="00440350">
            <w:pPr>
              <w:spacing w:before="120"/>
              <w:jc w:val="center"/>
              <w:rPr>
                <w:b/>
                <w:bCs/>
                <w:color w:val="000000"/>
                <w:sz w:val="18"/>
                <w:szCs w:val="18"/>
                <w:lang w:eastAsia="et-EE"/>
              </w:rPr>
            </w:pPr>
            <w:r w:rsidRPr="009C123C">
              <w:rPr>
                <w:b/>
                <w:bCs/>
                <w:color w:val="000000"/>
                <w:sz w:val="18"/>
                <w:szCs w:val="18"/>
                <w:lang w:eastAsia="et-EE"/>
              </w:rPr>
              <w:t>1 887</w:t>
            </w:r>
          </w:p>
        </w:tc>
        <w:tc>
          <w:tcPr>
            <w:tcW w:w="1560" w:type="dxa"/>
            <w:tcBorders>
              <w:top w:val="nil"/>
              <w:left w:val="nil"/>
              <w:bottom w:val="single" w:sz="4" w:space="0" w:color="auto"/>
              <w:right w:val="single" w:sz="4" w:space="0" w:color="auto"/>
            </w:tcBorders>
            <w:shd w:val="clear" w:color="000000" w:fill="DBEEF3"/>
            <w:noWrap/>
            <w:vAlign w:val="bottom"/>
            <w:hideMark/>
          </w:tcPr>
          <w:p w:rsidR="00B6319C" w:rsidRPr="009C123C" w:rsidRDefault="00B6319C" w:rsidP="00440350">
            <w:pPr>
              <w:spacing w:before="120"/>
              <w:jc w:val="center"/>
              <w:rPr>
                <w:b/>
                <w:bCs/>
                <w:color w:val="000000"/>
                <w:sz w:val="18"/>
                <w:szCs w:val="18"/>
                <w:lang w:eastAsia="et-EE"/>
              </w:rPr>
            </w:pPr>
            <w:r w:rsidRPr="009C123C">
              <w:rPr>
                <w:b/>
                <w:bCs/>
                <w:color w:val="000000"/>
                <w:sz w:val="18"/>
                <w:szCs w:val="18"/>
                <w:lang w:eastAsia="et-EE"/>
              </w:rPr>
              <w:t>298 001</w:t>
            </w:r>
          </w:p>
        </w:tc>
        <w:tc>
          <w:tcPr>
            <w:tcW w:w="1287" w:type="dxa"/>
            <w:tcBorders>
              <w:top w:val="nil"/>
              <w:left w:val="nil"/>
              <w:bottom w:val="single" w:sz="4" w:space="0" w:color="auto"/>
              <w:right w:val="single" w:sz="4" w:space="0" w:color="auto"/>
            </w:tcBorders>
            <w:shd w:val="clear" w:color="000000" w:fill="DBEEF3"/>
            <w:noWrap/>
            <w:vAlign w:val="bottom"/>
            <w:hideMark/>
          </w:tcPr>
          <w:p w:rsidR="00B6319C" w:rsidRPr="009C123C" w:rsidRDefault="00B6319C" w:rsidP="00440350">
            <w:pPr>
              <w:spacing w:before="120"/>
              <w:jc w:val="center"/>
              <w:rPr>
                <w:b/>
                <w:bCs/>
                <w:color w:val="000000"/>
                <w:sz w:val="18"/>
                <w:szCs w:val="18"/>
                <w:lang w:eastAsia="et-EE"/>
              </w:rPr>
            </w:pPr>
            <w:r w:rsidRPr="009C123C">
              <w:rPr>
                <w:b/>
                <w:bCs/>
                <w:color w:val="000000"/>
                <w:sz w:val="18"/>
                <w:szCs w:val="18"/>
                <w:lang w:eastAsia="et-EE"/>
              </w:rPr>
              <w:t>1 535 940</w:t>
            </w:r>
          </w:p>
        </w:tc>
        <w:tc>
          <w:tcPr>
            <w:tcW w:w="1406" w:type="dxa"/>
            <w:tcBorders>
              <w:top w:val="nil"/>
              <w:left w:val="nil"/>
              <w:bottom w:val="single" w:sz="4" w:space="0" w:color="auto"/>
              <w:right w:val="single" w:sz="4" w:space="0" w:color="auto"/>
            </w:tcBorders>
            <w:shd w:val="clear" w:color="000000" w:fill="DBEEF3"/>
            <w:noWrap/>
            <w:vAlign w:val="bottom"/>
            <w:hideMark/>
          </w:tcPr>
          <w:p w:rsidR="00B6319C" w:rsidRPr="009C123C" w:rsidRDefault="00B6319C" w:rsidP="00440350">
            <w:pPr>
              <w:spacing w:before="120"/>
              <w:jc w:val="center"/>
              <w:rPr>
                <w:b/>
                <w:bCs/>
                <w:color w:val="000000"/>
                <w:sz w:val="18"/>
                <w:szCs w:val="18"/>
                <w:lang w:eastAsia="et-EE"/>
              </w:rPr>
            </w:pPr>
            <w:r w:rsidRPr="009C123C">
              <w:rPr>
                <w:b/>
                <w:bCs/>
                <w:color w:val="000000"/>
                <w:sz w:val="18"/>
                <w:szCs w:val="18"/>
                <w:lang w:eastAsia="et-EE"/>
              </w:rPr>
              <w:t>0,43</w:t>
            </w:r>
          </w:p>
        </w:tc>
      </w:tr>
    </w:tbl>
    <w:p w:rsidR="00B6319C" w:rsidRPr="00A745A1" w:rsidRDefault="00B6319C" w:rsidP="00C470A0">
      <w:pPr>
        <w:rPr>
          <w:noProof/>
        </w:rPr>
      </w:pPr>
      <w:r>
        <w:rPr>
          <w:noProof/>
        </w:rPr>
        <w:t xml:space="preserve">Kuigi arvuliselt ja pindala poolest on suurim kasutusse andja RMK, laekub suurim tulu Maa-ameti lepingutest. </w:t>
      </w:r>
      <w:r w:rsidRPr="00A745A1">
        <w:rPr>
          <w:noProof/>
        </w:rPr>
        <w:t xml:space="preserve">Maa-amet annab peamiselt rendile põllumaad, RMK </w:t>
      </w:r>
      <w:r>
        <w:rPr>
          <w:noProof/>
        </w:rPr>
        <w:t>seevastu annab</w:t>
      </w:r>
      <w:r w:rsidRPr="00A745A1">
        <w:rPr>
          <w:noProof/>
        </w:rPr>
        <w:t xml:space="preserve"> </w:t>
      </w:r>
      <w:r>
        <w:rPr>
          <w:noProof/>
        </w:rPr>
        <w:t xml:space="preserve">maad </w:t>
      </w:r>
      <w:r w:rsidRPr="00A745A1">
        <w:rPr>
          <w:noProof/>
        </w:rPr>
        <w:t xml:space="preserve">kasutusse loodushoiutööde tegemise eesmärgil. </w:t>
      </w:r>
    </w:p>
    <w:p w:rsidR="00B6319C" w:rsidRDefault="00B6319C" w:rsidP="00B6319C">
      <w:pPr>
        <w:tabs>
          <w:tab w:val="num" w:pos="284"/>
        </w:tabs>
      </w:pPr>
      <w:r>
        <w:t xml:space="preserve">Kuna oluline osa riigile tulu toovatest maarendilepingutest sõlmitakse Maa-ameti poolt, siis on käesolevas peatükis antud detailsem ülevaade Maa-ameti tegevusest selles valdkonnas. </w:t>
      </w:r>
    </w:p>
    <w:p w:rsidR="00B6319C" w:rsidRPr="00901AD0" w:rsidRDefault="00B6319C" w:rsidP="00B6319C">
      <w:pPr>
        <w:tabs>
          <w:tab w:val="num" w:pos="284"/>
        </w:tabs>
      </w:pPr>
      <w:r>
        <w:t>Maa-amet annab kasutusse</w:t>
      </w:r>
      <w:r w:rsidRPr="006768AA">
        <w:t xml:space="preserve"> maaüksused, mis ei ole ajutiselt vajalikud riigivõimu teostamiseks</w:t>
      </w:r>
      <w:r>
        <w:t>,</w:t>
      </w:r>
      <w:r w:rsidRPr="006768AA">
        <w:t xml:space="preserve"> </w:t>
      </w:r>
      <w:r>
        <w:t xml:space="preserve">kuid </w:t>
      </w:r>
      <w:r w:rsidRPr="006768AA">
        <w:t xml:space="preserve">mida on otstarbekas </w:t>
      </w:r>
      <w:r>
        <w:t>säilitada</w:t>
      </w:r>
      <w:r w:rsidRPr="006768AA">
        <w:t xml:space="preserve"> riigi </w:t>
      </w:r>
      <w:r>
        <w:t>omandis. P</w:t>
      </w:r>
      <w:r w:rsidRPr="006768AA">
        <w:t>õllumajandusmaana antakse kasutusse ja suunatakse rendi enampakkumise menetlusse:</w:t>
      </w:r>
    </w:p>
    <w:p w:rsidR="00B6319C" w:rsidRPr="00953D51" w:rsidRDefault="00B6319C" w:rsidP="00953D51">
      <w:pPr>
        <w:pStyle w:val="Loend1"/>
      </w:pPr>
      <w:r w:rsidRPr="00953D51">
        <w:t>suurepindalalised põllumaad, mille põllumajandusliku kasutuse jätkumine on oluline,</w:t>
      </w:r>
    </w:p>
    <w:p w:rsidR="00B6319C" w:rsidRPr="00953D51" w:rsidRDefault="00B6319C" w:rsidP="00953D51">
      <w:pPr>
        <w:pStyle w:val="Loend1"/>
      </w:pPr>
      <w:r w:rsidRPr="00953D51">
        <w:t>maad, mis asuvad maavaravarudega või perspektiivsete maardlate laienemise aladel,</w:t>
      </w:r>
    </w:p>
    <w:p w:rsidR="00B6319C" w:rsidRPr="00953D51" w:rsidRDefault="00B6319C" w:rsidP="00953D51">
      <w:pPr>
        <w:pStyle w:val="Loend1"/>
      </w:pPr>
      <w:r w:rsidRPr="00953D51">
        <w:t xml:space="preserve">looduskaitsealuste objektidega või nende kaitsevöönditega maad ning muud looduskaitsealad, kus kaitsekord võimaldab põllumajanduslikku kasutamist, </w:t>
      </w:r>
    </w:p>
    <w:p w:rsidR="00B6319C" w:rsidRPr="00953D51" w:rsidRDefault="00B6319C" w:rsidP="00953D51">
      <w:pPr>
        <w:pStyle w:val="Loend1"/>
      </w:pPr>
      <w:r w:rsidRPr="00953D51">
        <w:t xml:space="preserve">perspektiivne taristu rajamiseks vajalik maa, </w:t>
      </w:r>
    </w:p>
    <w:p w:rsidR="00B6319C" w:rsidRPr="00953D51" w:rsidRDefault="00B6319C" w:rsidP="00953D51">
      <w:pPr>
        <w:pStyle w:val="Loend1"/>
      </w:pPr>
      <w:r w:rsidRPr="00953D51">
        <w:t>tiheasustusega alal või selle läheduses asuvad maad, mis võivad eda</w:t>
      </w:r>
      <w:r w:rsidR="00C33A39" w:rsidRPr="00953D51">
        <w:t>spidi omada arenduspotentsiaali</w:t>
      </w:r>
      <w:r w:rsidRPr="00953D51">
        <w:t xml:space="preserve"> ja mille väärtus võib tulevikus tõusta ning mida seetõttu ei ole mõistlik kohe võõrandada.</w:t>
      </w:r>
    </w:p>
    <w:p w:rsidR="00B6319C" w:rsidRDefault="00B6319C" w:rsidP="00B6319C">
      <w:r>
        <w:t>Maa-ameti poolt läbi viidud enampakkumiste edukuse statistika on esitatud järgnevas tabelis (</w:t>
      </w:r>
      <w:r w:rsidR="00A85FDC">
        <w:fldChar w:fldCharType="begin"/>
      </w:r>
      <w:r>
        <w:instrText xml:space="preserve"> REF _Ref420072548 \h </w:instrText>
      </w:r>
      <w:r w:rsidR="00A85FDC">
        <w:fldChar w:fldCharType="separate"/>
      </w:r>
      <w:r w:rsidR="00477322">
        <w:t xml:space="preserve">Tabel </w:t>
      </w:r>
      <w:r w:rsidR="00477322">
        <w:rPr>
          <w:noProof/>
        </w:rPr>
        <w:t>13</w:t>
      </w:r>
      <w:r w:rsidR="00A85FDC">
        <w:fldChar w:fldCharType="end"/>
      </w:r>
      <w:r>
        <w:t>).</w:t>
      </w:r>
    </w:p>
    <w:p w:rsidR="00B6319C" w:rsidRDefault="00B6319C" w:rsidP="00B6319C">
      <w:pPr>
        <w:pStyle w:val="Caption"/>
      </w:pPr>
      <w:bookmarkStart w:id="172" w:name="_Ref420072548"/>
      <w:r>
        <w:t xml:space="preserve">Tabel </w:t>
      </w:r>
      <w:fldSimple w:instr=" SEQ Tabel \* ARABIC ">
        <w:r w:rsidR="00477322">
          <w:rPr>
            <w:noProof/>
          </w:rPr>
          <w:t>13</w:t>
        </w:r>
      </w:fldSimple>
      <w:bookmarkEnd w:id="172"/>
      <w:r>
        <w:t>. Maa-ameti poolt enampakkumise korras maa kasutamiseks andmine</w:t>
      </w:r>
    </w:p>
    <w:tbl>
      <w:tblPr>
        <w:tblW w:w="9082" w:type="dxa"/>
        <w:tblInd w:w="60" w:type="dxa"/>
        <w:tblCellMar>
          <w:left w:w="70" w:type="dxa"/>
          <w:right w:w="70" w:type="dxa"/>
        </w:tblCellMar>
        <w:tblLook w:val="04A0"/>
      </w:tblPr>
      <w:tblGrid>
        <w:gridCol w:w="1542"/>
        <w:gridCol w:w="2437"/>
        <w:gridCol w:w="1134"/>
        <w:gridCol w:w="1418"/>
        <w:gridCol w:w="2551"/>
      </w:tblGrid>
      <w:tr w:rsidR="00B6319C" w:rsidRPr="0033414F" w:rsidTr="00BF0821">
        <w:trPr>
          <w:trHeight w:hRule="exact" w:val="624"/>
        </w:trPr>
        <w:tc>
          <w:tcPr>
            <w:tcW w:w="1542" w:type="dxa"/>
            <w:tcBorders>
              <w:top w:val="single" w:sz="8" w:space="0" w:color="000000"/>
              <w:left w:val="single" w:sz="8" w:space="0" w:color="000000"/>
              <w:bottom w:val="single" w:sz="8" w:space="0" w:color="000000"/>
              <w:right w:val="single" w:sz="8" w:space="0" w:color="000000"/>
            </w:tcBorders>
            <w:shd w:val="clear" w:color="000000" w:fill="DBEEF3"/>
            <w:vAlign w:val="center"/>
            <w:hideMark/>
          </w:tcPr>
          <w:p w:rsidR="00B6319C" w:rsidRPr="00440350" w:rsidRDefault="00440350" w:rsidP="00BF0821">
            <w:pPr>
              <w:spacing w:before="0"/>
              <w:jc w:val="center"/>
              <w:rPr>
                <w:b/>
                <w:color w:val="000000"/>
                <w:sz w:val="18"/>
                <w:szCs w:val="18"/>
                <w:lang w:eastAsia="et-EE"/>
              </w:rPr>
            </w:pPr>
            <w:r>
              <w:rPr>
                <w:b/>
                <w:color w:val="000000"/>
                <w:sz w:val="18"/>
                <w:szCs w:val="18"/>
                <w:lang w:eastAsia="et-EE"/>
              </w:rPr>
              <w:t>A</w:t>
            </w:r>
            <w:r w:rsidR="00B6319C" w:rsidRPr="00440350">
              <w:rPr>
                <w:b/>
                <w:color w:val="000000"/>
                <w:sz w:val="18"/>
                <w:szCs w:val="18"/>
                <w:lang w:eastAsia="et-EE"/>
              </w:rPr>
              <w:t>asta</w:t>
            </w:r>
          </w:p>
        </w:tc>
        <w:tc>
          <w:tcPr>
            <w:tcW w:w="2437" w:type="dxa"/>
            <w:tcBorders>
              <w:top w:val="single" w:sz="8" w:space="0" w:color="000000"/>
              <w:left w:val="nil"/>
              <w:bottom w:val="single" w:sz="8" w:space="0" w:color="000000"/>
              <w:right w:val="single" w:sz="8" w:space="0" w:color="000000"/>
            </w:tcBorders>
            <w:shd w:val="clear" w:color="000000" w:fill="DBEEF3"/>
            <w:vAlign w:val="center"/>
            <w:hideMark/>
          </w:tcPr>
          <w:p w:rsidR="00B6319C" w:rsidRPr="00440350" w:rsidRDefault="00B6319C" w:rsidP="00BF0821">
            <w:pPr>
              <w:spacing w:before="0"/>
              <w:jc w:val="center"/>
              <w:rPr>
                <w:b/>
                <w:color w:val="000000"/>
                <w:sz w:val="18"/>
                <w:szCs w:val="18"/>
                <w:lang w:eastAsia="et-EE"/>
              </w:rPr>
            </w:pPr>
          </w:p>
        </w:tc>
        <w:tc>
          <w:tcPr>
            <w:tcW w:w="1134" w:type="dxa"/>
            <w:tcBorders>
              <w:top w:val="single" w:sz="8" w:space="0" w:color="000000"/>
              <w:left w:val="nil"/>
              <w:bottom w:val="single" w:sz="8" w:space="0" w:color="000000"/>
              <w:right w:val="single" w:sz="8" w:space="0" w:color="000000"/>
            </w:tcBorders>
            <w:shd w:val="clear" w:color="000000" w:fill="DBEEF3"/>
            <w:vAlign w:val="center"/>
            <w:hideMark/>
          </w:tcPr>
          <w:p w:rsidR="00B6319C" w:rsidRPr="00440350" w:rsidRDefault="00440350" w:rsidP="00BF0821">
            <w:pPr>
              <w:spacing w:before="0"/>
              <w:jc w:val="center"/>
              <w:rPr>
                <w:b/>
                <w:color w:val="000000"/>
                <w:sz w:val="18"/>
                <w:szCs w:val="18"/>
                <w:lang w:eastAsia="et-EE"/>
              </w:rPr>
            </w:pPr>
            <w:r>
              <w:rPr>
                <w:b/>
                <w:color w:val="000000"/>
                <w:sz w:val="18"/>
                <w:szCs w:val="18"/>
                <w:lang w:eastAsia="et-EE"/>
              </w:rPr>
              <w:t>Ü</w:t>
            </w:r>
            <w:r w:rsidR="00B6319C" w:rsidRPr="00440350">
              <w:rPr>
                <w:b/>
                <w:color w:val="000000"/>
                <w:sz w:val="18"/>
                <w:szCs w:val="18"/>
                <w:lang w:eastAsia="et-EE"/>
              </w:rPr>
              <w:t>ksuste arv (tk)</w:t>
            </w:r>
          </w:p>
        </w:tc>
        <w:tc>
          <w:tcPr>
            <w:tcW w:w="1418" w:type="dxa"/>
            <w:tcBorders>
              <w:top w:val="single" w:sz="8" w:space="0" w:color="000000"/>
              <w:left w:val="nil"/>
              <w:bottom w:val="single" w:sz="8" w:space="0" w:color="000000"/>
              <w:right w:val="single" w:sz="8" w:space="0" w:color="000000"/>
            </w:tcBorders>
            <w:shd w:val="clear" w:color="000000" w:fill="DBEEF3"/>
            <w:vAlign w:val="center"/>
            <w:hideMark/>
          </w:tcPr>
          <w:p w:rsidR="00B6319C" w:rsidRPr="00440350" w:rsidRDefault="00440350" w:rsidP="00BF0821">
            <w:pPr>
              <w:spacing w:before="0"/>
              <w:jc w:val="center"/>
              <w:rPr>
                <w:b/>
                <w:color w:val="000000"/>
                <w:sz w:val="18"/>
                <w:szCs w:val="18"/>
                <w:lang w:eastAsia="et-EE"/>
              </w:rPr>
            </w:pPr>
            <w:r>
              <w:rPr>
                <w:b/>
                <w:color w:val="000000"/>
                <w:sz w:val="18"/>
                <w:szCs w:val="18"/>
                <w:lang w:eastAsia="et-EE"/>
              </w:rPr>
              <w:t>Ü</w:t>
            </w:r>
            <w:r w:rsidR="00B6319C" w:rsidRPr="00440350">
              <w:rPr>
                <w:b/>
                <w:color w:val="000000"/>
                <w:sz w:val="18"/>
                <w:szCs w:val="18"/>
                <w:lang w:eastAsia="et-EE"/>
              </w:rPr>
              <w:t>ksuste/ kasutusala pindala (ha)</w:t>
            </w:r>
          </w:p>
        </w:tc>
        <w:tc>
          <w:tcPr>
            <w:tcW w:w="2551" w:type="dxa"/>
            <w:tcBorders>
              <w:top w:val="single" w:sz="8" w:space="0" w:color="000000"/>
              <w:left w:val="nil"/>
              <w:bottom w:val="single" w:sz="8" w:space="0" w:color="000000"/>
              <w:right w:val="single" w:sz="8" w:space="0" w:color="000000"/>
            </w:tcBorders>
            <w:shd w:val="clear" w:color="000000" w:fill="DBEEF3"/>
            <w:vAlign w:val="center"/>
            <w:hideMark/>
          </w:tcPr>
          <w:p w:rsidR="00B6319C" w:rsidRPr="00440350" w:rsidRDefault="00440350" w:rsidP="00BF0821">
            <w:pPr>
              <w:spacing w:before="0"/>
              <w:jc w:val="center"/>
              <w:rPr>
                <w:b/>
                <w:color w:val="000000"/>
                <w:sz w:val="18"/>
                <w:szCs w:val="18"/>
                <w:lang w:eastAsia="et-EE"/>
              </w:rPr>
            </w:pPr>
            <w:r>
              <w:rPr>
                <w:b/>
                <w:color w:val="000000"/>
                <w:sz w:val="18"/>
                <w:szCs w:val="18"/>
                <w:lang w:eastAsia="et-EE"/>
              </w:rPr>
              <w:t>K</w:t>
            </w:r>
            <w:r w:rsidR="00B6319C" w:rsidRPr="00440350">
              <w:rPr>
                <w:b/>
                <w:color w:val="000000"/>
                <w:sz w:val="18"/>
                <w:szCs w:val="18"/>
                <w:lang w:eastAsia="et-EE"/>
              </w:rPr>
              <w:t>asutustasu alghinnad / kuj</w:t>
            </w:r>
            <w:r>
              <w:rPr>
                <w:b/>
                <w:color w:val="000000"/>
                <w:sz w:val="18"/>
                <w:szCs w:val="18"/>
                <w:lang w:eastAsia="et-EE"/>
              </w:rPr>
              <w:t>unenud kasutustasud kokku (€</w:t>
            </w:r>
            <w:r w:rsidR="00B6319C" w:rsidRPr="00440350">
              <w:rPr>
                <w:b/>
                <w:color w:val="000000"/>
                <w:sz w:val="18"/>
                <w:szCs w:val="18"/>
                <w:lang w:eastAsia="et-EE"/>
              </w:rPr>
              <w:t>)</w:t>
            </w:r>
          </w:p>
        </w:tc>
      </w:tr>
      <w:tr w:rsidR="00B6319C" w:rsidRPr="0033414F" w:rsidTr="00440350">
        <w:trPr>
          <w:trHeight w:hRule="exact" w:val="340"/>
        </w:trPr>
        <w:tc>
          <w:tcPr>
            <w:tcW w:w="1542" w:type="dxa"/>
            <w:vMerge w:val="restart"/>
            <w:tcBorders>
              <w:top w:val="nil"/>
              <w:left w:val="single" w:sz="8" w:space="0" w:color="000000"/>
              <w:bottom w:val="single" w:sz="8" w:space="0" w:color="000000"/>
              <w:right w:val="single" w:sz="8" w:space="0" w:color="000000"/>
            </w:tcBorders>
            <w:shd w:val="clear" w:color="auto" w:fill="auto"/>
            <w:hideMark/>
          </w:tcPr>
          <w:p w:rsidR="00B6319C" w:rsidRPr="0033414F" w:rsidRDefault="00B6319C" w:rsidP="00CD371C">
            <w:pPr>
              <w:jc w:val="center"/>
              <w:rPr>
                <w:color w:val="000000"/>
                <w:sz w:val="18"/>
                <w:szCs w:val="18"/>
                <w:lang w:eastAsia="et-EE"/>
              </w:rPr>
            </w:pPr>
            <w:r w:rsidRPr="0033414F">
              <w:rPr>
                <w:color w:val="000000"/>
                <w:sz w:val="18"/>
                <w:szCs w:val="18"/>
                <w:lang w:eastAsia="et-EE"/>
              </w:rPr>
              <w:t>2013</w:t>
            </w:r>
          </w:p>
        </w:tc>
        <w:tc>
          <w:tcPr>
            <w:tcW w:w="2437"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Enampakkumine</w:t>
            </w:r>
            <w:r w:rsidR="00655E30">
              <w:rPr>
                <w:color w:val="000000"/>
                <w:sz w:val="18"/>
                <w:szCs w:val="18"/>
                <w:lang w:eastAsia="et-EE"/>
              </w:rPr>
              <w:t xml:space="preserve"> </w:t>
            </w:r>
            <w:r w:rsidRPr="0033414F">
              <w:rPr>
                <w:color w:val="000000"/>
                <w:sz w:val="18"/>
                <w:szCs w:val="18"/>
                <w:lang w:eastAsia="et-EE"/>
              </w:rPr>
              <w:t>läbiviidud</w:t>
            </w:r>
          </w:p>
        </w:tc>
        <w:tc>
          <w:tcPr>
            <w:tcW w:w="1134"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211</w:t>
            </w:r>
          </w:p>
        </w:tc>
        <w:tc>
          <w:tcPr>
            <w:tcW w:w="1418"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3920</w:t>
            </w:r>
          </w:p>
        </w:tc>
        <w:tc>
          <w:tcPr>
            <w:tcW w:w="2551"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278 295</w:t>
            </w:r>
          </w:p>
        </w:tc>
      </w:tr>
      <w:tr w:rsidR="00B6319C" w:rsidRPr="0033414F" w:rsidTr="00440350">
        <w:trPr>
          <w:trHeight w:hRule="exact" w:val="340"/>
        </w:trPr>
        <w:tc>
          <w:tcPr>
            <w:tcW w:w="1542" w:type="dxa"/>
            <w:vMerge/>
            <w:tcBorders>
              <w:top w:val="nil"/>
              <w:left w:val="single" w:sz="8" w:space="0" w:color="000000"/>
              <w:bottom w:val="single" w:sz="8" w:space="0" w:color="000000"/>
              <w:right w:val="single" w:sz="8" w:space="0" w:color="000000"/>
            </w:tcBorders>
            <w:vAlign w:val="center"/>
            <w:hideMark/>
          </w:tcPr>
          <w:p w:rsidR="00B6319C" w:rsidRPr="0033414F" w:rsidRDefault="00B6319C" w:rsidP="00CD371C">
            <w:pPr>
              <w:jc w:val="left"/>
              <w:rPr>
                <w:color w:val="000000"/>
                <w:sz w:val="18"/>
                <w:szCs w:val="18"/>
                <w:lang w:eastAsia="et-EE"/>
              </w:rPr>
            </w:pPr>
          </w:p>
        </w:tc>
        <w:tc>
          <w:tcPr>
            <w:tcW w:w="2437"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Kasutuslepingud sõlmitud</w:t>
            </w:r>
          </w:p>
        </w:tc>
        <w:tc>
          <w:tcPr>
            <w:tcW w:w="1134"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173</w:t>
            </w:r>
          </w:p>
        </w:tc>
        <w:tc>
          <w:tcPr>
            <w:tcW w:w="1418"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3326</w:t>
            </w:r>
          </w:p>
        </w:tc>
        <w:tc>
          <w:tcPr>
            <w:tcW w:w="2551" w:type="dxa"/>
            <w:tcBorders>
              <w:top w:val="nil"/>
              <w:left w:val="nil"/>
              <w:bottom w:val="single" w:sz="8" w:space="0" w:color="000000"/>
              <w:right w:val="single" w:sz="8" w:space="0" w:color="000000"/>
            </w:tcBorders>
            <w:shd w:val="clear" w:color="auto" w:fill="auto"/>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402 348</w:t>
            </w:r>
          </w:p>
        </w:tc>
      </w:tr>
      <w:tr w:rsidR="00B6319C" w:rsidRPr="0033414F" w:rsidTr="00440350">
        <w:trPr>
          <w:trHeight w:hRule="exact" w:val="340"/>
        </w:trPr>
        <w:tc>
          <w:tcPr>
            <w:tcW w:w="1542" w:type="dxa"/>
            <w:vMerge w:val="restart"/>
            <w:tcBorders>
              <w:top w:val="nil"/>
              <w:left w:val="single" w:sz="8" w:space="0" w:color="000000"/>
              <w:bottom w:val="single" w:sz="8" w:space="0" w:color="000000"/>
              <w:right w:val="single" w:sz="8" w:space="0" w:color="000000"/>
            </w:tcBorders>
            <w:shd w:val="clear" w:color="auto" w:fill="auto"/>
            <w:hideMark/>
          </w:tcPr>
          <w:p w:rsidR="00B6319C" w:rsidRPr="0033414F" w:rsidRDefault="00B6319C" w:rsidP="00CD371C">
            <w:pPr>
              <w:jc w:val="center"/>
              <w:rPr>
                <w:color w:val="000000"/>
                <w:sz w:val="18"/>
                <w:szCs w:val="18"/>
                <w:lang w:eastAsia="et-EE"/>
              </w:rPr>
            </w:pPr>
            <w:r w:rsidRPr="0033414F">
              <w:rPr>
                <w:color w:val="000000"/>
                <w:sz w:val="18"/>
                <w:szCs w:val="18"/>
                <w:lang w:eastAsia="et-EE"/>
              </w:rPr>
              <w:t>2014</w:t>
            </w:r>
          </w:p>
        </w:tc>
        <w:tc>
          <w:tcPr>
            <w:tcW w:w="2437"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Enampakkumine</w:t>
            </w:r>
            <w:r w:rsidR="00655E30">
              <w:rPr>
                <w:color w:val="000000"/>
                <w:sz w:val="18"/>
                <w:szCs w:val="18"/>
                <w:lang w:eastAsia="et-EE"/>
              </w:rPr>
              <w:t xml:space="preserve"> </w:t>
            </w:r>
            <w:r w:rsidRPr="0033414F">
              <w:rPr>
                <w:color w:val="000000"/>
                <w:sz w:val="18"/>
                <w:szCs w:val="18"/>
                <w:lang w:eastAsia="et-EE"/>
              </w:rPr>
              <w:t>läbiviidud</w:t>
            </w:r>
          </w:p>
        </w:tc>
        <w:tc>
          <w:tcPr>
            <w:tcW w:w="1134"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394</w:t>
            </w:r>
          </w:p>
        </w:tc>
        <w:tc>
          <w:tcPr>
            <w:tcW w:w="1418"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5797</w:t>
            </w:r>
          </w:p>
        </w:tc>
        <w:tc>
          <w:tcPr>
            <w:tcW w:w="2551"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427 824</w:t>
            </w:r>
          </w:p>
        </w:tc>
      </w:tr>
      <w:tr w:rsidR="00B6319C" w:rsidRPr="0033414F" w:rsidTr="00440350">
        <w:trPr>
          <w:trHeight w:hRule="exact" w:val="340"/>
        </w:trPr>
        <w:tc>
          <w:tcPr>
            <w:tcW w:w="1542" w:type="dxa"/>
            <w:vMerge/>
            <w:tcBorders>
              <w:top w:val="nil"/>
              <w:left w:val="single" w:sz="8" w:space="0" w:color="000000"/>
              <w:bottom w:val="single" w:sz="8" w:space="0" w:color="000000"/>
              <w:right w:val="single" w:sz="8" w:space="0" w:color="000000"/>
            </w:tcBorders>
            <w:vAlign w:val="center"/>
            <w:hideMark/>
          </w:tcPr>
          <w:p w:rsidR="00B6319C" w:rsidRPr="0033414F" w:rsidRDefault="00B6319C" w:rsidP="00CD371C">
            <w:pPr>
              <w:jc w:val="left"/>
              <w:rPr>
                <w:color w:val="000000"/>
                <w:sz w:val="18"/>
                <w:szCs w:val="18"/>
                <w:lang w:eastAsia="et-EE"/>
              </w:rPr>
            </w:pPr>
          </w:p>
        </w:tc>
        <w:tc>
          <w:tcPr>
            <w:tcW w:w="2437"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Kasutuslepingud sõlmitud</w:t>
            </w:r>
          </w:p>
        </w:tc>
        <w:tc>
          <w:tcPr>
            <w:tcW w:w="1134"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371</w:t>
            </w:r>
          </w:p>
        </w:tc>
        <w:tc>
          <w:tcPr>
            <w:tcW w:w="1418"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5640</w:t>
            </w:r>
          </w:p>
        </w:tc>
        <w:tc>
          <w:tcPr>
            <w:tcW w:w="2551" w:type="dxa"/>
            <w:tcBorders>
              <w:top w:val="nil"/>
              <w:left w:val="nil"/>
              <w:bottom w:val="single" w:sz="8" w:space="0" w:color="000000"/>
              <w:right w:val="single" w:sz="8" w:space="0" w:color="000000"/>
            </w:tcBorders>
            <w:shd w:val="clear" w:color="auto" w:fill="auto"/>
            <w:vAlign w:val="bottom"/>
            <w:hideMark/>
          </w:tcPr>
          <w:p w:rsidR="00B6319C" w:rsidRPr="0033414F" w:rsidRDefault="00B6319C" w:rsidP="00BF0821">
            <w:pPr>
              <w:spacing w:before="120"/>
              <w:jc w:val="center"/>
              <w:rPr>
                <w:color w:val="000000"/>
                <w:sz w:val="18"/>
                <w:szCs w:val="18"/>
                <w:lang w:eastAsia="et-EE"/>
              </w:rPr>
            </w:pPr>
            <w:r w:rsidRPr="0033414F">
              <w:rPr>
                <w:color w:val="000000"/>
                <w:sz w:val="18"/>
                <w:szCs w:val="18"/>
                <w:lang w:eastAsia="et-EE"/>
              </w:rPr>
              <w:t>639 317</w:t>
            </w:r>
          </w:p>
        </w:tc>
      </w:tr>
    </w:tbl>
    <w:p w:rsidR="00B6319C" w:rsidRPr="00901AD0" w:rsidRDefault="00B6319C" w:rsidP="00B6319C">
      <w:r w:rsidRPr="006768AA">
        <w:t>Nagu põllumajanduslike maaüksuse müügi enampakkumiste puhul, on tulemuslikumad sellise maa rendi enampakkumised, mis on varem olnud kasutuses. Samas mõjutab rendi enampakkumiste tulemuslikkust negatiivselt põllumaa renditasude hüppeline tõus viimastel aastatel. Seetõttu on sagenenud olukorrad, kus maaüksuse esmakordsel enampakkumisel pakkumisi ei esitata ja rendileping õnnestub sõlmida alles pärast alg</w:t>
      </w:r>
      <w:r w:rsidR="007D3801">
        <w:t xml:space="preserve">hinna mitmekordset alandamist. </w:t>
      </w:r>
      <w:r>
        <w:t xml:space="preserve">Renditasude muutust kajastab </w:t>
      </w:r>
      <w:r w:rsidR="00A85FDC">
        <w:fldChar w:fldCharType="begin"/>
      </w:r>
      <w:r>
        <w:instrText xml:space="preserve"> REF _Ref420072753 \h </w:instrText>
      </w:r>
      <w:r w:rsidR="00A85FDC">
        <w:fldChar w:fldCharType="separate"/>
      </w:r>
      <w:r w:rsidR="00477322">
        <w:t xml:space="preserve">Joonis </w:t>
      </w:r>
      <w:r w:rsidR="00477322">
        <w:rPr>
          <w:noProof/>
        </w:rPr>
        <w:t>15</w:t>
      </w:r>
      <w:r w:rsidR="00A85FDC">
        <w:fldChar w:fldCharType="end"/>
      </w:r>
      <w:r>
        <w:t>.</w:t>
      </w:r>
    </w:p>
    <w:p w:rsidR="00B6319C" w:rsidRDefault="00B6319C" w:rsidP="00B6319C">
      <w:pPr>
        <w:pStyle w:val="Caption"/>
        <w:jc w:val="both"/>
      </w:pPr>
      <w:bookmarkStart w:id="173" w:name="_Ref420072753"/>
      <w:r>
        <w:t xml:space="preserve">Joonis </w:t>
      </w:r>
      <w:fldSimple w:instr=" SEQ Joonis \* ARABIC ">
        <w:r w:rsidR="00477322">
          <w:rPr>
            <w:noProof/>
          </w:rPr>
          <w:t>15</w:t>
        </w:r>
      </w:fldSimple>
      <w:bookmarkEnd w:id="173"/>
      <w:r>
        <w:t>. Maa-ameti poolt rendile antud põllumaade renditasude muutus 2011.-2014. aastal</w:t>
      </w:r>
    </w:p>
    <w:p w:rsidR="00B6319C" w:rsidRPr="00901AD0" w:rsidRDefault="00B6319C" w:rsidP="007D3801">
      <w:pPr>
        <w:autoSpaceDE w:val="0"/>
        <w:autoSpaceDN w:val="0"/>
        <w:adjustRightInd w:val="0"/>
        <w:spacing w:before="120"/>
      </w:pPr>
      <w:r w:rsidRPr="0084651E">
        <w:rPr>
          <w:noProof/>
          <w:bdr w:val="single" w:sz="4" w:space="0" w:color="auto"/>
          <w:lang w:eastAsia="et-EE"/>
        </w:rPr>
        <w:drawing>
          <wp:inline distT="0" distB="0" distL="0" distR="0">
            <wp:extent cx="5343525" cy="2000250"/>
            <wp:effectExtent l="19050" t="0" r="9525" b="0"/>
            <wp:docPr id="14" name="Diagram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6319C" w:rsidRDefault="00B6319C" w:rsidP="00C470A0">
      <w:pPr>
        <w:pStyle w:val="Pealkiri3"/>
      </w:pPr>
      <w:bookmarkStart w:id="174" w:name="_Ref423641411"/>
      <w:bookmarkStart w:id="175" w:name="_Toc433980701"/>
      <w:r w:rsidRPr="00C470A0">
        <w:t>Maareformi</w:t>
      </w:r>
      <w:r>
        <w:t xml:space="preserve"> seaduse alusel sõlmitud kasutuslepingud</w:t>
      </w:r>
      <w:bookmarkEnd w:id="174"/>
      <w:bookmarkEnd w:id="175"/>
    </w:p>
    <w:p w:rsidR="00B6319C" w:rsidRDefault="00B6319C" w:rsidP="00C470A0">
      <w:pPr>
        <w:pStyle w:val="Pealkiri4"/>
      </w:pPr>
      <w:bookmarkStart w:id="176" w:name="_Toc418016358"/>
      <w:r w:rsidRPr="006768AA">
        <w:t>Maareformi seaduse alusel maa kasutusvaldusesse andmine</w:t>
      </w:r>
      <w:bookmarkEnd w:id="176"/>
    </w:p>
    <w:p w:rsidR="00B6319C" w:rsidRPr="00B10A0E" w:rsidRDefault="00B6319C" w:rsidP="007D3801">
      <w:r w:rsidRPr="00B10A0E">
        <w:t>Põllumajandusliku tootmisega tegeleva, M</w:t>
      </w:r>
      <w:r w:rsidR="007D3801">
        <w:t>aa</w:t>
      </w:r>
      <w:r w:rsidRPr="00B10A0E">
        <w:t>RS § 23</w:t>
      </w:r>
      <w:r w:rsidRPr="00B10A0E">
        <w:rPr>
          <w:vertAlign w:val="superscript"/>
        </w:rPr>
        <w:t>3</w:t>
      </w:r>
      <w:r w:rsidRPr="00B10A0E">
        <w:t xml:space="preserve"> alusel maa kasutusvaldusesse saamise õiguse omandanud isiku kasuks seatakse põllumajandusmaale kasutusvaldus kuni 15 aastaks. Nimetatud tähtaja möödumisel on kasutusvaldajal kolme kuu jooksul õigus taotleda lepingu pikendamist veel kuni 15 aastaks. Isik, kelle kasuks kasutusvaldus on seatud, tasub esimesel viiel aastal ainult maamaksu, kasutusvalduse tasu maksmine algab viie aasta möödumisel kasutusvalduse kinnistusraamatusse kandmisest. Kasutusvalduse aastatasu suurus on 2% kehtivast maa maksustamishinnast, kuid mitte vähem kui 6,35 eurot. </w:t>
      </w:r>
    </w:p>
    <w:p w:rsidR="007D3801" w:rsidRDefault="00B6319C" w:rsidP="007D3801">
      <w:pPr>
        <w:rPr>
          <w:lang w:eastAsia="et-EE"/>
        </w:rPr>
      </w:pPr>
      <w:r>
        <w:rPr>
          <w:lang w:eastAsia="et-EE"/>
        </w:rPr>
        <w:t>Joonisel (</w:t>
      </w:r>
      <w:fldSimple w:instr=" REF _Ref418016083 \h  \* MERGEFORMAT ">
        <w:r w:rsidR="00477322">
          <w:rPr>
            <w:lang w:eastAsia="et-EE"/>
          </w:rPr>
          <w:t>Joonis 16</w:t>
        </w:r>
      </w:fldSimple>
      <w:r>
        <w:rPr>
          <w:lang w:eastAsia="et-EE"/>
        </w:rPr>
        <w:t>) on toodud aastate lõikes maavalitsuste poolt kasutusvalduste seadmise ja kasutusv</w:t>
      </w:r>
      <w:r w:rsidR="007D3801">
        <w:rPr>
          <w:lang w:eastAsia="et-EE"/>
        </w:rPr>
        <w:t>alduse lepingute lõpetamise arv. L</w:t>
      </w:r>
      <w:r>
        <w:rPr>
          <w:lang w:eastAsia="et-EE"/>
        </w:rPr>
        <w:t xml:space="preserve">eping lõpeb, kui maa võõrandatakse kasutusvaldajale. </w:t>
      </w:r>
    </w:p>
    <w:p w:rsidR="00B6319C" w:rsidRDefault="00B6319C" w:rsidP="007D3801">
      <w:pPr>
        <w:rPr>
          <w:lang w:eastAsia="et-EE"/>
        </w:rPr>
      </w:pPr>
      <w:r>
        <w:rPr>
          <w:lang w:eastAsia="et-EE"/>
        </w:rPr>
        <w:t>Kasutusval</w:t>
      </w:r>
      <w:r w:rsidR="007D3801">
        <w:rPr>
          <w:lang w:eastAsia="et-EE"/>
        </w:rPr>
        <w:t>duste seadmine väheneb pidevalt.</w:t>
      </w:r>
      <w:r>
        <w:rPr>
          <w:lang w:eastAsia="et-EE"/>
        </w:rPr>
        <w:t xml:space="preserve"> </w:t>
      </w:r>
      <w:r w:rsidR="007D3801">
        <w:rPr>
          <w:lang w:eastAsia="et-EE"/>
        </w:rPr>
        <w:t>K</w:t>
      </w:r>
      <w:r>
        <w:rPr>
          <w:lang w:eastAsia="et-EE"/>
        </w:rPr>
        <w:t>ui 2011. a sõlmiti 555 lepingut, siis 2014. a 236 lepingut. Kasutusvaldusi on lõpetatud nelja aastaga 1480, kuid hallatavate lepingute arv ei ole sellega oluliselt vähenenud, 2014.a lõpuks oli maavalitsuste hallata 5395 lepingut, millest tasud on määratud 3005 lepingu (tasu määratakse alates 5. aastast) keskmine kasutusvalduse tasu on 0,41 €/ha, kokku tulu aastas 177 634 eurot.</w:t>
      </w:r>
    </w:p>
    <w:p w:rsidR="00B6319C" w:rsidRDefault="00B6319C" w:rsidP="00B6319C">
      <w:pPr>
        <w:pStyle w:val="Caption"/>
        <w:jc w:val="both"/>
      </w:pPr>
      <w:bookmarkStart w:id="177" w:name="_Ref418016083"/>
      <w:r>
        <w:t xml:space="preserve">Joonis </w:t>
      </w:r>
      <w:fldSimple w:instr=" SEQ Joonis \* ARABIC ">
        <w:r w:rsidR="00477322">
          <w:rPr>
            <w:noProof/>
          </w:rPr>
          <w:t>16</w:t>
        </w:r>
      </w:fldSimple>
      <w:bookmarkEnd w:id="177"/>
      <w:r>
        <w:t>.</w:t>
      </w:r>
      <w:r w:rsidRPr="00070733">
        <w:t xml:space="preserve"> </w:t>
      </w:r>
      <w:r>
        <w:t>MRS-i alusel kasutusvalduse seadmine ja lõpetamine</w:t>
      </w:r>
    </w:p>
    <w:p w:rsidR="00B6319C" w:rsidRDefault="00B6319C" w:rsidP="007D3801">
      <w:pPr>
        <w:spacing w:before="120"/>
      </w:pPr>
      <w:r w:rsidRPr="00067C48">
        <w:rPr>
          <w:noProof/>
          <w:lang w:eastAsia="et-EE"/>
        </w:rPr>
        <w:drawing>
          <wp:inline distT="0" distB="0" distL="0" distR="0">
            <wp:extent cx="5851525" cy="3022189"/>
            <wp:effectExtent l="19050" t="0" r="15875" b="6761"/>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6319C" w:rsidRDefault="00B6319C" w:rsidP="00C470A0">
      <w:pPr>
        <w:pStyle w:val="Pealkiri4"/>
      </w:pPr>
      <w:bookmarkStart w:id="178" w:name="_Toc418016359"/>
      <w:r w:rsidRPr="00085878">
        <w:t>Maareformi seaduse alusel hoonestusõiguse seadmine</w:t>
      </w:r>
      <w:bookmarkEnd w:id="178"/>
    </w:p>
    <w:p w:rsidR="00B6319C" w:rsidRDefault="00B6319C" w:rsidP="00B6319C">
      <w:r w:rsidRPr="009A04C6">
        <w:t>Maareformi seaduse §35</w:t>
      </w:r>
      <w:r w:rsidRPr="009A04C6">
        <w:rPr>
          <w:vertAlign w:val="superscript"/>
        </w:rPr>
        <w:t xml:space="preserve">1 </w:t>
      </w:r>
      <w:r w:rsidRPr="009A04C6">
        <w:t>alusel</w:t>
      </w:r>
      <w:r>
        <w:t xml:space="preserve"> seatakse hoonestusõigus ehitise omaniku kasuks, kes ei soovi või kellel ei ole õigust maad omandada. Kui ehitise omanik ei avalda soovi või ei sõlmi lepingut, seatakse maavanema otsuse alusel sundhoonestusõigus. Hoonestusõiguse aastatasu määratakse maa maksustamishinna ja katastriüksuse sihtotstarbe alusel (ärimaal 5%, tootmis- ja transpordimaal 4% ja muude sihtotstarvete puhul 2% maa maksustamishinnast), kuid see ei saa olla väiksem, kui 10 eurot. </w:t>
      </w:r>
    </w:p>
    <w:p w:rsidR="00B6319C" w:rsidRPr="00E61E61" w:rsidRDefault="00B6319C" w:rsidP="007D3801">
      <w:pPr>
        <w:rPr>
          <w:noProof/>
        </w:rPr>
      </w:pPr>
      <w:r w:rsidRPr="00E61E61">
        <w:rPr>
          <w:noProof/>
        </w:rPr>
        <w:t xml:space="preserve">Uute </w:t>
      </w:r>
      <w:r>
        <w:rPr>
          <w:noProof/>
        </w:rPr>
        <w:t xml:space="preserve">hoonestusõiguse </w:t>
      </w:r>
      <w:r w:rsidRPr="00E61E61">
        <w:rPr>
          <w:noProof/>
        </w:rPr>
        <w:t xml:space="preserve">lepingute sõlmimine on viimasel kahel aastal oluliselt vähenenud, </w:t>
      </w:r>
      <w:r>
        <w:rPr>
          <w:noProof/>
        </w:rPr>
        <w:t>mis võib olla tingitud</w:t>
      </w:r>
      <w:r w:rsidRPr="00E61E61">
        <w:rPr>
          <w:noProof/>
        </w:rPr>
        <w:t xml:space="preserve"> hoonete aluse maa erastamisõiguse taastamise</w:t>
      </w:r>
      <w:r>
        <w:rPr>
          <w:noProof/>
        </w:rPr>
        <w:t>st</w:t>
      </w:r>
      <w:r w:rsidRPr="00E61E61">
        <w:rPr>
          <w:noProof/>
        </w:rPr>
        <w:t>.</w:t>
      </w:r>
      <w:r>
        <w:rPr>
          <w:noProof/>
        </w:rPr>
        <w:t xml:space="preserve"> </w:t>
      </w:r>
      <w:r w:rsidRPr="00E61E61">
        <w:rPr>
          <w:noProof/>
        </w:rPr>
        <w:t>Joonisel (</w:t>
      </w:r>
      <w:fldSimple w:instr=" REF _Ref418016170 \h  \* MERGEFORMAT ">
        <w:r w:rsidR="00477322">
          <w:rPr>
            <w:noProof/>
          </w:rPr>
          <w:t>Joonis 17</w:t>
        </w:r>
      </w:fldSimple>
      <w:r w:rsidRPr="00E61E61">
        <w:rPr>
          <w:noProof/>
        </w:rPr>
        <w:t xml:space="preserve">) on näidatud hoonestusõiguste seadmine ja lõpetamine aastate lõikes. </w:t>
      </w:r>
    </w:p>
    <w:p w:rsidR="00B6319C" w:rsidRPr="00B36892" w:rsidRDefault="00B6319C" w:rsidP="00B6319C">
      <w:r w:rsidRPr="00B36892">
        <w:t>Seoses hoonestusõigusega koormatud maa väljaostmisõigusega suurenes 2014. a</w:t>
      </w:r>
      <w:r>
        <w:t>astal</w:t>
      </w:r>
      <w:r w:rsidRPr="00B36892">
        <w:t xml:space="preserve"> hoonestusõiguste lõpetamine. 2014. a lõpuks oli maavalitsuste </w:t>
      </w:r>
      <w:r w:rsidR="007D3801">
        <w:t>haldamisel 1166 hoonestusõiguse</w:t>
      </w:r>
      <w:r w:rsidRPr="00B36892">
        <w:t xml:space="preserve"> lepingut, millest Ida-Viru Maavalitsusel 915 (78%). Hoonestusõiguse tasudena laekub kokku </w:t>
      </w:r>
      <w:r>
        <w:t>98 961</w:t>
      </w:r>
      <w:r w:rsidRPr="00B36892">
        <w:t xml:space="preserve"> eurot</w:t>
      </w:r>
      <w:r w:rsidRPr="001A32C8">
        <w:t xml:space="preserve"> </w:t>
      </w:r>
      <w:r w:rsidRPr="00B36892">
        <w:t>aastas.</w:t>
      </w:r>
    </w:p>
    <w:p w:rsidR="00B6319C" w:rsidRDefault="00B6319C" w:rsidP="00B6319C">
      <w:pPr>
        <w:pStyle w:val="Caption"/>
        <w:jc w:val="both"/>
      </w:pPr>
      <w:bookmarkStart w:id="179" w:name="_Ref418016170"/>
      <w:r>
        <w:t xml:space="preserve">Joonis </w:t>
      </w:r>
      <w:fldSimple w:instr=" SEQ Joonis \* ARABIC ">
        <w:r w:rsidR="00477322">
          <w:rPr>
            <w:noProof/>
          </w:rPr>
          <w:t>17</w:t>
        </w:r>
      </w:fldSimple>
      <w:bookmarkEnd w:id="179"/>
      <w:r>
        <w:t>.</w:t>
      </w:r>
      <w:r w:rsidRPr="0028700A">
        <w:t xml:space="preserve"> </w:t>
      </w:r>
      <w:r>
        <w:t>MRS alusel hoonestusõiguse seadmine ja lõpetamine</w:t>
      </w:r>
    </w:p>
    <w:p w:rsidR="00B6319C" w:rsidRPr="00107518" w:rsidRDefault="00B6319C" w:rsidP="00B6319C">
      <w:pPr>
        <w:pStyle w:val="Caption"/>
        <w:jc w:val="both"/>
      </w:pPr>
      <w:r w:rsidRPr="00067C48">
        <w:rPr>
          <w:noProof/>
          <w:lang w:eastAsia="et-EE"/>
        </w:rPr>
        <w:drawing>
          <wp:inline distT="0" distB="0" distL="0" distR="0">
            <wp:extent cx="5851525" cy="2467271"/>
            <wp:effectExtent l="19050" t="0" r="15875" b="9229"/>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319C" w:rsidRDefault="00B6319C" w:rsidP="00D92E38">
      <w:pPr>
        <w:pStyle w:val="Pealkiri2"/>
      </w:pPr>
      <w:bookmarkStart w:id="180" w:name="_Toc433980702"/>
      <w:bookmarkStart w:id="181" w:name="_Toc411870327"/>
      <w:bookmarkStart w:id="182" w:name="_Toc418016360"/>
      <w:r>
        <w:t xml:space="preserve">Riigivara </w:t>
      </w:r>
      <w:r w:rsidRPr="00FD3A71">
        <w:t>väärtus</w:t>
      </w:r>
      <w:bookmarkEnd w:id="180"/>
    </w:p>
    <w:p w:rsidR="00B6319C" w:rsidRDefault="00B6319C" w:rsidP="00D92E38">
      <w:r>
        <w:t>Seisuga 31.12.2014 on riigi raamatupidamise andmetel riigieelarveliste asutuste (v.a RMK) kinnisvara jääkmaksumus bilansis 2,4 miljardit eurot (</w:t>
      </w:r>
      <w:fldSimple w:instr=" REF _Ref419454855 \h  \* MERGEFORMAT ">
        <w:r w:rsidR="00477322" w:rsidRPr="003C33DD">
          <w:t>Tabel</w:t>
        </w:r>
        <w:r w:rsidR="00477322">
          <w:t xml:space="preserve"> 14</w:t>
        </w:r>
      </w:fldSimple>
      <w:r>
        <w:t>). RMK valitsemisel ole</w:t>
      </w:r>
      <w:r w:rsidR="005B0860">
        <w:t>vate varade väärtus on 1,2 milja</w:t>
      </w:r>
      <w:r>
        <w:t>rdit eurot, sh maa väärtus 0,33 ja metsa väärtus 0,74 miljardit eurot (</w:t>
      </w:r>
      <w:fldSimple w:instr=" REF _Ref419459579 \h  \* MERGEFORMAT ">
        <w:r w:rsidR="00477322">
          <w:t>Tabel 15</w:t>
        </w:r>
      </w:fldSimple>
      <w:r>
        <w:t>).</w:t>
      </w:r>
    </w:p>
    <w:p w:rsidR="00B6319C" w:rsidRDefault="00B6319C" w:rsidP="003C33DD">
      <w:pPr>
        <w:pStyle w:val="Caption"/>
      </w:pPr>
      <w:bookmarkStart w:id="183" w:name="_Ref419454855"/>
      <w:r w:rsidRPr="003C33DD">
        <w:t>Tabel</w:t>
      </w:r>
      <w:r>
        <w:t xml:space="preserve"> </w:t>
      </w:r>
      <w:fldSimple w:instr=" SEQ Tabel \* ARABIC ">
        <w:r w:rsidR="00477322">
          <w:rPr>
            <w:noProof/>
          </w:rPr>
          <w:t>14</w:t>
        </w:r>
      </w:fldSimple>
      <w:bookmarkEnd w:id="183"/>
      <w:r>
        <w:t>. Riigi (v.a RMK) omandis oleva kinnisvara jääkmaksumus bilansis aastate lõikes</w:t>
      </w:r>
    </w:p>
    <w:tbl>
      <w:tblPr>
        <w:tblW w:w="7811" w:type="dxa"/>
        <w:tblInd w:w="56" w:type="dxa"/>
        <w:tblCellMar>
          <w:left w:w="70" w:type="dxa"/>
          <w:right w:w="70" w:type="dxa"/>
        </w:tblCellMar>
        <w:tblLook w:val="04A0"/>
      </w:tblPr>
      <w:tblGrid>
        <w:gridCol w:w="2849"/>
        <w:gridCol w:w="1701"/>
        <w:gridCol w:w="1701"/>
        <w:gridCol w:w="1560"/>
      </w:tblGrid>
      <w:tr w:rsidR="00911760" w:rsidRPr="00911760" w:rsidTr="00911760">
        <w:trPr>
          <w:trHeight w:val="315"/>
        </w:trPr>
        <w:tc>
          <w:tcPr>
            <w:tcW w:w="2849"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Vara</w:t>
            </w:r>
          </w:p>
        </w:tc>
        <w:tc>
          <w:tcPr>
            <w:tcW w:w="1701" w:type="dxa"/>
            <w:tcBorders>
              <w:top w:val="single" w:sz="8" w:space="0" w:color="auto"/>
              <w:left w:val="nil"/>
              <w:bottom w:val="single" w:sz="8" w:space="0" w:color="auto"/>
              <w:right w:val="single" w:sz="8" w:space="0" w:color="auto"/>
            </w:tcBorders>
            <w:shd w:val="clear" w:color="000000" w:fill="DBEEF3"/>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2012</w:t>
            </w:r>
          </w:p>
        </w:tc>
        <w:tc>
          <w:tcPr>
            <w:tcW w:w="1701" w:type="dxa"/>
            <w:tcBorders>
              <w:top w:val="single" w:sz="8" w:space="0" w:color="auto"/>
              <w:left w:val="nil"/>
              <w:bottom w:val="single" w:sz="8" w:space="0" w:color="auto"/>
              <w:right w:val="single" w:sz="8" w:space="0" w:color="auto"/>
            </w:tcBorders>
            <w:shd w:val="clear" w:color="000000" w:fill="DBEEF3"/>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2013</w:t>
            </w:r>
          </w:p>
        </w:tc>
        <w:tc>
          <w:tcPr>
            <w:tcW w:w="1560" w:type="dxa"/>
            <w:tcBorders>
              <w:top w:val="single" w:sz="8" w:space="0" w:color="auto"/>
              <w:left w:val="nil"/>
              <w:bottom w:val="single" w:sz="8" w:space="0" w:color="auto"/>
              <w:right w:val="single" w:sz="8" w:space="0" w:color="auto"/>
            </w:tcBorders>
            <w:shd w:val="clear" w:color="000000" w:fill="DBEEF3"/>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2014</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 xml:space="preserve">Kinnisvarainvesteeringud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49 126 817</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47 269 285</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41 853 205</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Maa</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127 928 099</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124 029 648</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124 328 516</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246E0D" w:rsidP="00911760">
            <w:pPr>
              <w:spacing w:before="0"/>
              <w:jc w:val="left"/>
              <w:rPr>
                <w:rFonts w:eastAsia="Times New Roman"/>
                <w:color w:val="000000"/>
                <w:sz w:val="18"/>
                <w:szCs w:val="18"/>
                <w:lang w:eastAsia="et-EE"/>
              </w:rPr>
            </w:pPr>
            <w:r>
              <w:rPr>
                <w:rFonts w:eastAsia="Times New Roman" w:cs="Arial"/>
                <w:bCs/>
                <w:color w:val="000000"/>
                <w:sz w:val="18"/>
                <w:szCs w:val="18"/>
                <w:lang w:eastAsia="et-EE"/>
              </w:rPr>
              <w:t>Maa</w:t>
            </w:r>
            <w:r w:rsidR="00911760" w:rsidRPr="00911760">
              <w:rPr>
                <w:rFonts w:eastAsia="Times New Roman" w:cs="Arial"/>
                <w:bCs/>
                <w:color w:val="000000"/>
                <w:sz w:val="18"/>
                <w:szCs w:val="18"/>
                <w:lang w:eastAsia="et-EE"/>
              </w:rPr>
              <w:t xml:space="preserve"> </w:t>
            </w:r>
            <w:r>
              <w:rPr>
                <w:rFonts w:eastAsia="Times New Roman" w:cs="Arial"/>
                <w:bCs/>
                <w:color w:val="000000"/>
                <w:sz w:val="18"/>
                <w:szCs w:val="18"/>
                <w:lang w:eastAsia="et-EE"/>
              </w:rPr>
              <w:t>(</w:t>
            </w:r>
            <w:r w:rsidR="00911760" w:rsidRPr="00911760">
              <w:rPr>
                <w:rFonts w:eastAsia="Times New Roman" w:cs="Arial"/>
                <w:bCs/>
                <w:color w:val="000000"/>
                <w:sz w:val="18"/>
                <w:szCs w:val="18"/>
                <w:lang w:eastAsia="et-EE"/>
              </w:rPr>
              <w:t>€/m²</w:t>
            </w:r>
            <w:r>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0,05</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0,05</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0,05</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Hooned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811 900 137</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786 044 071</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737 613 970</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Hooned</w:t>
            </w:r>
            <w:r w:rsidR="00246E0D">
              <w:rPr>
                <w:rFonts w:eastAsia="Times New Roman" w:cs="Arial"/>
                <w:bCs/>
                <w:color w:val="000000"/>
                <w:sz w:val="18"/>
                <w:szCs w:val="18"/>
                <w:lang w:eastAsia="et-EE"/>
              </w:rPr>
              <w:t xml:space="preserve"> (</w:t>
            </w:r>
            <w:r w:rsidR="00246E0D" w:rsidRPr="00911760">
              <w:rPr>
                <w:rFonts w:eastAsia="Times New Roman" w:cs="Arial"/>
                <w:bCs/>
                <w:color w:val="000000"/>
                <w:sz w:val="18"/>
                <w:szCs w:val="18"/>
                <w:lang w:eastAsia="et-EE"/>
              </w:rPr>
              <w:t>€/m²</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520</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523</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519</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Rajatised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1 217 513 823</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1 287 016 327</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1 289 104 580</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ind w:firstLineChars="100" w:firstLine="180"/>
              <w:jc w:val="left"/>
              <w:rPr>
                <w:rFonts w:eastAsia="Times New Roman"/>
                <w:color w:val="000000"/>
                <w:sz w:val="18"/>
                <w:szCs w:val="18"/>
                <w:lang w:eastAsia="et-EE"/>
              </w:rPr>
            </w:pPr>
            <w:r w:rsidRPr="00911760">
              <w:rPr>
                <w:rFonts w:eastAsia="Times New Roman" w:cs="Arial"/>
                <w:bCs/>
                <w:color w:val="000000"/>
                <w:sz w:val="18"/>
                <w:szCs w:val="18"/>
                <w:lang w:eastAsia="et-EE"/>
              </w:rPr>
              <w:t>sh teed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1 093 845 140</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1 167 503 340</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1 166 731 533</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Lõpetamata ehitused ja etapiviisilised soetused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154 106 486</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120 855 385</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166 889 980</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Mets</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7 659 475</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7 659 475</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7 659 475</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DBEEF3"/>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000000" w:fill="DBEEF3"/>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2 368 234 837</w:t>
            </w:r>
          </w:p>
        </w:tc>
        <w:tc>
          <w:tcPr>
            <w:tcW w:w="1701" w:type="dxa"/>
            <w:tcBorders>
              <w:top w:val="nil"/>
              <w:left w:val="nil"/>
              <w:bottom w:val="single" w:sz="8" w:space="0" w:color="auto"/>
              <w:right w:val="single" w:sz="8" w:space="0" w:color="auto"/>
            </w:tcBorders>
            <w:shd w:val="clear" w:color="000000" w:fill="DBEEF3"/>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2 372 874 192</w:t>
            </w:r>
          </w:p>
        </w:tc>
        <w:tc>
          <w:tcPr>
            <w:tcW w:w="1560" w:type="dxa"/>
            <w:tcBorders>
              <w:top w:val="nil"/>
              <w:left w:val="nil"/>
              <w:bottom w:val="single" w:sz="8" w:space="0" w:color="auto"/>
              <w:right w:val="single" w:sz="8" w:space="0" w:color="auto"/>
            </w:tcBorders>
            <w:shd w:val="clear" w:color="000000" w:fill="DBEEF3"/>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2 367 449 727</w:t>
            </w:r>
          </w:p>
        </w:tc>
      </w:tr>
    </w:tbl>
    <w:p w:rsidR="00B6319C" w:rsidRDefault="00B6319C" w:rsidP="003C33DD">
      <w:pPr>
        <w:rPr>
          <w:lang w:eastAsia="et-EE"/>
        </w:rPr>
      </w:pPr>
      <w:r w:rsidRPr="00791DEA">
        <w:rPr>
          <w:lang w:eastAsia="et-EE"/>
        </w:rPr>
        <w:t xml:space="preserve">Tabelist nähtub, et ligikaudu poole riigi kinnisvara maksumusest moodustavad teed ning ca kolmandiku hooned. Riigivara väärtus on kolme aasta jooksul </w:t>
      </w:r>
      <w:r>
        <w:rPr>
          <w:lang w:eastAsia="et-EE"/>
        </w:rPr>
        <w:t>vähe muutunud</w:t>
      </w:r>
      <w:r w:rsidRPr="00791DEA">
        <w:rPr>
          <w:lang w:eastAsia="et-EE"/>
        </w:rPr>
        <w:t xml:space="preserve">. </w:t>
      </w:r>
    </w:p>
    <w:p w:rsidR="00B6319C" w:rsidRDefault="00B6319C" w:rsidP="003C33DD">
      <w:pPr>
        <w:rPr>
          <w:lang w:eastAsia="et-EE"/>
        </w:rPr>
      </w:pPr>
      <w:r w:rsidRPr="004A43A4">
        <w:rPr>
          <w:lang w:eastAsia="et-EE"/>
        </w:rPr>
        <w:t xml:space="preserve">Riigi omandis maa väärtus ilma RMK-ta on 124,3 miljonit eurot (0,05 €/m²). </w:t>
      </w:r>
      <w:r>
        <w:rPr>
          <w:lang w:eastAsia="et-EE"/>
        </w:rPr>
        <w:t xml:space="preserve">Riigi maa väärtus bilansis tugineb viimati 2001. aastal läbi viidud korralise hindamise tulemustele ega kajasta väärtust adekvaatselt ja õiglaselt. </w:t>
      </w:r>
      <w:r w:rsidRPr="001E08DA">
        <w:rPr>
          <w:b/>
          <w:lang w:eastAsia="et-EE"/>
        </w:rPr>
        <w:t>Uue korralise hindamise läbi viimine maa hindamise seaduse alusel tõstaks väärtust kordades.</w:t>
      </w:r>
      <w:r>
        <w:rPr>
          <w:lang w:eastAsia="et-EE"/>
        </w:rPr>
        <w:t xml:space="preserve"> </w:t>
      </w:r>
    </w:p>
    <w:p w:rsidR="00911760" w:rsidRDefault="00911760" w:rsidP="003C33DD">
      <w:pPr>
        <w:rPr>
          <w:lang w:eastAsia="et-EE"/>
        </w:rPr>
      </w:pPr>
      <w:r>
        <w:rPr>
          <w:lang w:eastAsia="et-EE"/>
        </w:rPr>
        <w:t>RMK-le kuuluva kinnisvara väärtus on esitatud järgnevas tabelis (</w:t>
      </w:r>
      <w:fldSimple w:instr=" REF _Ref419459579 \h  \* MERGEFORMAT ">
        <w:r w:rsidR="00477322">
          <w:rPr>
            <w:lang w:eastAsia="et-EE"/>
          </w:rPr>
          <w:t>Tabel 15</w:t>
        </w:r>
      </w:fldSimple>
      <w:r>
        <w:rPr>
          <w:lang w:eastAsia="et-EE"/>
        </w:rPr>
        <w:t>).</w:t>
      </w:r>
    </w:p>
    <w:p w:rsidR="00B6319C" w:rsidRDefault="00B6319C" w:rsidP="003C33DD">
      <w:pPr>
        <w:pStyle w:val="Caption"/>
      </w:pPr>
      <w:bookmarkStart w:id="184" w:name="_Ref419459579"/>
      <w:r>
        <w:t xml:space="preserve">Tabel </w:t>
      </w:r>
      <w:fldSimple w:instr=" SEQ Tabel \* ARABIC ">
        <w:r w:rsidR="00477322">
          <w:rPr>
            <w:noProof/>
          </w:rPr>
          <w:t>15</w:t>
        </w:r>
      </w:fldSimple>
      <w:bookmarkEnd w:id="184"/>
      <w:r>
        <w:t xml:space="preserve">. </w:t>
      </w:r>
      <w:r w:rsidRPr="003C33DD">
        <w:t>RMK</w:t>
      </w:r>
      <w:r>
        <w:t xml:space="preserve"> valitsemisel oleva kinnisvara jääkmaksumus bilansis aastate lõikes</w:t>
      </w:r>
    </w:p>
    <w:tbl>
      <w:tblPr>
        <w:tblW w:w="7811" w:type="dxa"/>
        <w:tblInd w:w="56" w:type="dxa"/>
        <w:tblCellMar>
          <w:left w:w="70" w:type="dxa"/>
          <w:right w:w="70" w:type="dxa"/>
        </w:tblCellMar>
        <w:tblLook w:val="04A0"/>
      </w:tblPr>
      <w:tblGrid>
        <w:gridCol w:w="2849"/>
        <w:gridCol w:w="1701"/>
        <w:gridCol w:w="1701"/>
        <w:gridCol w:w="1560"/>
      </w:tblGrid>
      <w:tr w:rsidR="00911760" w:rsidRPr="00911760" w:rsidTr="00911760">
        <w:trPr>
          <w:trHeight w:val="315"/>
        </w:trPr>
        <w:tc>
          <w:tcPr>
            <w:tcW w:w="2849"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911760" w:rsidRPr="00911760" w:rsidRDefault="00911760" w:rsidP="00911760">
            <w:pPr>
              <w:spacing w:before="0"/>
              <w:jc w:val="left"/>
              <w:rPr>
                <w:rFonts w:eastAsia="Times New Roman"/>
                <w:b/>
                <w:bCs/>
                <w:color w:val="000000"/>
                <w:sz w:val="18"/>
                <w:szCs w:val="18"/>
                <w:lang w:eastAsia="et-EE"/>
              </w:rPr>
            </w:pPr>
            <w:r w:rsidRPr="00911760">
              <w:rPr>
                <w:rFonts w:eastAsia="Times New Roman" w:cs="Arial"/>
                <w:b/>
                <w:bCs/>
                <w:color w:val="000000"/>
                <w:sz w:val="18"/>
                <w:szCs w:val="18"/>
                <w:lang w:eastAsia="et-EE"/>
              </w:rPr>
              <w:t>Vara</w:t>
            </w:r>
          </w:p>
        </w:tc>
        <w:tc>
          <w:tcPr>
            <w:tcW w:w="1701" w:type="dxa"/>
            <w:tcBorders>
              <w:top w:val="single" w:sz="8" w:space="0" w:color="auto"/>
              <w:left w:val="nil"/>
              <w:bottom w:val="single" w:sz="8" w:space="0" w:color="auto"/>
              <w:right w:val="single" w:sz="8" w:space="0" w:color="auto"/>
            </w:tcBorders>
            <w:shd w:val="clear" w:color="000000" w:fill="DBE5F1"/>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2012</w:t>
            </w:r>
          </w:p>
        </w:tc>
        <w:tc>
          <w:tcPr>
            <w:tcW w:w="1701" w:type="dxa"/>
            <w:tcBorders>
              <w:top w:val="single" w:sz="8" w:space="0" w:color="auto"/>
              <w:left w:val="nil"/>
              <w:bottom w:val="single" w:sz="8" w:space="0" w:color="auto"/>
              <w:right w:val="single" w:sz="8" w:space="0" w:color="auto"/>
            </w:tcBorders>
            <w:shd w:val="clear" w:color="000000" w:fill="DBE5F1"/>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2013</w:t>
            </w:r>
          </w:p>
        </w:tc>
        <w:tc>
          <w:tcPr>
            <w:tcW w:w="1560" w:type="dxa"/>
            <w:tcBorders>
              <w:top w:val="single" w:sz="8" w:space="0" w:color="auto"/>
              <w:left w:val="nil"/>
              <w:bottom w:val="single" w:sz="8" w:space="0" w:color="auto"/>
              <w:right w:val="single" w:sz="8" w:space="0" w:color="auto"/>
            </w:tcBorders>
            <w:shd w:val="clear" w:color="000000" w:fill="DBE5F1"/>
            <w:noWrap/>
            <w:vAlign w:val="bottom"/>
            <w:hideMark/>
          </w:tcPr>
          <w:p w:rsidR="00911760" w:rsidRPr="00911760" w:rsidRDefault="00911760" w:rsidP="00911760">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2014</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Kinnisvarainvesteeringud</w:t>
            </w:r>
            <w:r w:rsidR="00655E3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0</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0</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7 119 651</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Maa</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309 298 766</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323 884 807</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329 386 795</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color w:val="000000"/>
                <w:sz w:val="18"/>
                <w:szCs w:val="18"/>
                <w:lang w:eastAsia="et-EE"/>
              </w:rPr>
              <w:t>Maa</w:t>
            </w:r>
            <w:r w:rsidR="00246E0D">
              <w:rPr>
                <w:rFonts w:eastAsia="Times New Roman" w:cs="Arial"/>
                <w:color w:val="000000"/>
                <w:sz w:val="18"/>
                <w:szCs w:val="18"/>
                <w:lang w:eastAsia="et-EE"/>
              </w:rPr>
              <w:t xml:space="preserve"> </w:t>
            </w:r>
            <w:r w:rsidR="00246E0D">
              <w:rPr>
                <w:rFonts w:eastAsia="Times New Roman" w:cs="Arial"/>
                <w:bCs/>
                <w:color w:val="000000"/>
                <w:sz w:val="18"/>
                <w:szCs w:val="18"/>
                <w:lang w:eastAsia="et-EE"/>
              </w:rPr>
              <w:t>(</w:t>
            </w:r>
            <w:r w:rsidR="00246E0D" w:rsidRPr="00911760">
              <w:rPr>
                <w:rFonts w:eastAsia="Times New Roman" w:cs="Arial"/>
                <w:bCs/>
                <w:color w:val="000000"/>
                <w:sz w:val="18"/>
                <w:szCs w:val="18"/>
                <w:lang w:eastAsia="et-EE"/>
              </w:rPr>
              <w:t>€/m²</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0,02</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0,02</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0,02</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Hooned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17 074 807</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19 371 734</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16 413 134</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color w:val="000000"/>
                <w:sz w:val="18"/>
                <w:szCs w:val="18"/>
                <w:lang w:eastAsia="et-EE"/>
              </w:rPr>
              <w:t>Hooned</w:t>
            </w:r>
            <w:r w:rsidR="00246E0D">
              <w:rPr>
                <w:rFonts w:eastAsia="Times New Roman" w:cs="Arial"/>
                <w:color w:val="000000"/>
                <w:sz w:val="18"/>
                <w:szCs w:val="18"/>
                <w:lang w:eastAsia="et-EE"/>
              </w:rPr>
              <w:t xml:space="preserve"> </w:t>
            </w:r>
            <w:r w:rsidR="00246E0D">
              <w:rPr>
                <w:rFonts w:eastAsia="Times New Roman" w:cs="Arial"/>
                <w:bCs/>
                <w:color w:val="000000"/>
                <w:sz w:val="18"/>
                <w:szCs w:val="18"/>
                <w:lang w:eastAsia="et-EE"/>
              </w:rPr>
              <w:t>(</w:t>
            </w:r>
            <w:r w:rsidR="00246E0D" w:rsidRPr="00911760">
              <w:rPr>
                <w:rFonts w:eastAsia="Times New Roman" w:cs="Arial"/>
                <w:bCs/>
                <w:color w:val="000000"/>
                <w:sz w:val="18"/>
                <w:szCs w:val="18"/>
                <w:lang w:eastAsia="et-EE"/>
              </w:rPr>
              <w:t>€/m²</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173</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215</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187</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Rajatised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49 996 744</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63 913 753</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73 259 670</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ind w:firstLineChars="100" w:firstLine="180"/>
              <w:jc w:val="left"/>
              <w:rPr>
                <w:rFonts w:eastAsia="Times New Roman"/>
                <w:color w:val="000000"/>
                <w:sz w:val="18"/>
                <w:szCs w:val="18"/>
                <w:lang w:eastAsia="et-EE"/>
              </w:rPr>
            </w:pPr>
            <w:r w:rsidRPr="00911760">
              <w:rPr>
                <w:rFonts w:eastAsia="Times New Roman" w:cs="Arial"/>
                <w:color w:val="000000"/>
                <w:sz w:val="18"/>
                <w:szCs w:val="18"/>
                <w:lang w:eastAsia="et-EE"/>
              </w:rPr>
              <w:t>sh teed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30 557 778</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39 368 449</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color w:val="000000"/>
                <w:sz w:val="18"/>
                <w:szCs w:val="18"/>
                <w:lang w:eastAsia="et-EE"/>
              </w:rPr>
              <w:t>47 602 175</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Lõpetamata ehitused ja etapiviisilised soetused</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38 053</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3 906 860</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9 401 664</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FFFFFF"/>
            <w:noWrap/>
            <w:vAlign w:val="bottom"/>
            <w:hideMark/>
          </w:tcPr>
          <w:p w:rsidR="00911760" w:rsidRPr="00911760" w:rsidRDefault="00911760" w:rsidP="00911760">
            <w:pPr>
              <w:spacing w:before="0"/>
              <w:jc w:val="left"/>
              <w:rPr>
                <w:rFonts w:eastAsia="Times New Roman"/>
                <w:color w:val="000000"/>
                <w:sz w:val="18"/>
                <w:szCs w:val="18"/>
                <w:lang w:eastAsia="et-EE"/>
              </w:rPr>
            </w:pPr>
            <w:r w:rsidRPr="00911760">
              <w:rPr>
                <w:rFonts w:eastAsia="Times New Roman" w:cs="Arial"/>
                <w:bCs/>
                <w:color w:val="000000"/>
                <w:sz w:val="18"/>
                <w:szCs w:val="18"/>
                <w:lang w:eastAsia="et-EE"/>
              </w:rPr>
              <w:t>Mets</w:t>
            </w:r>
            <w:r w:rsidR="00246E0D" w:rsidRPr="00911760">
              <w:rPr>
                <w:rFonts w:eastAsia="Times New Roman" w:cs="Arial"/>
                <w:bCs/>
                <w:color w:val="000000"/>
                <w:sz w:val="18"/>
                <w:szCs w:val="18"/>
                <w:lang w:eastAsia="et-EE"/>
              </w:rPr>
              <w:t xml:space="preserve"> </w:t>
            </w:r>
            <w:r w:rsidR="00246E0D">
              <w:rPr>
                <w:rFonts w:eastAsia="Times New Roman" w:cs="Arial"/>
                <w:bCs/>
                <w:color w:val="000000"/>
                <w:sz w:val="18"/>
                <w:szCs w:val="18"/>
                <w:lang w:eastAsia="et-EE"/>
              </w:rPr>
              <w:t>(€)</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741 847 889</w:t>
            </w:r>
          </w:p>
        </w:tc>
        <w:tc>
          <w:tcPr>
            <w:tcW w:w="1701"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741 847 889</w:t>
            </w:r>
          </w:p>
        </w:tc>
        <w:tc>
          <w:tcPr>
            <w:tcW w:w="1560" w:type="dxa"/>
            <w:tcBorders>
              <w:top w:val="nil"/>
              <w:left w:val="nil"/>
              <w:bottom w:val="single" w:sz="8" w:space="0" w:color="auto"/>
              <w:right w:val="single" w:sz="8" w:space="0" w:color="auto"/>
            </w:tcBorders>
            <w:shd w:val="clear" w:color="000000" w:fill="FFFFFF"/>
            <w:noWrap/>
            <w:vAlign w:val="bottom"/>
            <w:hideMark/>
          </w:tcPr>
          <w:p w:rsidR="00911760" w:rsidRPr="00911760" w:rsidRDefault="00911760" w:rsidP="00246E0D">
            <w:pPr>
              <w:spacing w:before="0"/>
              <w:jc w:val="center"/>
              <w:rPr>
                <w:rFonts w:eastAsia="Times New Roman"/>
                <w:color w:val="000000"/>
                <w:sz w:val="18"/>
                <w:szCs w:val="18"/>
                <w:lang w:eastAsia="et-EE"/>
              </w:rPr>
            </w:pPr>
            <w:r w:rsidRPr="00911760">
              <w:rPr>
                <w:rFonts w:eastAsia="Times New Roman" w:cs="Arial"/>
                <w:bCs/>
                <w:color w:val="000000"/>
                <w:sz w:val="18"/>
                <w:szCs w:val="18"/>
                <w:lang w:eastAsia="et-EE"/>
              </w:rPr>
              <w:t>741 847 889</w:t>
            </w:r>
          </w:p>
        </w:tc>
      </w:tr>
      <w:tr w:rsidR="00911760" w:rsidRPr="00911760" w:rsidTr="00911760">
        <w:trPr>
          <w:trHeight w:val="315"/>
        </w:trPr>
        <w:tc>
          <w:tcPr>
            <w:tcW w:w="2849" w:type="dxa"/>
            <w:tcBorders>
              <w:top w:val="nil"/>
              <w:left w:val="single" w:sz="8" w:space="0" w:color="auto"/>
              <w:bottom w:val="single" w:sz="8" w:space="0" w:color="auto"/>
              <w:right w:val="single" w:sz="8" w:space="0" w:color="auto"/>
            </w:tcBorders>
            <w:shd w:val="clear" w:color="000000" w:fill="DBE5F1"/>
            <w:noWrap/>
            <w:vAlign w:val="bottom"/>
            <w:hideMark/>
          </w:tcPr>
          <w:p w:rsidR="00911760" w:rsidRPr="00911760" w:rsidRDefault="00911760" w:rsidP="00911760">
            <w:pPr>
              <w:spacing w:before="0"/>
              <w:jc w:val="left"/>
              <w:rPr>
                <w:rFonts w:eastAsia="Times New Roman"/>
                <w:b/>
                <w:bCs/>
                <w:color w:val="000000"/>
                <w:sz w:val="18"/>
                <w:szCs w:val="18"/>
                <w:lang w:eastAsia="et-EE"/>
              </w:rPr>
            </w:pPr>
            <w:r w:rsidRPr="00911760">
              <w:rPr>
                <w:rFonts w:eastAsia="Times New Roman" w:cs="Arial"/>
                <w:b/>
                <w:bCs/>
                <w:color w:val="000000"/>
                <w:sz w:val="18"/>
                <w:szCs w:val="18"/>
                <w:lang w:eastAsia="et-EE"/>
              </w:rPr>
              <w:t>Kokku</w:t>
            </w:r>
          </w:p>
        </w:tc>
        <w:tc>
          <w:tcPr>
            <w:tcW w:w="1701" w:type="dxa"/>
            <w:tcBorders>
              <w:top w:val="nil"/>
              <w:left w:val="nil"/>
              <w:bottom w:val="single" w:sz="8" w:space="0" w:color="auto"/>
              <w:right w:val="single" w:sz="8" w:space="0" w:color="auto"/>
            </w:tcBorders>
            <w:shd w:val="clear" w:color="000000" w:fill="DBE5F1"/>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1 118 256 259</w:t>
            </w:r>
          </w:p>
        </w:tc>
        <w:tc>
          <w:tcPr>
            <w:tcW w:w="1701" w:type="dxa"/>
            <w:tcBorders>
              <w:top w:val="nil"/>
              <w:left w:val="nil"/>
              <w:bottom w:val="single" w:sz="8" w:space="0" w:color="auto"/>
              <w:right w:val="single" w:sz="8" w:space="0" w:color="auto"/>
            </w:tcBorders>
            <w:shd w:val="clear" w:color="000000" w:fill="DBE5F1"/>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1 152 925 044</w:t>
            </w:r>
          </w:p>
        </w:tc>
        <w:tc>
          <w:tcPr>
            <w:tcW w:w="1560" w:type="dxa"/>
            <w:tcBorders>
              <w:top w:val="nil"/>
              <w:left w:val="nil"/>
              <w:bottom w:val="single" w:sz="8" w:space="0" w:color="auto"/>
              <w:right w:val="single" w:sz="8" w:space="0" w:color="auto"/>
            </w:tcBorders>
            <w:shd w:val="clear" w:color="000000" w:fill="DBE5F1"/>
            <w:noWrap/>
            <w:vAlign w:val="bottom"/>
            <w:hideMark/>
          </w:tcPr>
          <w:p w:rsidR="00911760" w:rsidRPr="00911760" w:rsidRDefault="00911760" w:rsidP="00246E0D">
            <w:pPr>
              <w:spacing w:before="0"/>
              <w:jc w:val="center"/>
              <w:rPr>
                <w:rFonts w:eastAsia="Times New Roman"/>
                <w:b/>
                <w:bCs/>
                <w:color w:val="000000"/>
                <w:sz w:val="18"/>
                <w:szCs w:val="18"/>
                <w:lang w:eastAsia="et-EE"/>
              </w:rPr>
            </w:pPr>
            <w:r w:rsidRPr="00911760">
              <w:rPr>
                <w:rFonts w:eastAsia="Times New Roman" w:cs="Arial"/>
                <w:b/>
                <w:bCs/>
                <w:color w:val="000000"/>
                <w:sz w:val="18"/>
                <w:szCs w:val="18"/>
                <w:lang w:eastAsia="et-EE"/>
              </w:rPr>
              <w:t>1 177 428 803</w:t>
            </w:r>
          </w:p>
        </w:tc>
      </w:tr>
    </w:tbl>
    <w:p w:rsidR="00B6319C" w:rsidRPr="00791DEA" w:rsidRDefault="00B6319C" w:rsidP="003C33DD">
      <w:pPr>
        <w:rPr>
          <w:lang w:eastAsia="et-EE"/>
        </w:rPr>
      </w:pPr>
      <w:r w:rsidRPr="00791DEA">
        <w:rPr>
          <w:lang w:eastAsia="et-EE"/>
        </w:rPr>
        <w:t xml:space="preserve">Raamatupidamise andmetele tuginedes on riigi hoonete kulum </w:t>
      </w:r>
      <w:r>
        <w:rPr>
          <w:lang w:eastAsia="et-EE"/>
        </w:rPr>
        <w:t xml:space="preserve">keskmiselt </w:t>
      </w:r>
      <w:r w:rsidRPr="00791DEA">
        <w:rPr>
          <w:lang w:eastAsia="et-EE"/>
        </w:rPr>
        <w:t>24% (</w:t>
      </w:r>
      <w:fldSimple w:instr=" REF _Ref419458932 \h  \* MERGEFORMAT ">
        <w:r w:rsidR="00477322">
          <w:t>Tabel 16</w:t>
        </w:r>
      </w:fldSimple>
      <w:r w:rsidRPr="00791DEA">
        <w:rPr>
          <w:lang w:eastAsia="et-EE"/>
        </w:rPr>
        <w:t>).</w:t>
      </w:r>
    </w:p>
    <w:p w:rsidR="00B6319C" w:rsidRDefault="00B6319C" w:rsidP="003C33DD">
      <w:pPr>
        <w:pStyle w:val="Caption"/>
      </w:pPr>
      <w:bookmarkStart w:id="185" w:name="_Ref419458932"/>
      <w:r>
        <w:t xml:space="preserve">Tabel </w:t>
      </w:r>
      <w:fldSimple w:instr=" SEQ Tabel \* ARABIC ">
        <w:r w:rsidR="00477322">
          <w:rPr>
            <w:noProof/>
          </w:rPr>
          <w:t>16</w:t>
        </w:r>
      </w:fldSimple>
      <w:bookmarkEnd w:id="185"/>
      <w:r>
        <w:t xml:space="preserve">. Riigi hoonete </w:t>
      </w:r>
      <w:r w:rsidRPr="003C33DD">
        <w:t>kulum</w:t>
      </w:r>
    </w:p>
    <w:tbl>
      <w:tblPr>
        <w:tblW w:w="7523" w:type="dxa"/>
        <w:tblInd w:w="60" w:type="dxa"/>
        <w:tblCellMar>
          <w:left w:w="70" w:type="dxa"/>
          <w:right w:w="70" w:type="dxa"/>
        </w:tblCellMar>
        <w:tblLook w:val="04A0"/>
      </w:tblPr>
      <w:tblGrid>
        <w:gridCol w:w="1660"/>
        <w:gridCol w:w="1660"/>
        <w:gridCol w:w="1860"/>
        <w:gridCol w:w="1351"/>
        <w:gridCol w:w="992"/>
      </w:tblGrid>
      <w:tr w:rsidR="00B6319C" w:rsidTr="00CD371C">
        <w:trPr>
          <w:trHeight w:val="270"/>
        </w:trPr>
        <w:tc>
          <w:tcPr>
            <w:tcW w:w="1660"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B6319C" w:rsidRPr="00972772" w:rsidRDefault="00B6319C" w:rsidP="003C33DD">
            <w:pPr>
              <w:outlineLvl w:val="1"/>
              <w:rPr>
                <w:rFonts w:cs="Arial"/>
                <w:sz w:val="18"/>
                <w:szCs w:val="18"/>
              </w:rPr>
            </w:pPr>
            <w:r w:rsidRPr="00972772">
              <w:rPr>
                <w:rFonts w:cs="Arial"/>
                <w:sz w:val="18"/>
                <w:szCs w:val="18"/>
              </w:rPr>
              <w:t> </w:t>
            </w:r>
          </w:p>
        </w:tc>
        <w:tc>
          <w:tcPr>
            <w:tcW w:w="1660" w:type="dxa"/>
            <w:tcBorders>
              <w:top w:val="single" w:sz="8" w:space="0" w:color="auto"/>
              <w:left w:val="nil"/>
              <w:bottom w:val="single" w:sz="8" w:space="0" w:color="auto"/>
              <w:right w:val="single" w:sz="8" w:space="0" w:color="auto"/>
            </w:tcBorders>
            <w:shd w:val="clear" w:color="000000" w:fill="DBE5F1"/>
            <w:noWrap/>
            <w:vAlign w:val="bottom"/>
            <w:hideMark/>
          </w:tcPr>
          <w:p w:rsidR="00B6319C" w:rsidRPr="00972772" w:rsidRDefault="00B6319C" w:rsidP="003C33DD">
            <w:pPr>
              <w:jc w:val="center"/>
              <w:outlineLvl w:val="1"/>
              <w:rPr>
                <w:rFonts w:cs="Arial"/>
                <w:sz w:val="18"/>
                <w:szCs w:val="18"/>
              </w:rPr>
            </w:pPr>
            <w:bookmarkStart w:id="186" w:name="_Toc423964691"/>
            <w:bookmarkStart w:id="187" w:name="_Toc424055100"/>
            <w:bookmarkStart w:id="188" w:name="_Toc424061769"/>
            <w:bookmarkStart w:id="189" w:name="_Toc424745219"/>
            <w:bookmarkStart w:id="190" w:name="_Toc427076097"/>
            <w:bookmarkStart w:id="191" w:name="_Toc427166548"/>
            <w:bookmarkStart w:id="192" w:name="_Toc427311243"/>
            <w:bookmarkStart w:id="193" w:name="_Toc433980703"/>
            <w:r w:rsidRPr="00972772">
              <w:rPr>
                <w:rFonts w:cs="Arial"/>
                <w:sz w:val="18"/>
                <w:szCs w:val="18"/>
              </w:rPr>
              <w:t>Jääkmaksumus, €</w:t>
            </w:r>
            <w:bookmarkEnd w:id="186"/>
            <w:bookmarkEnd w:id="187"/>
            <w:bookmarkEnd w:id="188"/>
            <w:bookmarkEnd w:id="189"/>
            <w:bookmarkEnd w:id="190"/>
            <w:bookmarkEnd w:id="191"/>
            <w:bookmarkEnd w:id="192"/>
            <w:bookmarkEnd w:id="193"/>
          </w:p>
        </w:tc>
        <w:tc>
          <w:tcPr>
            <w:tcW w:w="1860" w:type="dxa"/>
            <w:tcBorders>
              <w:top w:val="single" w:sz="8" w:space="0" w:color="auto"/>
              <w:left w:val="nil"/>
              <w:bottom w:val="single" w:sz="8" w:space="0" w:color="auto"/>
              <w:right w:val="single" w:sz="8" w:space="0" w:color="auto"/>
            </w:tcBorders>
            <w:shd w:val="clear" w:color="000000" w:fill="DBE5F1"/>
            <w:noWrap/>
            <w:vAlign w:val="bottom"/>
            <w:hideMark/>
          </w:tcPr>
          <w:p w:rsidR="00B6319C" w:rsidRPr="00972772" w:rsidRDefault="00B6319C" w:rsidP="003C33DD">
            <w:pPr>
              <w:jc w:val="center"/>
              <w:outlineLvl w:val="1"/>
              <w:rPr>
                <w:rFonts w:cs="Arial"/>
                <w:sz w:val="18"/>
                <w:szCs w:val="18"/>
              </w:rPr>
            </w:pPr>
            <w:bookmarkStart w:id="194" w:name="_Toc423964692"/>
            <w:bookmarkStart w:id="195" w:name="_Toc424055101"/>
            <w:bookmarkStart w:id="196" w:name="_Toc424061770"/>
            <w:bookmarkStart w:id="197" w:name="_Toc424745220"/>
            <w:bookmarkStart w:id="198" w:name="_Toc427076098"/>
            <w:bookmarkStart w:id="199" w:name="_Toc427166549"/>
            <w:bookmarkStart w:id="200" w:name="_Toc427311244"/>
            <w:bookmarkStart w:id="201" w:name="_Toc433980704"/>
            <w:r w:rsidRPr="00972772">
              <w:rPr>
                <w:rFonts w:cs="Arial"/>
                <w:sz w:val="18"/>
                <w:szCs w:val="18"/>
              </w:rPr>
              <w:t>Soetusmaksumus, €</w:t>
            </w:r>
            <w:bookmarkEnd w:id="194"/>
            <w:bookmarkEnd w:id="195"/>
            <w:bookmarkEnd w:id="196"/>
            <w:bookmarkEnd w:id="197"/>
            <w:bookmarkEnd w:id="198"/>
            <w:bookmarkEnd w:id="199"/>
            <w:bookmarkEnd w:id="200"/>
            <w:bookmarkEnd w:id="201"/>
          </w:p>
        </w:tc>
        <w:tc>
          <w:tcPr>
            <w:tcW w:w="1351" w:type="dxa"/>
            <w:tcBorders>
              <w:top w:val="single" w:sz="8" w:space="0" w:color="auto"/>
              <w:left w:val="nil"/>
              <w:bottom w:val="single" w:sz="8" w:space="0" w:color="auto"/>
              <w:right w:val="single" w:sz="8" w:space="0" w:color="auto"/>
            </w:tcBorders>
            <w:shd w:val="clear" w:color="000000" w:fill="DBE5F1"/>
            <w:noWrap/>
            <w:vAlign w:val="bottom"/>
            <w:hideMark/>
          </w:tcPr>
          <w:p w:rsidR="00B6319C" w:rsidRPr="00972772" w:rsidRDefault="00B6319C" w:rsidP="003C33DD">
            <w:pPr>
              <w:jc w:val="center"/>
              <w:outlineLvl w:val="1"/>
              <w:rPr>
                <w:rFonts w:cs="Arial"/>
                <w:sz w:val="18"/>
                <w:szCs w:val="18"/>
              </w:rPr>
            </w:pPr>
            <w:bookmarkStart w:id="202" w:name="_Toc423964693"/>
            <w:bookmarkStart w:id="203" w:name="_Toc424055102"/>
            <w:bookmarkStart w:id="204" w:name="_Toc424061771"/>
            <w:bookmarkStart w:id="205" w:name="_Toc424745221"/>
            <w:bookmarkStart w:id="206" w:name="_Toc427076099"/>
            <w:bookmarkStart w:id="207" w:name="_Toc427166550"/>
            <w:bookmarkStart w:id="208" w:name="_Toc427311245"/>
            <w:bookmarkStart w:id="209" w:name="_Toc433980705"/>
            <w:r w:rsidRPr="00972772">
              <w:rPr>
                <w:rFonts w:cs="Arial"/>
                <w:sz w:val="18"/>
                <w:szCs w:val="18"/>
              </w:rPr>
              <w:t>Kulum, €</w:t>
            </w:r>
            <w:bookmarkEnd w:id="202"/>
            <w:bookmarkEnd w:id="203"/>
            <w:bookmarkEnd w:id="204"/>
            <w:bookmarkEnd w:id="205"/>
            <w:bookmarkEnd w:id="206"/>
            <w:bookmarkEnd w:id="207"/>
            <w:bookmarkEnd w:id="208"/>
            <w:bookmarkEnd w:id="209"/>
          </w:p>
        </w:tc>
        <w:tc>
          <w:tcPr>
            <w:tcW w:w="992" w:type="dxa"/>
            <w:tcBorders>
              <w:top w:val="single" w:sz="8" w:space="0" w:color="auto"/>
              <w:left w:val="nil"/>
              <w:bottom w:val="single" w:sz="8" w:space="0" w:color="auto"/>
              <w:right w:val="single" w:sz="8" w:space="0" w:color="auto"/>
            </w:tcBorders>
            <w:shd w:val="clear" w:color="000000" w:fill="DBE5F1"/>
            <w:noWrap/>
            <w:vAlign w:val="bottom"/>
            <w:hideMark/>
          </w:tcPr>
          <w:p w:rsidR="00B6319C" w:rsidRPr="00972772" w:rsidRDefault="00B6319C" w:rsidP="003C33DD">
            <w:pPr>
              <w:jc w:val="center"/>
              <w:outlineLvl w:val="1"/>
              <w:rPr>
                <w:rFonts w:cs="Arial"/>
                <w:sz w:val="18"/>
                <w:szCs w:val="18"/>
              </w:rPr>
            </w:pPr>
            <w:bookmarkStart w:id="210" w:name="_Toc423964694"/>
            <w:bookmarkStart w:id="211" w:name="_Toc424055103"/>
            <w:bookmarkStart w:id="212" w:name="_Toc424061772"/>
            <w:bookmarkStart w:id="213" w:name="_Toc424745222"/>
            <w:bookmarkStart w:id="214" w:name="_Toc427076100"/>
            <w:bookmarkStart w:id="215" w:name="_Toc427166551"/>
            <w:bookmarkStart w:id="216" w:name="_Toc427311246"/>
            <w:bookmarkStart w:id="217" w:name="_Toc433980706"/>
            <w:r w:rsidRPr="00972772">
              <w:rPr>
                <w:rFonts w:cs="Arial"/>
                <w:sz w:val="18"/>
                <w:szCs w:val="18"/>
              </w:rPr>
              <w:t>Kulum, %</w:t>
            </w:r>
            <w:bookmarkEnd w:id="210"/>
            <w:bookmarkEnd w:id="211"/>
            <w:bookmarkEnd w:id="212"/>
            <w:bookmarkEnd w:id="213"/>
            <w:bookmarkEnd w:id="214"/>
            <w:bookmarkEnd w:id="215"/>
            <w:bookmarkEnd w:id="216"/>
            <w:bookmarkEnd w:id="217"/>
          </w:p>
        </w:tc>
      </w:tr>
      <w:tr w:rsidR="00B6319C" w:rsidTr="00CD371C">
        <w:trPr>
          <w:trHeight w:val="234"/>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B6319C" w:rsidRPr="00972772" w:rsidRDefault="00B6319C" w:rsidP="003C33DD">
            <w:pPr>
              <w:jc w:val="left"/>
              <w:outlineLvl w:val="1"/>
              <w:rPr>
                <w:rFonts w:cs="Arial"/>
                <w:sz w:val="18"/>
                <w:szCs w:val="18"/>
              </w:rPr>
            </w:pPr>
            <w:bookmarkStart w:id="218" w:name="_Toc423964695"/>
            <w:bookmarkStart w:id="219" w:name="_Toc424055104"/>
            <w:bookmarkStart w:id="220" w:name="_Toc424061773"/>
            <w:bookmarkStart w:id="221" w:name="_Toc424745223"/>
            <w:bookmarkStart w:id="222" w:name="_Toc427076101"/>
            <w:bookmarkStart w:id="223" w:name="_Toc427166552"/>
            <w:bookmarkStart w:id="224" w:name="_Toc427311247"/>
            <w:bookmarkStart w:id="225" w:name="_Toc433980707"/>
            <w:r w:rsidRPr="00972772">
              <w:rPr>
                <w:rFonts w:cs="Arial"/>
                <w:sz w:val="18"/>
                <w:szCs w:val="18"/>
              </w:rPr>
              <w:t>Hooned</w:t>
            </w:r>
            <w:bookmarkEnd w:id="218"/>
            <w:bookmarkEnd w:id="219"/>
            <w:bookmarkEnd w:id="220"/>
            <w:bookmarkEnd w:id="221"/>
            <w:bookmarkEnd w:id="222"/>
            <w:bookmarkEnd w:id="223"/>
            <w:bookmarkEnd w:id="224"/>
            <w:bookmarkEnd w:id="225"/>
          </w:p>
        </w:tc>
        <w:tc>
          <w:tcPr>
            <w:tcW w:w="16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b/>
                <w:bCs/>
                <w:sz w:val="18"/>
                <w:szCs w:val="18"/>
              </w:rPr>
            </w:pPr>
            <w:bookmarkStart w:id="226" w:name="_Toc423964696"/>
            <w:bookmarkStart w:id="227" w:name="_Toc424055105"/>
            <w:bookmarkStart w:id="228" w:name="_Toc424061774"/>
            <w:bookmarkStart w:id="229" w:name="_Toc424745224"/>
            <w:bookmarkStart w:id="230" w:name="_Toc427076102"/>
            <w:bookmarkStart w:id="231" w:name="_Toc427166553"/>
            <w:bookmarkStart w:id="232" w:name="_Toc427311248"/>
            <w:bookmarkStart w:id="233" w:name="_Toc433980708"/>
            <w:r w:rsidRPr="00972772">
              <w:rPr>
                <w:rFonts w:cs="Arial"/>
                <w:b/>
                <w:bCs/>
                <w:sz w:val="18"/>
                <w:szCs w:val="18"/>
              </w:rPr>
              <w:t>737 613 970</w:t>
            </w:r>
            <w:bookmarkEnd w:id="226"/>
            <w:bookmarkEnd w:id="227"/>
            <w:bookmarkEnd w:id="228"/>
            <w:bookmarkEnd w:id="229"/>
            <w:bookmarkEnd w:id="230"/>
            <w:bookmarkEnd w:id="231"/>
            <w:bookmarkEnd w:id="232"/>
            <w:bookmarkEnd w:id="233"/>
          </w:p>
        </w:tc>
        <w:tc>
          <w:tcPr>
            <w:tcW w:w="18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b/>
                <w:bCs/>
                <w:sz w:val="18"/>
                <w:szCs w:val="18"/>
              </w:rPr>
            </w:pPr>
            <w:bookmarkStart w:id="234" w:name="_Toc423964697"/>
            <w:bookmarkStart w:id="235" w:name="_Toc424055106"/>
            <w:bookmarkStart w:id="236" w:name="_Toc424061775"/>
            <w:bookmarkStart w:id="237" w:name="_Toc424745225"/>
            <w:bookmarkStart w:id="238" w:name="_Toc427076103"/>
            <w:bookmarkStart w:id="239" w:name="_Toc427166554"/>
            <w:bookmarkStart w:id="240" w:name="_Toc427311249"/>
            <w:bookmarkStart w:id="241" w:name="_Toc433980709"/>
            <w:r w:rsidRPr="00972772">
              <w:rPr>
                <w:rFonts w:cs="Arial"/>
                <w:b/>
                <w:bCs/>
                <w:sz w:val="18"/>
                <w:szCs w:val="18"/>
              </w:rPr>
              <w:t>966 831 070</w:t>
            </w:r>
            <w:bookmarkEnd w:id="234"/>
            <w:bookmarkEnd w:id="235"/>
            <w:bookmarkEnd w:id="236"/>
            <w:bookmarkEnd w:id="237"/>
            <w:bookmarkEnd w:id="238"/>
            <w:bookmarkEnd w:id="239"/>
            <w:bookmarkEnd w:id="240"/>
            <w:bookmarkEnd w:id="241"/>
          </w:p>
        </w:tc>
        <w:tc>
          <w:tcPr>
            <w:tcW w:w="1351"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b/>
                <w:bCs/>
                <w:sz w:val="18"/>
                <w:szCs w:val="18"/>
              </w:rPr>
            </w:pPr>
            <w:bookmarkStart w:id="242" w:name="_Toc423964698"/>
            <w:bookmarkStart w:id="243" w:name="_Toc424055107"/>
            <w:bookmarkStart w:id="244" w:name="_Toc424061776"/>
            <w:bookmarkStart w:id="245" w:name="_Toc424745226"/>
            <w:bookmarkStart w:id="246" w:name="_Toc427076104"/>
            <w:bookmarkStart w:id="247" w:name="_Toc427166555"/>
            <w:bookmarkStart w:id="248" w:name="_Toc427311250"/>
            <w:bookmarkStart w:id="249" w:name="_Toc433980710"/>
            <w:r w:rsidRPr="00972772">
              <w:rPr>
                <w:rFonts w:cs="Arial"/>
                <w:b/>
                <w:bCs/>
                <w:sz w:val="18"/>
                <w:szCs w:val="18"/>
              </w:rPr>
              <w:t>-229 217 100</w:t>
            </w:r>
            <w:bookmarkEnd w:id="242"/>
            <w:bookmarkEnd w:id="243"/>
            <w:bookmarkEnd w:id="244"/>
            <w:bookmarkEnd w:id="245"/>
            <w:bookmarkEnd w:id="246"/>
            <w:bookmarkEnd w:id="247"/>
            <w:bookmarkEnd w:id="248"/>
            <w:bookmarkEnd w:id="249"/>
          </w:p>
        </w:tc>
        <w:tc>
          <w:tcPr>
            <w:tcW w:w="992"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250" w:name="_Toc423964699"/>
            <w:bookmarkStart w:id="251" w:name="_Toc424055108"/>
            <w:bookmarkStart w:id="252" w:name="_Toc424061777"/>
            <w:bookmarkStart w:id="253" w:name="_Toc424745227"/>
            <w:bookmarkStart w:id="254" w:name="_Toc427076105"/>
            <w:bookmarkStart w:id="255" w:name="_Toc427166556"/>
            <w:bookmarkStart w:id="256" w:name="_Toc427311251"/>
            <w:bookmarkStart w:id="257" w:name="_Toc433980711"/>
            <w:r w:rsidRPr="00972772">
              <w:rPr>
                <w:rFonts w:cs="Arial"/>
                <w:sz w:val="18"/>
                <w:szCs w:val="18"/>
              </w:rPr>
              <w:t>-24%</w:t>
            </w:r>
            <w:bookmarkEnd w:id="250"/>
            <w:bookmarkEnd w:id="251"/>
            <w:bookmarkEnd w:id="252"/>
            <w:bookmarkEnd w:id="253"/>
            <w:bookmarkEnd w:id="254"/>
            <w:bookmarkEnd w:id="255"/>
            <w:bookmarkEnd w:id="256"/>
            <w:bookmarkEnd w:id="257"/>
          </w:p>
        </w:tc>
      </w:tr>
      <w:tr w:rsidR="00B6319C" w:rsidTr="00CD371C">
        <w:trPr>
          <w:trHeight w:val="270"/>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B6319C" w:rsidRPr="00972772" w:rsidRDefault="00B6319C" w:rsidP="003C33DD">
            <w:pPr>
              <w:jc w:val="left"/>
              <w:outlineLvl w:val="1"/>
              <w:rPr>
                <w:rFonts w:cs="Arial"/>
                <w:sz w:val="18"/>
                <w:szCs w:val="18"/>
              </w:rPr>
            </w:pPr>
            <w:bookmarkStart w:id="258" w:name="_Toc423964700"/>
            <w:bookmarkStart w:id="259" w:name="_Toc424055109"/>
            <w:bookmarkStart w:id="260" w:name="_Toc424061778"/>
            <w:bookmarkStart w:id="261" w:name="_Toc424745228"/>
            <w:bookmarkStart w:id="262" w:name="_Toc427076106"/>
            <w:bookmarkStart w:id="263" w:name="_Toc427166557"/>
            <w:bookmarkStart w:id="264" w:name="_Toc427311252"/>
            <w:bookmarkStart w:id="265" w:name="_Toc433980712"/>
            <w:r w:rsidRPr="00972772">
              <w:rPr>
                <w:rFonts w:cs="Arial"/>
                <w:sz w:val="18"/>
                <w:szCs w:val="18"/>
              </w:rPr>
              <w:t>sh eluhooned</w:t>
            </w:r>
            <w:bookmarkEnd w:id="258"/>
            <w:bookmarkEnd w:id="259"/>
            <w:bookmarkEnd w:id="260"/>
            <w:bookmarkEnd w:id="261"/>
            <w:bookmarkEnd w:id="262"/>
            <w:bookmarkEnd w:id="263"/>
            <w:bookmarkEnd w:id="264"/>
            <w:bookmarkEnd w:id="265"/>
          </w:p>
        </w:tc>
        <w:tc>
          <w:tcPr>
            <w:tcW w:w="16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266" w:name="_Toc423964701"/>
            <w:bookmarkStart w:id="267" w:name="_Toc424055110"/>
            <w:bookmarkStart w:id="268" w:name="_Toc424061779"/>
            <w:bookmarkStart w:id="269" w:name="_Toc424745229"/>
            <w:bookmarkStart w:id="270" w:name="_Toc427076107"/>
            <w:bookmarkStart w:id="271" w:name="_Toc427166558"/>
            <w:bookmarkStart w:id="272" w:name="_Toc427311253"/>
            <w:bookmarkStart w:id="273" w:name="_Toc433980713"/>
            <w:r w:rsidRPr="00972772">
              <w:rPr>
                <w:rFonts w:cs="Arial"/>
                <w:sz w:val="18"/>
                <w:szCs w:val="18"/>
              </w:rPr>
              <w:t>33 149 842</w:t>
            </w:r>
            <w:bookmarkEnd w:id="266"/>
            <w:bookmarkEnd w:id="267"/>
            <w:bookmarkEnd w:id="268"/>
            <w:bookmarkEnd w:id="269"/>
            <w:bookmarkEnd w:id="270"/>
            <w:bookmarkEnd w:id="271"/>
            <w:bookmarkEnd w:id="272"/>
            <w:bookmarkEnd w:id="273"/>
          </w:p>
        </w:tc>
        <w:tc>
          <w:tcPr>
            <w:tcW w:w="18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274" w:name="_Toc423964702"/>
            <w:bookmarkStart w:id="275" w:name="_Toc424055111"/>
            <w:bookmarkStart w:id="276" w:name="_Toc424061780"/>
            <w:bookmarkStart w:id="277" w:name="_Toc424745230"/>
            <w:bookmarkStart w:id="278" w:name="_Toc427076108"/>
            <w:bookmarkStart w:id="279" w:name="_Toc427166559"/>
            <w:bookmarkStart w:id="280" w:name="_Toc427311254"/>
            <w:bookmarkStart w:id="281" w:name="_Toc433980714"/>
            <w:r w:rsidRPr="00972772">
              <w:rPr>
                <w:rFonts w:cs="Arial"/>
                <w:sz w:val="18"/>
                <w:szCs w:val="18"/>
              </w:rPr>
              <w:t>48 246 865</w:t>
            </w:r>
            <w:bookmarkEnd w:id="274"/>
            <w:bookmarkEnd w:id="275"/>
            <w:bookmarkEnd w:id="276"/>
            <w:bookmarkEnd w:id="277"/>
            <w:bookmarkEnd w:id="278"/>
            <w:bookmarkEnd w:id="279"/>
            <w:bookmarkEnd w:id="280"/>
            <w:bookmarkEnd w:id="281"/>
          </w:p>
        </w:tc>
        <w:tc>
          <w:tcPr>
            <w:tcW w:w="1351"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282" w:name="_Toc423964703"/>
            <w:bookmarkStart w:id="283" w:name="_Toc424055112"/>
            <w:bookmarkStart w:id="284" w:name="_Toc424061781"/>
            <w:bookmarkStart w:id="285" w:name="_Toc424745231"/>
            <w:bookmarkStart w:id="286" w:name="_Toc427076109"/>
            <w:bookmarkStart w:id="287" w:name="_Toc427166560"/>
            <w:bookmarkStart w:id="288" w:name="_Toc427311255"/>
            <w:bookmarkStart w:id="289" w:name="_Toc433980715"/>
            <w:r w:rsidRPr="00972772">
              <w:rPr>
                <w:rFonts w:cs="Arial"/>
                <w:sz w:val="18"/>
                <w:szCs w:val="18"/>
              </w:rPr>
              <w:t>-15 097 023</w:t>
            </w:r>
            <w:bookmarkEnd w:id="282"/>
            <w:bookmarkEnd w:id="283"/>
            <w:bookmarkEnd w:id="284"/>
            <w:bookmarkEnd w:id="285"/>
            <w:bookmarkEnd w:id="286"/>
            <w:bookmarkEnd w:id="287"/>
            <w:bookmarkEnd w:id="288"/>
            <w:bookmarkEnd w:id="289"/>
          </w:p>
        </w:tc>
        <w:tc>
          <w:tcPr>
            <w:tcW w:w="992"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290" w:name="_Toc423964704"/>
            <w:bookmarkStart w:id="291" w:name="_Toc424055113"/>
            <w:bookmarkStart w:id="292" w:name="_Toc424061782"/>
            <w:bookmarkStart w:id="293" w:name="_Toc424745232"/>
            <w:bookmarkStart w:id="294" w:name="_Toc427076110"/>
            <w:bookmarkStart w:id="295" w:name="_Toc427166561"/>
            <w:bookmarkStart w:id="296" w:name="_Toc427311256"/>
            <w:bookmarkStart w:id="297" w:name="_Toc433980716"/>
            <w:r w:rsidRPr="00972772">
              <w:rPr>
                <w:rFonts w:cs="Arial"/>
                <w:sz w:val="18"/>
                <w:szCs w:val="18"/>
              </w:rPr>
              <w:t>-31%</w:t>
            </w:r>
            <w:bookmarkEnd w:id="290"/>
            <w:bookmarkEnd w:id="291"/>
            <w:bookmarkEnd w:id="292"/>
            <w:bookmarkEnd w:id="293"/>
            <w:bookmarkEnd w:id="294"/>
            <w:bookmarkEnd w:id="295"/>
            <w:bookmarkEnd w:id="296"/>
            <w:bookmarkEnd w:id="297"/>
          </w:p>
        </w:tc>
      </w:tr>
      <w:tr w:rsidR="00B6319C" w:rsidTr="00CD371C">
        <w:trPr>
          <w:trHeight w:val="270"/>
        </w:trPr>
        <w:tc>
          <w:tcPr>
            <w:tcW w:w="1660" w:type="dxa"/>
            <w:tcBorders>
              <w:top w:val="nil"/>
              <w:left w:val="single" w:sz="8" w:space="0" w:color="auto"/>
              <w:bottom w:val="single" w:sz="8" w:space="0" w:color="auto"/>
              <w:right w:val="single" w:sz="8" w:space="0" w:color="auto"/>
            </w:tcBorders>
            <w:shd w:val="clear" w:color="000000" w:fill="FFFFFF"/>
            <w:noWrap/>
            <w:vAlign w:val="bottom"/>
            <w:hideMark/>
          </w:tcPr>
          <w:p w:rsidR="00B6319C" w:rsidRPr="00972772" w:rsidRDefault="00B6319C" w:rsidP="003C33DD">
            <w:pPr>
              <w:jc w:val="left"/>
              <w:outlineLvl w:val="1"/>
              <w:rPr>
                <w:rFonts w:cs="Arial"/>
                <w:sz w:val="18"/>
                <w:szCs w:val="18"/>
              </w:rPr>
            </w:pPr>
            <w:bookmarkStart w:id="298" w:name="_Toc423964705"/>
            <w:bookmarkStart w:id="299" w:name="_Toc424055114"/>
            <w:bookmarkStart w:id="300" w:name="_Toc424061783"/>
            <w:bookmarkStart w:id="301" w:name="_Toc424745233"/>
            <w:bookmarkStart w:id="302" w:name="_Toc427076111"/>
            <w:bookmarkStart w:id="303" w:name="_Toc427166562"/>
            <w:bookmarkStart w:id="304" w:name="_Toc427311257"/>
            <w:bookmarkStart w:id="305" w:name="_Toc433980717"/>
            <w:r w:rsidRPr="00972772">
              <w:rPr>
                <w:rFonts w:cs="Arial"/>
                <w:sz w:val="18"/>
                <w:szCs w:val="18"/>
              </w:rPr>
              <w:t>sh mitteeluhooned</w:t>
            </w:r>
            <w:bookmarkEnd w:id="298"/>
            <w:bookmarkEnd w:id="299"/>
            <w:bookmarkEnd w:id="300"/>
            <w:bookmarkEnd w:id="301"/>
            <w:bookmarkEnd w:id="302"/>
            <w:bookmarkEnd w:id="303"/>
            <w:bookmarkEnd w:id="304"/>
            <w:bookmarkEnd w:id="305"/>
          </w:p>
        </w:tc>
        <w:tc>
          <w:tcPr>
            <w:tcW w:w="16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306" w:name="_Toc423964706"/>
            <w:bookmarkStart w:id="307" w:name="_Toc424055115"/>
            <w:bookmarkStart w:id="308" w:name="_Toc424061784"/>
            <w:bookmarkStart w:id="309" w:name="_Toc424745234"/>
            <w:bookmarkStart w:id="310" w:name="_Toc427076112"/>
            <w:bookmarkStart w:id="311" w:name="_Toc427166563"/>
            <w:bookmarkStart w:id="312" w:name="_Toc427311258"/>
            <w:bookmarkStart w:id="313" w:name="_Toc433980718"/>
            <w:r w:rsidRPr="00972772">
              <w:rPr>
                <w:rFonts w:cs="Arial"/>
                <w:sz w:val="18"/>
                <w:szCs w:val="18"/>
              </w:rPr>
              <w:t>704 464 128</w:t>
            </w:r>
            <w:bookmarkEnd w:id="306"/>
            <w:bookmarkEnd w:id="307"/>
            <w:bookmarkEnd w:id="308"/>
            <w:bookmarkEnd w:id="309"/>
            <w:bookmarkEnd w:id="310"/>
            <w:bookmarkEnd w:id="311"/>
            <w:bookmarkEnd w:id="312"/>
            <w:bookmarkEnd w:id="313"/>
          </w:p>
        </w:tc>
        <w:tc>
          <w:tcPr>
            <w:tcW w:w="1860"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314" w:name="_Toc423964707"/>
            <w:bookmarkStart w:id="315" w:name="_Toc424055116"/>
            <w:bookmarkStart w:id="316" w:name="_Toc424061785"/>
            <w:bookmarkStart w:id="317" w:name="_Toc424745235"/>
            <w:bookmarkStart w:id="318" w:name="_Toc427076113"/>
            <w:bookmarkStart w:id="319" w:name="_Toc427166564"/>
            <w:bookmarkStart w:id="320" w:name="_Toc427311259"/>
            <w:bookmarkStart w:id="321" w:name="_Toc433980719"/>
            <w:r w:rsidRPr="00972772">
              <w:rPr>
                <w:rFonts w:cs="Arial"/>
                <w:sz w:val="18"/>
                <w:szCs w:val="18"/>
              </w:rPr>
              <w:t>918 584 206</w:t>
            </w:r>
            <w:bookmarkEnd w:id="314"/>
            <w:bookmarkEnd w:id="315"/>
            <w:bookmarkEnd w:id="316"/>
            <w:bookmarkEnd w:id="317"/>
            <w:bookmarkEnd w:id="318"/>
            <w:bookmarkEnd w:id="319"/>
            <w:bookmarkEnd w:id="320"/>
            <w:bookmarkEnd w:id="321"/>
          </w:p>
        </w:tc>
        <w:tc>
          <w:tcPr>
            <w:tcW w:w="1351"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322" w:name="_Toc423964708"/>
            <w:bookmarkStart w:id="323" w:name="_Toc424055117"/>
            <w:bookmarkStart w:id="324" w:name="_Toc424061786"/>
            <w:bookmarkStart w:id="325" w:name="_Toc424745236"/>
            <w:bookmarkStart w:id="326" w:name="_Toc427076114"/>
            <w:bookmarkStart w:id="327" w:name="_Toc427166565"/>
            <w:bookmarkStart w:id="328" w:name="_Toc427311260"/>
            <w:bookmarkStart w:id="329" w:name="_Toc433980720"/>
            <w:r w:rsidRPr="00972772">
              <w:rPr>
                <w:rFonts w:cs="Arial"/>
                <w:sz w:val="18"/>
                <w:szCs w:val="18"/>
              </w:rPr>
              <w:t>-214 120 078</w:t>
            </w:r>
            <w:bookmarkEnd w:id="322"/>
            <w:bookmarkEnd w:id="323"/>
            <w:bookmarkEnd w:id="324"/>
            <w:bookmarkEnd w:id="325"/>
            <w:bookmarkEnd w:id="326"/>
            <w:bookmarkEnd w:id="327"/>
            <w:bookmarkEnd w:id="328"/>
            <w:bookmarkEnd w:id="329"/>
          </w:p>
        </w:tc>
        <w:tc>
          <w:tcPr>
            <w:tcW w:w="992" w:type="dxa"/>
            <w:tcBorders>
              <w:top w:val="nil"/>
              <w:left w:val="nil"/>
              <w:bottom w:val="single" w:sz="8" w:space="0" w:color="auto"/>
              <w:right w:val="single" w:sz="8" w:space="0" w:color="auto"/>
            </w:tcBorders>
            <w:shd w:val="clear" w:color="000000" w:fill="FFFFFF"/>
            <w:noWrap/>
            <w:vAlign w:val="bottom"/>
            <w:hideMark/>
          </w:tcPr>
          <w:p w:rsidR="00B6319C" w:rsidRPr="00972772" w:rsidRDefault="00B6319C" w:rsidP="003C33DD">
            <w:pPr>
              <w:jc w:val="center"/>
              <w:outlineLvl w:val="1"/>
              <w:rPr>
                <w:rFonts w:cs="Arial"/>
                <w:sz w:val="18"/>
                <w:szCs w:val="18"/>
              </w:rPr>
            </w:pPr>
            <w:bookmarkStart w:id="330" w:name="_Toc423964709"/>
            <w:bookmarkStart w:id="331" w:name="_Toc424055118"/>
            <w:bookmarkStart w:id="332" w:name="_Toc424061787"/>
            <w:bookmarkStart w:id="333" w:name="_Toc424745237"/>
            <w:bookmarkStart w:id="334" w:name="_Toc427076115"/>
            <w:bookmarkStart w:id="335" w:name="_Toc427166566"/>
            <w:bookmarkStart w:id="336" w:name="_Toc427311261"/>
            <w:bookmarkStart w:id="337" w:name="_Toc433980721"/>
            <w:r w:rsidRPr="00972772">
              <w:rPr>
                <w:rFonts w:cs="Arial"/>
                <w:sz w:val="18"/>
                <w:szCs w:val="18"/>
              </w:rPr>
              <w:t>-23%</w:t>
            </w:r>
            <w:bookmarkEnd w:id="330"/>
            <w:bookmarkEnd w:id="331"/>
            <w:bookmarkEnd w:id="332"/>
            <w:bookmarkEnd w:id="333"/>
            <w:bookmarkEnd w:id="334"/>
            <w:bookmarkEnd w:id="335"/>
            <w:bookmarkEnd w:id="336"/>
            <w:bookmarkEnd w:id="337"/>
          </w:p>
        </w:tc>
      </w:tr>
    </w:tbl>
    <w:p w:rsidR="00B6319C" w:rsidRPr="00D17378" w:rsidRDefault="00B6319C" w:rsidP="00C33A39">
      <w:pPr>
        <w:rPr>
          <w:lang w:eastAsia="et-EE"/>
        </w:rPr>
      </w:pPr>
    </w:p>
    <w:p w:rsidR="004F5682" w:rsidRPr="003B5910" w:rsidRDefault="00373551" w:rsidP="00F86DBE">
      <w:pPr>
        <w:pStyle w:val="Pealkiri1"/>
      </w:pPr>
      <w:bookmarkStart w:id="338" w:name="_Toc433980722"/>
      <w:bookmarkStart w:id="339" w:name="_Ref371687006"/>
      <w:bookmarkEnd w:id="181"/>
      <w:bookmarkEnd w:id="182"/>
      <w:r>
        <w:t>R</w:t>
      </w:r>
      <w:r w:rsidR="004F5682">
        <w:t>iigi kinnisvara juhtimise eesmärkide täitmine</w:t>
      </w:r>
      <w:bookmarkEnd w:id="338"/>
      <w:r w:rsidR="004F5682">
        <w:t xml:space="preserve"> </w:t>
      </w:r>
    </w:p>
    <w:p w:rsidR="004F5682" w:rsidRPr="001C3BFF" w:rsidRDefault="004F5682" w:rsidP="004F5682">
      <w:pPr>
        <w:rPr>
          <w:b/>
        </w:rPr>
      </w:pPr>
      <w:r w:rsidRPr="001C3BFF">
        <w:rPr>
          <w:b/>
        </w:rPr>
        <w:t>Riigi kinnisvara juhtimisega seotud eesmärgid tulenevad peamiselt:</w:t>
      </w:r>
    </w:p>
    <w:p w:rsidR="004F5682" w:rsidRDefault="004F5682" w:rsidP="00BC328B">
      <w:pPr>
        <w:pStyle w:val="ListParagraph"/>
      </w:pPr>
      <w:r>
        <w:t>Riigivaraseadusest (kehtib alates 2010), mis seab tähtaegu andmete korrastamisele ja üldised nõuded hoonestatud kinnisvara valitsemisele.</w:t>
      </w:r>
    </w:p>
    <w:p w:rsidR="004F5682" w:rsidRDefault="004F5682" w:rsidP="00BC328B">
      <w:pPr>
        <w:pStyle w:val="ListParagraph"/>
      </w:pPr>
      <w:r>
        <w:t xml:space="preserve">Muudest õigusaktidest tulenevad nõuded ja eesmärgid, mis riigile kui kinnisvara omanikule ja kasutajale kehtivad. Käesolevas aruandes on põhjalikumalt käsitletud energiatõhususe nõuete täimisega seotud eesmärke, mis tulenevad ehitusseadusest ja EL direktiividest. </w:t>
      </w:r>
    </w:p>
    <w:p w:rsidR="004F5682" w:rsidRDefault="004F5682" w:rsidP="00BC328B">
      <w:pPr>
        <w:pStyle w:val="ListParagraph"/>
      </w:pPr>
      <w:r>
        <w:t xml:space="preserve">Vabariigi Valitsuse tegevusprogrammist ja otsustest, mis on seotud riigi kinnisvarastrateegia elluviimisega, mis täpsustavad ja seavad konkreetseid tähtaegu strateegiast tulenevate eesmärkide täitmiseks. </w:t>
      </w:r>
    </w:p>
    <w:p w:rsidR="004F5682" w:rsidRPr="00055896" w:rsidRDefault="004F5682" w:rsidP="00BC328B">
      <w:pPr>
        <w:pStyle w:val="ListParagraph"/>
      </w:pPr>
      <w:r w:rsidRPr="00055896">
        <w:t>Riigi kinnisvarategevuse strateegiast (2007), mis sõnasta</w:t>
      </w:r>
      <w:r>
        <w:t>b</w:t>
      </w:r>
      <w:r w:rsidRPr="00055896">
        <w:t xml:space="preserve"> neli peaeesmärki: </w:t>
      </w:r>
    </w:p>
    <w:p w:rsidR="004F5682" w:rsidRPr="00055896" w:rsidRDefault="004F5682" w:rsidP="00607E04">
      <w:pPr>
        <w:pStyle w:val="Loend1"/>
      </w:pPr>
      <w:r w:rsidRPr="00055896">
        <w:t>Vajaliku vara tõhus arendamine</w:t>
      </w:r>
    </w:p>
    <w:p w:rsidR="004F5682" w:rsidRPr="00055896" w:rsidRDefault="004F5682" w:rsidP="00607E04">
      <w:pPr>
        <w:pStyle w:val="Loend1"/>
      </w:pPr>
      <w:r w:rsidRPr="00055896">
        <w:t>Vajaliku vara tõhus korrashoid</w:t>
      </w:r>
    </w:p>
    <w:p w:rsidR="004F5682" w:rsidRPr="00055896" w:rsidRDefault="004F5682" w:rsidP="00607E04">
      <w:pPr>
        <w:pStyle w:val="Loend1"/>
        <w:rPr>
          <w:iCs/>
        </w:rPr>
      </w:pPr>
      <w:r w:rsidRPr="00055896">
        <w:t>Mittevajalike varade käibesse suunamine</w:t>
      </w:r>
    </w:p>
    <w:p w:rsidR="004F5682" w:rsidRPr="002B12B1" w:rsidRDefault="004F5682" w:rsidP="00607E04">
      <w:pPr>
        <w:pStyle w:val="Loend1"/>
        <w:rPr>
          <w:iCs/>
        </w:rPr>
      </w:pPr>
      <w:r w:rsidRPr="00055896">
        <w:t>Riigi kinnisvarajuhtimise süsteemi loomine</w:t>
      </w:r>
    </w:p>
    <w:p w:rsidR="004F5682" w:rsidRDefault="004F5682" w:rsidP="004F5682">
      <w:r w:rsidRPr="00055896">
        <w:t>Kolme esimese nimetatu</w:t>
      </w:r>
      <w:r>
        <w:t>d eesmärgi elluviijaks on RKAS. Strateegia näeb ette riigi kinnisvara valitsemise RKAS-i kui kompetentsikeskuse kaudu. R</w:t>
      </w:r>
      <w:r w:rsidRPr="00B01B6C">
        <w:t xml:space="preserve">iigi </w:t>
      </w:r>
      <w:r>
        <w:t>omandis hooned v</w:t>
      </w:r>
      <w:r w:rsidRPr="00B01B6C">
        <w:t>õõrandatakse R</w:t>
      </w:r>
      <w:r>
        <w:t xml:space="preserve">KAS-ile mitterahalise sissemaksena, vajalikud hooned </w:t>
      </w:r>
      <w:r w:rsidRPr="00B01B6C">
        <w:t>renditakse tagasi</w:t>
      </w:r>
      <w:r>
        <w:t>, mittevajalikud hooned võõrandatakse. RKAS osutab riigile vajaliku kinnisvara korrashoiuteenuseid, riigiasutused on tellija rollis. Kahe poole suhet reguleerib üürileping. Investeeringud tehakse RKAS-i kaudu ja nende eest tasutakse üürimakses. Selle skeemi</w:t>
      </w:r>
      <w:r w:rsidRPr="00055896">
        <w:t xml:space="preserve"> üheks oluliseks eelduseks (alameesmärgiks) </w:t>
      </w:r>
      <w:r>
        <w:t xml:space="preserve">on </w:t>
      </w:r>
      <w:r w:rsidRPr="00055896">
        <w:t>riigile vajalike hoonete üleandmine RKAS-</w:t>
      </w:r>
      <w:r w:rsidR="005762C9">
        <w:t>i</w:t>
      </w:r>
      <w:r w:rsidRPr="00055896">
        <w:t xml:space="preserve">le. </w:t>
      </w:r>
    </w:p>
    <w:p w:rsidR="004F5682" w:rsidRDefault="004F5682" w:rsidP="004F5682">
      <w:r w:rsidRPr="00055896">
        <w:t>Neljanda eesmärgi elluviijaks on Rahandusmin</w:t>
      </w:r>
      <w:r>
        <w:t>i</w:t>
      </w:r>
      <w:r w:rsidRPr="00055896">
        <w:t>steerium.</w:t>
      </w:r>
    </w:p>
    <w:p w:rsidR="004F5682" w:rsidRDefault="004F5682" w:rsidP="004F5682">
      <w:r w:rsidDel="009E253B">
        <w:t>Riigivaraseadusest, riigi kinnisvarastrateegiast</w:t>
      </w:r>
      <w:r>
        <w:t xml:space="preserve"> ja </w:t>
      </w:r>
      <w:r w:rsidDel="009E253B">
        <w:t>Vabariigi Valitsuse tegevusprogrammist tuleneva</w:t>
      </w:r>
      <w:r>
        <w:t>te</w:t>
      </w:r>
      <w:r w:rsidRPr="003F2EE7" w:rsidDel="009E253B">
        <w:t xml:space="preserve"> eesmärk</w:t>
      </w:r>
      <w:r>
        <w:t xml:space="preserve">ide ning energiatõhususe eesmärkide </w:t>
      </w:r>
      <w:r w:rsidDel="009E253B">
        <w:t>täitmist on detailselt kirjeldatud 2014.</w:t>
      </w:r>
      <w:r>
        <w:t xml:space="preserve"> </w:t>
      </w:r>
      <w:r w:rsidDel="009E253B">
        <w:t xml:space="preserve">aastal esitatud aruandes. </w:t>
      </w:r>
    </w:p>
    <w:p w:rsidR="004F5682" w:rsidRDefault="004F5682" w:rsidP="004F5682">
      <w:r w:rsidRPr="00106CAD" w:rsidDel="009E253B">
        <w:rPr>
          <w:b/>
        </w:rPr>
        <w:t xml:space="preserve">Käesolevas </w:t>
      </w:r>
      <w:r w:rsidRPr="00106CAD">
        <w:rPr>
          <w:b/>
        </w:rPr>
        <w:t xml:space="preserve">aruandes </w:t>
      </w:r>
      <w:r w:rsidRPr="00106CAD" w:rsidDel="009E253B">
        <w:rPr>
          <w:b/>
        </w:rPr>
        <w:t xml:space="preserve">keskendutakse </w:t>
      </w:r>
      <w:r w:rsidRPr="00106CAD">
        <w:rPr>
          <w:b/>
        </w:rPr>
        <w:t xml:space="preserve">olulisematele </w:t>
      </w:r>
      <w:r w:rsidRPr="00106CAD" w:rsidDel="009E253B">
        <w:rPr>
          <w:b/>
        </w:rPr>
        <w:t>eesmärkidele</w:t>
      </w:r>
      <w:r w:rsidR="00FC5469">
        <w:rPr>
          <w:b/>
        </w:rPr>
        <w:t xml:space="preserve"> (vastavalt alapeatükid 2.1-2.6)</w:t>
      </w:r>
      <w:r w:rsidRPr="00106CAD">
        <w:rPr>
          <w:b/>
        </w:rPr>
        <w:t>, milleks tulenevalt eeltoodust on</w:t>
      </w:r>
      <w:r>
        <w:t xml:space="preserve">: </w:t>
      </w:r>
    </w:p>
    <w:p w:rsidR="004F5682" w:rsidRDefault="004F5682" w:rsidP="00607E04">
      <w:pPr>
        <w:pStyle w:val="Loend1"/>
      </w:pPr>
      <w:r>
        <w:t xml:space="preserve">Andmete korrastamine andmekogudes; </w:t>
      </w:r>
    </w:p>
    <w:p w:rsidR="004F5682" w:rsidRDefault="004F5682" w:rsidP="00607E04">
      <w:pPr>
        <w:pStyle w:val="Loend1"/>
      </w:pPr>
      <w:r>
        <w:t>Hoonete energiatõhusus;</w:t>
      </w:r>
    </w:p>
    <w:p w:rsidR="004F5682" w:rsidRDefault="004F5682" w:rsidP="00607E04">
      <w:pPr>
        <w:pStyle w:val="Loend1"/>
      </w:pPr>
      <w:r>
        <w:t>Hoonete üle andmine Riigi Kinnisvara AS-</w:t>
      </w:r>
      <w:r w:rsidR="005762C9">
        <w:t>i</w:t>
      </w:r>
      <w:r>
        <w:t>le;</w:t>
      </w:r>
    </w:p>
    <w:p w:rsidR="004F5682" w:rsidRDefault="004F5682" w:rsidP="00607E04">
      <w:pPr>
        <w:pStyle w:val="Loend1"/>
      </w:pPr>
      <w:r>
        <w:t>Riigile vajalike hoonete tõhus korrashoid ja arendamine;</w:t>
      </w:r>
    </w:p>
    <w:p w:rsidR="004F5682" w:rsidRDefault="004F5682" w:rsidP="00607E04">
      <w:pPr>
        <w:pStyle w:val="Loend1"/>
      </w:pPr>
      <w:r>
        <w:t>Riigi kinnisvaraportfelli optimeerimine ja mittevajalike hoonete müük;</w:t>
      </w:r>
    </w:p>
    <w:p w:rsidR="004F5682" w:rsidRDefault="004F5682" w:rsidP="00607E04">
      <w:pPr>
        <w:pStyle w:val="Loend1"/>
      </w:pPr>
      <w:r>
        <w:t>Riigi kinnisvarap</w:t>
      </w:r>
      <w:r w:rsidR="00351253">
        <w:t>ortfelli juhtimissüsteemi</w:t>
      </w:r>
      <w:r>
        <w:t>, sh rahastamissüsteemi loomine.</w:t>
      </w:r>
    </w:p>
    <w:p w:rsidR="00FC5469" w:rsidRPr="00FC5469" w:rsidRDefault="00FC5469" w:rsidP="004F5682">
      <w:r w:rsidRPr="00FC5469">
        <w:t>Eraldi alapeatükk</w:t>
      </w:r>
      <w:r>
        <w:t xml:space="preserve"> </w:t>
      </w:r>
      <w:r w:rsidRPr="00FC5469">
        <w:t>(2.7) on rii</w:t>
      </w:r>
      <w:r w:rsidR="00BC328B">
        <w:t>gi kinnisvarastrateegia seostest</w:t>
      </w:r>
      <w:r w:rsidRPr="00FC5469">
        <w:t xml:space="preserve"> teiste oluliste seonduvate riiklike poliitikatega.</w:t>
      </w:r>
    </w:p>
    <w:p w:rsidR="004F5682" w:rsidRPr="00106CAD" w:rsidRDefault="004F5682" w:rsidP="004F5682">
      <w:pPr>
        <w:rPr>
          <w:b/>
        </w:rPr>
      </w:pPr>
      <w:r w:rsidRPr="00106CAD">
        <w:rPr>
          <w:b/>
        </w:rPr>
        <w:t>Olulisemad riigi kinnisvara juhtimise</w:t>
      </w:r>
      <w:r w:rsidR="00FB2C9E">
        <w:rPr>
          <w:b/>
        </w:rPr>
        <w:t xml:space="preserve"> keskkonna</w:t>
      </w:r>
      <w:r w:rsidRPr="00106CAD">
        <w:rPr>
          <w:b/>
        </w:rPr>
        <w:t xml:space="preserve">s toimunud muutused võrreldes eelmise koondaruandega: </w:t>
      </w:r>
    </w:p>
    <w:p w:rsidR="004F5682" w:rsidRDefault="004F5682" w:rsidP="005762C9">
      <w:pPr>
        <w:pStyle w:val="Loend1"/>
      </w:pPr>
      <w:r>
        <w:t>Riigivaraseaduse muutmise eelnõu menetlemise peatumine Riigikogus jaanuaris 2015, millega jäi viibima mitmete oluliste menetlusi lihtsustavate ja halduskoormust vähendavate regulatsioonide muutmine.</w:t>
      </w:r>
    </w:p>
    <w:p w:rsidR="004F5682" w:rsidRDefault="004F5682" w:rsidP="005762C9">
      <w:pPr>
        <w:pStyle w:val="Loend1"/>
      </w:pPr>
      <w:r>
        <w:t>Eelmise koondaruande kinnitamisel 10.04.2014 VV poolt Rahandusministeeriumile antud ülesanded, millega seoses viidi läbi tegevuskavade koostamiseks vajalike andmete korje ning koostati tegevuskava RKAS-ile hoonete üleandmiseks, hoonete andmete korrastamiseks ja riigi hooneteportfelli rahastamiskava koostamiseks.</w:t>
      </w:r>
    </w:p>
    <w:p w:rsidR="003D475D" w:rsidRDefault="003D475D" w:rsidP="003D475D">
      <w:pPr>
        <w:pStyle w:val="Loend1"/>
      </w:pPr>
      <w:r>
        <w:t>Uue Euroopa arvepidamissüsteemi ESA2010 jõustumine 01.09.2014, milles tehti olulisi muudatusi riigi kinnisvaraportfelli arvestusreeglite suhtes. Kõige olulisemana võib välja tuua selle, et tulenevalt ELi poliitilisest survest saavutada valitsussektori eelarvetasakaalu ja võlataset puudutavate arvandmete osas võimalikult suur täpsus, käsitatakse neid küsimusi ESA 2010s oluliselt ulatuslikumalt kui ESA 95s ja luuakse senisest suuremat selgust investeeringute kajastamise reeglites ja riskide jaotumises, mis vähendab erinevate tõlgenduste ja hilisema tehingute ümberklassifitseerimise riski ning kasvanud on ka võimalused tehingute kajastamisel valitsussektori välisena.</w:t>
      </w:r>
    </w:p>
    <w:p w:rsidR="001D7741" w:rsidRPr="003D475D" w:rsidRDefault="00DE0FB5" w:rsidP="00DE0FB5">
      <w:pPr>
        <w:pStyle w:val="Loend1"/>
      </w:pPr>
      <w:r w:rsidRPr="003D475D">
        <w:t>Uue valitsuse ametisse astumine 2015. aasta kevadel ja Vabariigi Valitsuse Tegevusprogrammis (VVTP) senisest suurema tähelepanu pööramine riigihalduse teemadele. Kaasnevalt riigihalduse ministri koha loomine Rahandusministeeriumis ja Siseministeeriumi seotud osakondade ületoomine Rahandusministeeriumisse alates 01.09.2015.</w:t>
      </w:r>
      <w:r w:rsidR="001D7741" w:rsidRPr="003D475D">
        <w:t xml:space="preserve"> </w:t>
      </w:r>
    </w:p>
    <w:p w:rsidR="00DE0FB5" w:rsidRPr="003D475D" w:rsidRDefault="00DE0FB5" w:rsidP="00DE0FB5">
      <w:pPr>
        <w:pStyle w:val="Loend1"/>
      </w:pPr>
      <w:r w:rsidRPr="003D475D">
        <w:t>Uue planeerimisseaduse vastuvõtmine ja kehtima hakkamine 01.07.2015 ning riigi maade haldamise, planeerimise ja maakorralduse teemade aktualiseerumine nii uues</w:t>
      </w:r>
      <w:r w:rsidR="00655E30">
        <w:t xml:space="preserve"> </w:t>
      </w:r>
      <w:r w:rsidRPr="003D475D">
        <w:t xml:space="preserve">VVTP-s kui maade omandamise kaasustes, eelkõige kavandatava Rail Balticu projektiga seonduvalt. </w:t>
      </w:r>
    </w:p>
    <w:p w:rsidR="001D7741" w:rsidRPr="003D475D" w:rsidRDefault="001D7741" w:rsidP="00DE0FB5">
      <w:pPr>
        <w:pStyle w:val="Loend1"/>
      </w:pPr>
      <w:r w:rsidRPr="003D475D">
        <w:t xml:space="preserve">Uue ehitusseaduse vastuvõtmine ja kehtima hakkamine alates 01.07.2015, millega luuakse täiendavaid nõudeid omanikule, kusjuures uue nõudena on seaduse tasemel kehtestatud nõue hooldusjuhendite loomiseks. </w:t>
      </w:r>
    </w:p>
    <w:p w:rsidR="00DE0FB5" w:rsidRPr="003D475D" w:rsidRDefault="00DE0FB5" w:rsidP="00DE0FB5">
      <w:pPr>
        <w:pStyle w:val="Loend1"/>
      </w:pPr>
      <w:r w:rsidRPr="003D475D">
        <w:t xml:space="preserve">Eesti keelde on tõlgitud Euroopa Liidu standardiseeria EVS-EN 15221 „Kinnisvarakeskkonna juhtimine“, mis käsitleb kinnisvarakeskkonna ja laiemalt kogu tugitegevuste korraldamist kinnisvara kasutava organisatsiooni vaates. Käsil on uustöötlus Eesti standardist EVS 807 „Kinnisvara korrashoid. Kinnisvarakeskkonna korraldamine“, millesse integreeritakse ka EVS-EN 15221 põhimõtted, st senist omaniku ja teenusepakkuja vaatenurka laiendatakse selliselt, et lisandub ka teenuse tellija vaatenurk. </w:t>
      </w:r>
    </w:p>
    <w:p w:rsidR="004F5682" w:rsidRDefault="004F5682" w:rsidP="004F5682">
      <w:pPr>
        <w:pStyle w:val="Pealkiri2"/>
        <w:rPr>
          <w:noProof/>
          <w:kern w:val="0"/>
        </w:rPr>
      </w:pPr>
      <w:bookmarkStart w:id="340" w:name="_Toc374525654"/>
      <w:bookmarkStart w:id="341" w:name="_Toc380048539"/>
      <w:bookmarkStart w:id="342" w:name="_Toc411870328"/>
      <w:bookmarkStart w:id="343" w:name="_Toc412019277"/>
      <w:bookmarkStart w:id="344" w:name="_Toc412019591"/>
      <w:bookmarkStart w:id="345" w:name="_Ref427305990"/>
      <w:bookmarkStart w:id="346" w:name="_Toc433980723"/>
      <w:r w:rsidRPr="00C67C7D">
        <w:rPr>
          <w:noProof/>
          <w:kern w:val="0"/>
        </w:rPr>
        <w:t>Andmete korrastamine</w:t>
      </w:r>
      <w:bookmarkEnd w:id="340"/>
      <w:bookmarkEnd w:id="341"/>
      <w:bookmarkEnd w:id="342"/>
      <w:bookmarkEnd w:id="343"/>
      <w:bookmarkEnd w:id="344"/>
      <w:r w:rsidRPr="00C67C7D">
        <w:rPr>
          <w:noProof/>
          <w:kern w:val="0"/>
        </w:rPr>
        <w:t xml:space="preserve"> andmekogudes</w:t>
      </w:r>
      <w:bookmarkEnd w:id="345"/>
      <w:bookmarkEnd w:id="346"/>
    </w:p>
    <w:p w:rsidR="004F5682" w:rsidRDefault="004F5682" w:rsidP="004F5682">
      <w:pPr>
        <w:pStyle w:val="Pealkiri3"/>
      </w:pPr>
      <w:bookmarkStart w:id="347" w:name="_Toc371945282"/>
      <w:bookmarkStart w:id="348" w:name="_Toc433980724"/>
      <w:bookmarkStart w:id="349" w:name="_Toc368316869"/>
      <w:r w:rsidRPr="00A63FC8">
        <w:t xml:space="preserve">Riigimaa </w:t>
      </w:r>
      <w:r w:rsidRPr="004F5682">
        <w:t>maakatastrisse</w:t>
      </w:r>
      <w:r w:rsidRPr="00A63FC8">
        <w:t xml:space="preserve"> kandmine</w:t>
      </w:r>
      <w:bookmarkEnd w:id="347"/>
      <w:bookmarkEnd w:id="348"/>
      <w:r w:rsidRPr="00A63FC8">
        <w:t xml:space="preserve"> </w:t>
      </w:r>
      <w:bookmarkEnd w:id="349"/>
    </w:p>
    <w:p w:rsidR="004F5682" w:rsidRDefault="004F5682" w:rsidP="004F5682">
      <w:pPr>
        <w:spacing w:before="120"/>
      </w:pPr>
      <w:r w:rsidRPr="00B417AD">
        <w:rPr>
          <w:b/>
        </w:rPr>
        <w:t>Alus:</w:t>
      </w:r>
      <w:r>
        <w:t xml:space="preserve"> R</w:t>
      </w:r>
      <w:r w:rsidRPr="00A02078">
        <w:t xml:space="preserve">iigivara valitsejad </w:t>
      </w:r>
      <w:r>
        <w:t xml:space="preserve">peavad kandma </w:t>
      </w:r>
      <w:r w:rsidRPr="00A02078">
        <w:t>kõik nende valits</w:t>
      </w:r>
      <w:r>
        <w:t>emisel olevad riigile kuuluvad</w:t>
      </w:r>
      <w:r w:rsidRPr="00A02078">
        <w:t xml:space="preserve"> maaüksused maakatastrisse </w:t>
      </w:r>
      <w:r>
        <w:t>31. detsembriks 2017 (RVS §107 lg 2).</w:t>
      </w:r>
    </w:p>
    <w:p w:rsidR="004F5682" w:rsidRDefault="004F5682" w:rsidP="004F5682">
      <w:pPr>
        <w:spacing w:before="120"/>
      </w:pPr>
      <w:r w:rsidRPr="00B417AD">
        <w:rPr>
          <w:b/>
        </w:rPr>
        <w:t>Täitmine:</w:t>
      </w:r>
      <w:r>
        <w:rPr>
          <w:b/>
        </w:rPr>
        <w:t xml:space="preserve"> </w:t>
      </w:r>
      <w:r w:rsidRPr="001B0979">
        <w:t>Eesti pin</w:t>
      </w:r>
      <w:r>
        <w:t xml:space="preserve">dala on 4 522 700 ha, sellest registreeritava maa pindala (ilma piiriveekogude ja Võrtsjärveta) on 4 343 200 ha. 31. detsembri 2014 seisuga on </w:t>
      </w:r>
      <w:r w:rsidRPr="00400C32">
        <w:t>maakatastrisse kantud</w:t>
      </w:r>
      <w:r>
        <w:t xml:space="preserve"> 96,3</w:t>
      </w:r>
      <w:r w:rsidRPr="001B0979">
        <w:t>%</w:t>
      </w:r>
      <w:r>
        <w:t xml:space="preserve"> registreeritavast pindalast</w:t>
      </w:r>
      <w:r w:rsidRPr="00400C32">
        <w:t xml:space="preserve">. </w:t>
      </w:r>
      <w:r>
        <w:t>Seega vajab katastrisse kandmist veel ca 160 000 ha maad.</w:t>
      </w:r>
    </w:p>
    <w:p w:rsidR="004F5682" w:rsidRDefault="004F5682" w:rsidP="004F5682">
      <w:pPr>
        <w:spacing w:before="120"/>
      </w:pPr>
      <w:r>
        <w:t>Maade registreerimisest</w:t>
      </w:r>
      <w:r w:rsidRPr="00400C32">
        <w:t xml:space="preserve"> omab ülevaadet Maa-amet</w:t>
      </w:r>
      <w:r>
        <w:t xml:space="preserve">, kelle </w:t>
      </w:r>
      <w:r w:rsidRPr="00400C32">
        <w:t xml:space="preserve">analüüsi järgi on maareformi käigus vajalik riigi omandisse vormistada veel ca </w:t>
      </w:r>
      <w:smartTag w:uri="urn:schemas-microsoft-com:office:smarttags" w:element="metricconverter">
        <w:smartTagPr>
          <w:attr w:name="ProductID" w:val="125 000 ha"/>
        </w:smartTagPr>
        <w:r w:rsidRPr="00400C32">
          <w:t>125 000 ha</w:t>
        </w:r>
      </w:smartTag>
      <w:r w:rsidRPr="00400C32">
        <w:t xml:space="preserve"> maad, millest Maa-ameti portfelli lisandub hinnanguliselt ca </w:t>
      </w:r>
      <w:smartTag w:uri="urn:schemas-microsoft-com:office:smarttags" w:element="metricconverter">
        <w:smartTagPr>
          <w:attr w:name="ProductID" w:val="75 000 ha"/>
        </w:smartTagPr>
        <w:r w:rsidRPr="00400C32">
          <w:t>75 000 ha</w:t>
        </w:r>
      </w:smartTag>
      <w:r w:rsidRPr="00400C32">
        <w:t xml:space="preserve"> maad. Sellest maast 20%-30% on looduskaitseliste piirangutega või maardla-ala ja 70%-80% on piiranguteta maa. </w:t>
      </w:r>
    </w:p>
    <w:p w:rsidR="004F5682" w:rsidRDefault="004F5682" w:rsidP="004F5682">
      <w:pPr>
        <w:spacing w:before="120"/>
      </w:pPr>
      <w:r>
        <w:t xml:space="preserve">Aastatel 2011-2014 jäeti riigi omandisse keskmiselt 64 000 ha maad aastas. Kui sama trend jätkuks, võiks loota riigimaade tähtajaks katastrisse kandmist. 2014. aasta näitas aga maade registreerimise mahus tugevat langust, samal ajal kui registreeritavate maaüksuste arv on jäänud samaks. Arvuliselt jõutakse riigi omandisse vormistada ca 4000 katastriüksust aastas, kuid katastrisse kantava maaüksuse keskmine suurus on vähenemas. Kuna maaüksuse registreerimiseks tehtavate toimingute maht ei sõltu maatüki suurusest, siis võib oodata aastase registreeritava maa pinna vähenemist. </w:t>
      </w:r>
      <w:r w:rsidR="00580443">
        <w:t xml:space="preserve">Analüüs ja ettepanekud maareformi </w:t>
      </w:r>
      <w:r w:rsidR="00607A43" w:rsidRPr="00607A43">
        <w:t>lõpetamise, riigi maareservi moodustamise ja riigimaa reservina säilitamise põhimõtete määratlemiseks</w:t>
      </w:r>
      <w:r w:rsidR="00580443">
        <w:t xml:space="preserve"> on Vabariigi Valitsuse tegevusprogrammis 2015-2019 keskkonnaministri vastutusel</w:t>
      </w:r>
      <w:r w:rsidR="00607A43">
        <w:t xml:space="preserve"> tähtajaga märts 2016. </w:t>
      </w:r>
      <w:r>
        <w:t xml:space="preserve">Maa riigi omandisse jätmist on kajastatud </w:t>
      </w:r>
      <w:r w:rsidR="00580443">
        <w:t xml:space="preserve">ka </w:t>
      </w:r>
      <w:r>
        <w:t>peatükis 1.2.1.</w:t>
      </w:r>
    </w:p>
    <w:p w:rsidR="004F5682" w:rsidRPr="00A63FC8" w:rsidRDefault="004F5682" w:rsidP="004F5682">
      <w:pPr>
        <w:pStyle w:val="Pealkiri3"/>
      </w:pPr>
      <w:bookmarkStart w:id="350" w:name="_Toc371945281"/>
      <w:bookmarkStart w:id="351" w:name="_Toc433980725"/>
      <w:bookmarkStart w:id="352" w:name="_Toc368316868"/>
      <w:r>
        <w:t>Hoonestatud m</w:t>
      </w:r>
      <w:r w:rsidRPr="00A63FC8">
        <w:t xml:space="preserve">aaüksuste </w:t>
      </w:r>
      <w:r w:rsidRPr="004F5682">
        <w:t>kinnistamine</w:t>
      </w:r>
      <w:bookmarkEnd w:id="350"/>
      <w:bookmarkEnd w:id="351"/>
      <w:r w:rsidRPr="00A63FC8">
        <w:t xml:space="preserve"> </w:t>
      </w:r>
      <w:bookmarkEnd w:id="352"/>
    </w:p>
    <w:p w:rsidR="004F5682" w:rsidRDefault="004F5682" w:rsidP="004F5682">
      <w:pPr>
        <w:ind w:right="57"/>
      </w:pPr>
      <w:r w:rsidRPr="00106CAD">
        <w:rPr>
          <w:b/>
        </w:rPr>
        <w:t>Alus:</w:t>
      </w:r>
      <w:r>
        <w:t xml:space="preserve"> R</w:t>
      </w:r>
      <w:r w:rsidRPr="00F82D6C">
        <w:t xml:space="preserve">iigivara valitsejad </w:t>
      </w:r>
      <w:r>
        <w:t xml:space="preserve">pidid kinnistama </w:t>
      </w:r>
      <w:r w:rsidRPr="00F82D6C">
        <w:t xml:space="preserve">nende valitsemisel olevad riigile kuuluvad hoonestatud maaüksused </w:t>
      </w:r>
      <w:r>
        <w:t>31. detsembriks 2012 (RVS § 107 lg 1)</w:t>
      </w:r>
      <w:r w:rsidRPr="00F82D6C">
        <w:t>.</w:t>
      </w:r>
    </w:p>
    <w:p w:rsidR="004F5682" w:rsidRDefault="004F5682" w:rsidP="004F5682">
      <w:pPr>
        <w:spacing w:before="120"/>
      </w:pPr>
      <w:r w:rsidRPr="00CC575C">
        <w:rPr>
          <w:b/>
        </w:rPr>
        <w:t>Täitmine:</w:t>
      </w:r>
      <w:r>
        <w:rPr>
          <w:b/>
        </w:rPr>
        <w:t xml:space="preserve"> </w:t>
      </w:r>
      <w:r w:rsidRPr="008129E6">
        <w:t xml:space="preserve">Riigi kinnisvararegistri andmetel </w:t>
      </w:r>
      <w:r>
        <w:t>on 31.12</w:t>
      </w:r>
      <w:r w:rsidR="007C7DCF">
        <w:t>.</w:t>
      </w:r>
      <w:r>
        <w:t xml:space="preserve">2014 seisuga riigi omandis </w:t>
      </w:r>
      <w:r w:rsidRPr="00D6003E">
        <w:t>1</w:t>
      </w:r>
      <w:r>
        <w:t>188 hoonestatud Eestis asuvat vara, millest kinnistatud on 90%. 1. jaanuariks 2015 oli</w:t>
      </w:r>
      <w:r w:rsidRPr="008129E6">
        <w:t xml:space="preserve"> </w:t>
      </w:r>
      <w:r w:rsidRPr="00AD7958">
        <w:t>riigi kinnisvararegistris veel 1</w:t>
      </w:r>
      <w:r>
        <w:t>21</w:t>
      </w:r>
      <w:r w:rsidRPr="00AD7958">
        <w:t xml:space="preserve"> kinn</w:t>
      </w:r>
      <w:r>
        <w:t>istamata hoonestatud Eestis asuvat maaüksust. Kuna RKVR ei ole kinnistusraamatuga</w:t>
      </w:r>
      <w:r w:rsidR="007C7DCF">
        <w:t xml:space="preserve"> (KR)</w:t>
      </w:r>
      <w:r>
        <w:t xml:space="preserve"> liidestatud ja käsitsi andmete uuendamine on tülikas, siis ei ole kõik tegelikult kinnistatud varad RKVR-is kinnistusraamatuga seostatud. Kinnistusraamatu väljavõttega võrdlusest selgus 20 hoonestatud vara, mis RKVR-i an</w:t>
      </w:r>
      <w:r w:rsidR="007C7DCF">
        <w:t>dmetel on kinnistamata kuid KR-i</w:t>
      </w:r>
      <w:r>
        <w:t xml:space="preserve"> andmetel kinnistatud. Enamus kinnistamata hoonestatud varadest on Keskkonnaministeeriumi valitsemisalas (RMK ja Keskkonnaagentuuri volitatud valitsemisel), teistel valitsejatel on kinnistamata üksikud varad. </w:t>
      </w:r>
    </w:p>
    <w:p w:rsidR="004F5682" w:rsidRDefault="004F5682" w:rsidP="004F5682">
      <w:pPr>
        <w:spacing w:before="120"/>
      </w:pPr>
      <w:r>
        <w:t>Võrdluseks - seisuga 01.10.2013 oli RKVR-is kinnistamata 134 hoonestatud maaüksust. Seega on märgata eesmärgi täitmisel edenemist.</w:t>
      </w:r>
    </w:p>
    <w:p w:rsidR="004F5682" w:rsidRDefault="004F5682" w:rsidP="004F5682">
      <w:pPr>
        <w:spacing w:before="120"/>
      </w:pPr>
      <w:r w:rsidRPr="006A3AB9">
        <w:rPr>
          <w:b/>
        </w:rPr>
        <w:t>Probleem:</w:t>
      </w:r>
      <w:r w:rsidRPr="006A3AB9">
        <w:rPr>
          <w:rFonts w:ascii="Times New Roman" w:hAnsi="Times New Roman"/>
          <w:b/>
          <w:sz w:val="24"/>
          <w:szCs w:val="24"/>
        </w:rPr>
        <w:t xml:space="preserve"> </w:t>
      </w:r>
      <w:r>
        <w:t>Kuigi ülesanne on tähtajaks täitmata, ei ole probleem väga suur. Kinnistamata on üksikud hoonestatud varad, mis on seotud näiteks omandireformi vaidlustega. Suurem probleem on automaatse andmevahetuse puudumine RKVR-i ja KR-i vahel.</w:t>
      </w:r>
    </w:p>
    <w:p w:rsidR="004F5682" w:rsidRPr="00483A34" w:rsidRDefault="004F5682" w:rsidP="004F5682">
      <w:r w:rsidRPr="006A3AB9">
        <w:rPr>
          <w:b/>
        </w:rPr>
        <w:t>Lahendus:</w:t>
      </w:r>
      <w:r w:rsidRPr="00483A34">
        <w:rPr>
          <w:rFonts w:ascii="Times New Roman" w:hAnsi="Times New Roman"/>
          <w:i/>
          <w:sz w:val="24"/>
          <w:szCs w:val="24"/>
        </w:rPr>
        <w:t xml:space="preserve"> </w:t>
      </w:r>
      <w:r w:rsidRPr="00AE6D41">
        <w:t>RVS-i muutmise seadusega kavatsetakse nimetatud tähtaega pikendada</w:t>
      </w:r>
      <w:r>
        <w:t>. Eelnõu kohaselt on pikendatud tähtaeg 31.12.2015.</w:t>
      </w:r>
      <w:r w:rsidRPr="00AE6D41">
        <w:t xml:space="preserve"> Lisaks</w:t>
      </w:r>
      <w:r>
        <w:rPr>
          <w:rFonts w:ascii="Times New Roman" w:hAnsi="Times New Roman"/>
          <w:i/>
          <w:sz w:val="24"/>
          <w:szCs w:val="24"/>
        </w:rPr>
        <w:t xml:space="preserve"> </w:t>
      </w:r>
      <w:r w:rsidRPr="00483A34">
        <w:t>kavandab Rahandusministeerium</w:t>
      </w:r>
      <w:r w:rsidRPr="00483A34">
        <w:rPr>
          <w:rFonts w:ascii="Times New Roman" w:hAnsi="Times New Roman"/>
          <w:sz w:val="24"/>
          <w:szCs w:val="24"/>
        </w:rPr>
        <w:t xml:space="preserve"> </w:t>
      </w:r>
      <w:r w:rsidRPr="00483A34">
        <w:t>registriarendustega suurendada automatiseeritust andmete uuendamisel.</w:t>
      </w:r>
    </w:p>
    <w:p w:rsidR="004F5682" w:rsidRDefault="004F5682" w:rsidP="004F5682">
      <w:r w:rsidRPr="00483A34">
        <w:t>2014. a teostatud RKVR</w:t>
      </w:r>
      <w:r>
        <w:t>-i</w:t>
      </w:r>
      <w:r w:rsidRPr="00483A34">
        <w:t xml:space="preserve"> arendustega võeti kasutusele uued EHR ja ADS e-teenused ja ühtlasi realiseeriti ka ehitiste andmete, sh aadresside automaatne uuendamine RKVR</w:t>
      </w:r>
      <w:r>
        <w:t>-</w:t>
      </w:r>
      <w:r w:rsidRPr="00483A34">
        <w:t>is.</w:t>
      </w:r>
    </w:p>
    <w:p w:rsidR="004F5682" w:rsidRDefault="004F5682" w:rsidP="004F5682">
      <w:r w:rsidRPr="00483A34">
        <w:t>2015-2016 a on kavas luua RKVR</w:t>
      </w:r>
      <w:r>
        <w:t>-</w:t>
      </w:r>
      <w:r w:rsidRPr="00483A34">
        <w:t>i ja KR</w:t>
      </w:r>
      <w:r>
        <w:t>-</w:t>
      </w:r>
      <w:r w:rsidRPr="00483A34">
        <w:t>i vaheline andmevahetus selliselt, et juhul, kui kinnistu omanik on Eesti Vabariik, siis kuvatakse KR</w:t>
      </w:r>
      <w:r>
        <w:t>-is RKVR-i andme</w:t>
      </w:r>
      <w:r w:rsidRPr="00483A34">
        <w:t>d koos viitega RKVR</w:t>
      </w:r>
      <w:r>
        <w:t>-i</w:t>
      </w:r>
      <w:r w:rsidRPr="00483A34">
        <w:t xml:space="preserve"> vastavale varaobjektile. Registritevaheline liides vabastab riigivara valitsejad KR</w:t>
      </w:r>
      <w:r>
        <w:t>-</w:t>
      </w:r>
      <w:r w:rsidRPr="00483A34">
        <w:t>i riigivara valitseja märke tegemise kohustusest ja ühtlasi luuakse automaatne andmete uuendamine mõlemas registris.</w:t>
      </w:r>
    </w:p>
    <w:p w:rsidR="004F5682" w:rsidRPr="00A63FC8" w:rsidRDefault="004F5682" w:rsidP="004F5682">
      <w:pPr>
        <w:pStyle w:val="Pealkiri3"/>
      </w:pPr>
      <w:bookmarkStart w:id="353" w:name="_Toc433980726"/>
      <w:r>
        <w:t>Hoonestamata m</w:t>
      </w:r>
      <w:r w:rsidRPr="00A63FC8">
        <w:t>aaüksuste kinnistamine</w:t>
      </w:r>
      <w:bookmarkEnd w:id="353"/>
      <w:r w:rsidRPr="00A63FC8">
        <w:t xml:space="preserve"> </w:t>
      </w:r>
    </w:p>
    <w:p w:rsidR="004F5682" w:rsidRDefault="004F5682" w:rsidP="004F5682">
      <w:r w:rsidRPr="00AE6D41">
        <w:rPr>
          <w:b/>
        </w:rPr>
        <w:t>Alus:</w:t>
      </w:r>
      <w:r>
        <w:t xml:space="preserve"> RVS-i</w:t>
      </w:r>
      <w:r w:rsidRPr="000D446C">
        <w:t xml:space="preserve"> muutmise </w:t>
      </w:r>
      <w:r>
        <w:t>seaduse eelnõu kohaselt on riigivara valitsejad kohustatud kinnistama kõik nende valitsemisel olevad riigile kuuluvad maaüksused ja tegema selleks vajalikud toimingud 2017.</w:t>
      </w:r>
      <w:r w:rsidR="007C7DCF">
        <w:t xml:space="preserve"> </w:t>
      </w:r>
      <w:r>
        <w:t>a</w:t>
      </w:r>
      <w:r w:rsidR="007C7DCF">
        <w:t>asta</w:t>
      </w:r>
      <w:r>
        <w:t xml:space="preserve"> 31.</w:t>
      </w:r>
      <w:r w:rsidR="007C7DCF">
        <w:t xml:space="preserve"> </w:t>
      </w:r>
      <w:r>
        <w:t>detsembriks</w:t>
      </w:r>
      <w:r>
        <w:rPr>
          <w:rStyle w:val="FootnoteReference"/>
        </w:rPr>
        <w:footnoteReference w:id="8"/>
      </w:r>
      <w:r w:rsidRPr="000D446C">
        <w:t>.</w:t>
      </w:r>
      <w:r>
        <w:t xml:space="preserve"> Keskkonnaministeeriumil ning Majandus- ja Kommunikatsiooniministeeriumil on nimetatud tähtajaks 31.12.2019.</w:t>
      </w:r>
    </w:p>
    <w:p w:rsidR="004F5682" w:rsidRPr="00483A34" w:rsidRDefault="004F5682" w:rsidP="004F5682">
      <w:pPr>
        <w:rPr>
          <w:rFonts w:ascii="Times New Roman" w:hAnsi="Times New Roman"/>
          <w:sz w:val="24"/>
          <w:szCs w:val="24"/>
        </w:rPr>
      </w:pPr>
      <w:r w:rsidRPr="00CC575C">
        <w:rPr>
          <w:b/>
        </w:rPr>
        <w:t>Täitmine:</w:t>
      </w:r>
      <w:r>
        <w:rPr>
          <w:b/>
        </w:rPr>
        <w:t xml:space="preserve"> </w:t>
      </w:r>
      <w:r>
        <w:t xml:space="preserve">Riigi omandis olevast </w:t>
      </w:r>
      <w:r w:rsidRPr="00D6003E">
        <w:t>46 307</w:t>
      </w:r>
      <w:r>
        <w:t xml:space="preserve"> Eestis asuvast varast on RKVR-i andmetel kinnistatud 16 784 (36%). Kinnistusraamatu andmetega võrdlusest selgus, et </w:t>
      </w:r>
      <w:r w:rsidRPr="00483A34">
        <w:t>Eesti Vabariigile kuuluvaid kinnistuid oli 2014</w:t>
      </w:r>
      <w:r>
        <w:t>.</w:t>
      </w:r>
      <w:r w:rsidRPr="00483A34">
        <w:t xml:space="preserve"> a</w:t>
      </w:r>
      <w:r w:rsidR="007C7DCF">
        <w:t>asta</w:t>
      </w:r>
      <w:r w:rsidRPr="00483A34">
        <w:t xml:space="preserve"> lõpu seisuga kinnistusraamatus 22</w:t>
      </w:r>
      <w:r>
        <w:t> </w:t>
      </w:r>
      <w:r w:rsidRPr="00483A34">
        <w:t>183</w:t>
      </w:r>
      <w:r>
        <w:t xml:space="preserve">. </w:t>
      </w:r>
      <w:r w:rsidRPr="00483A34">
        <w:t>Andmete võrdlus kinnistusraamatuga näitas veel, et RKVR</w:t>
      </w:r>
      <w:r>
        <w:t>-</w:t>
      </w:r>
      <w:r w:rsidRPr="00483A34">
        <w:t>ist puudus 30 KR</w:t>
      </w:r>
      <w:r>
        <w:t>-</w:t>
      </w:r>
      <w:r w:rsidRPr="00483A34">
        <w:t>is registreeritud kinnistut ning 328 riigi omandis oleval kinnistul oli puudu märkus riigivara valitseja kohta</w:t>
      </w:r>
      <w:r w:rsidRPr="00483A34">
        <w:rPr>
          <w:rFonts w:ascii="Times New Roman" w:hAnsi="Times New Roman"/>
          <w:sz w:val="24"/>
          <w:szCs w:val="24"/>
        </w:rPr>
        <w:t>.</w:t>
      </w:r>
    </w:p>
    <w:p w:rsidR="004F5682" w:rsidRPr="00483A34" w:rsidRDefault="004F5682" w:rsidP="007C7DCF">
      <w:r w:rsidRPr="00AE6D41">
        <w:t xml:space="preserve">Maa kinnistamine </w:t>
      </w:r>
      <w:r>
        <w:t xml:space="preserve">on ühekordne </w:t>
      </w:r>
      <w:r w:rsidRPr="00AE6D41">
        <w:t>protseduur</w:t>
      </w:r>
      <w:r>
        <w:t>, mis</w:t>
      </w:r>
      <w:r w:rsidRPr="00AE6D41">
        <w:t xml:space="preserve"> ei ole keerukas ja </w:t>
      </w:r>
      <w:r>
        <w:t xml:space="preserve">otseseid </w:t>
      </w:r>
      <w:r w:rsidRPr="00AE6D41">
        <w:t>lisakulusid kaasa ei too.</w:t>
      </w:r>
      <w:r>
        <w:t xml:space="preserve"> Kindlasti kaasneb maade massilise kinnistamisega hetkeline halduskoormuse kasv.</w:t>
      </w:r>
      <w:bookmarkStart w:id="354" w:name="_Toc368316865"/>
      <w:bookmarkStart w:id="355" w:name="_Toc371945285"/>
      <w:r w:rsidR="007C7DCF">
        <w:t xml:space="preserve"> </w:t>
      </w:r>
      <w:r w:rsidRPr="00483A34">
        <w:t xml:space="preserve">Riigivaraseaduse muutmise </w:t>
      </w:r>
      <w:r>
        <w:t xml:space="preserve">seaduse </w:t>
      </w:r>
      <w:r w:rsidRPr="00483A34">
        <w:t xml:space="preserve">eelnõuga </w:t>
      </w:r>
      <w:r>
        <w:t xml:space="preserve">kavandatakse muuta </w:t>
      </w:r>
      <w:r w:rsidRPr="00483A34">
        <w:t>kinnistusraamatuseadust ja tunnista</w:t>
      </w:r>
      <w:r>
        <w:t>da</w:t>
      </w:r>
      <w:r w:rsidRPr="00483A34">
        <w:t xml:space="preserve"> kehtetuks §</w:t>
      </w:r>
      <w:r>
        <w:t xml:space="preserve"> </w:t>
      </w:r>
      <w:r w:rsidRPr="00483A34">
        <w:t>15 lg</w:t>
      </w:r>
      <w:r>
        <w:t xml:space="preserve"> </w:t>
      </w:r>
      <w:r w:rsidRPr="00483A34">
        <w:t>2, mis kohustab tegema KR</w:t>
      </w:r>
      <w:r>
        <w:t>-</w:t>
      </w:r>
      <w:r w:rsidRPr="00483A34">
        <w:t>i mär</w:t>
      </w:r>
      <w:r>
        <w:t>ke</w:t>
      </w:r>
      <w:r w:rsidRPr="00483A34">
        <w:t xml:space="preserve"> riigivara valitseja kohta. RVS</w:t>
      </w:r>
      <w:r>
        <w:t>-i</w:t>
      </w:r>
      <w:r w:rsidRPr="00483A34">
        <w:t xml:space="preserve"> eelnõus on arenduste valmimiseks ette nähtud rakendustähtaeg 1. juuli 2016. Selleks ajaks on vaja korrastada andmed ja teostada KR</w:t>
      </w:r>
      <w:r>
        <w:t>-i</w:t>
      </w:r>
      <w:r w:rsidRPr="00483A34">
        <w:t xml:space="preserve"> ja RKVR</w:t>
      </w:r>
      <w:r>
        <w:t>-i</w:t>
      </w:r>
      <w:r w:rsidRPr="00483A34">
        <w:t xml:space="preserve"> arendustööd.</w:t>
      </w:r>
    </w:p>
    <w:p w:rsidR="004F5682" w:rsidRDefault="004F5682" w:rsidP="004F5682">
      <w:pPr>
        <w:pStyle w:val="Pealkiri3"/>
      </w:pPr>
      <w:bookmarkStart w:id="356" w:name="_Toc433980727"/>
      <w:r>
        <w:t xml:space="preserve">Valitsemise eesmärgi </w:t>
      </w:r>
      <w:r w:rsidRPr="004F5682">
        <w:t>määratlemine</w:t>
      </w:r>
      <w:bookmarkEnd w:id="356"/>
      <w:r>
        <w:t xml:space="preserve"> </w:t>
      </w:r>
    </w:p>
    <w:p w:rsidR="004F5682" w:rsidRPr="00483A34" w:rsidRDefault="004F5682" w:rsidP="004F5682">
      <w:r w:rsidRPr="00483A34">
        <w:rPr>
          <w:b/>
        </w:rPr>
        <w:t>Alus:</w:t>
      </w:r>
      <w:r w:rsidRPr="00483A34">
        <w:t xml:space="preserve"> Ühe aasta jooksul peale riigi kinnisvararegistri asutamist (hiljemalt 01.01.2012) </w:t>
      </w:r>
      <w:r>
        <w:t>pidi</w:t>
      </w:r>
      <w:r w:rsidRPr="00483A34">
        <w:t xml:space="preserve"> riigivara valitseja selles </w:t>
      </w:r>
      <w:r>
        <w:t xml:space="preserve">määrama </w:t>
      </w:r>
      <w:r w:rsidRPr="00483A34">
        <w:t xml:space="preserve">iga oma valitsemisel oleva kinnisasja valitsemise eesmärgi (RVS § 103 lg 2). </w:t>
      </w:r>
    </w:p>
    <w:p w:rsidR="004F5682" w:rsidRDefault="004F5682" w:rsidP="004F5682">
      <w:pPr>
        <w:spacing w:before="120"/>
      </w:pPr>
      <w:r w:rsidRPr="00FF1389">
        <w:rPr>
          <w:b/>
        </w:rPr>
        <w:t xml:space="preserve">Täitmine: </w:t>
      </w:r>
      <w:r w:rsidRPr="00FF1389">
        <w:t xml:space="preserve">Seisuga 01.10.2013 oli valitsemise eesmärk määratud </w:t>
      </w:r>
      <w:r>
        <w:t>41</w:t>
      </w:r>
      <w:r w:rsidRPr="00FF1389">
        <w:t>%-l varadest</w:t>
      </w:r>
      <w:r>
        <w:t xml:space="preserve">, 2014.aasta jooksul ei ole </w:t>
      </w:r>
      <w:r w:rsidRPr="00F21809">
        <w:t>valitsemise eesmärgi</w:t>
      </w:r>
      <w:r>
        <w:t xml:space="preserve"> määratlemises olulist edasiminekut olnud. Seisuga 31.12.2014 on valitsemise eesmärk endiselt määramata enam kui pooltel (55%) varadest.</w:t>
      </w:r>
    </w:p>
    <w:p w:rsidR="004F5682" w:rsidRDefault="004F5682" w:rsidP="004F5682">
      <w:pPr>
        <w:spacing w:before="120"/>
      </w:pPr>
      <w:r w:rsidRPr="00B417AD">
        <w:rPr>
          <w:b/>
        </w:rPr>
        <w:t xml:space="preserve">Probleem: </w:t>
      </w:r>
      <w:r w:rsidRPr="00B417AD">
        <w:t>Regulatsioon</w:t>
      </w:r>
      <w:r>
        <w:t xml:space="preserve"> on lünklik, menetlus keerukas. </w:t>
      </w:r>
    </w:p>
    <w:p w:rsidR="004F5682" w:rsidRDefault="004F5682" w:rsidP="004F5682">
      <w:pPr>
        <w:spacing w:before="120"/>
      </w:pPr>
      <w:r w:rsidRPr="00D74205">
        <w:t xml:space="preserve">RVS </w:t>
      </w:r>
      <w:r w:rsidRPr="006D5953">
        <w:t xml:space="preserve">§10 lg 1 kohaselt </w:t>
      </w:r>
      <w:r>
        <w:t>on riigivara valitsemise eesmärkideks</w:t>
      </w:r>
      <w:r w:rsidRPr="006D5953">
        <w:t xml:space="preserve"> riigivõimu teostami</w:t>
      </w:r>
      <w:r>
        <w:t>ne, muu</w:t>
      </w:r>
      <w:r w:rsidRPr="006D5953">
        <w:t xml:space="preserve"> riigivara v</w:t>
      </w:r>
      <w:r>
        <w:t>alitseja poolt määratud avalik eesmärk</w:t>
      </w:r>
      <w:bookmarkStart w:id="357" w:name="para10lg1p3"/>
      <w:bookmarkEnd w:id="357"/>
      <w:r>
        <w:t>, tulu saamine või</w:t>
      </w:r>
      <w:r w:rsidRPr="006D5953">
        <w:t xml:space="preserve"> reservina säilitami</w:t>
      </w:r>
      <w:r>
        <w:t>ne. Valitsejate hinna</w:t>
      </w:r>
      <w:r w:rsidR="00F95174">
        <w:t>n</w:t>
      </w:r>
      <w:r>
        <w:t xml:space="preserve">gul ei ava RVS piisavalt </w:t>
      </w:r>
      <w:r w:rsidRPr="001C1132">
        <w:t>eesmärkide sisu, puudub juhendmaterjal ja metoodika, millest eesmärgi määramisel lähtuda.</w:t>
      </w:r>
    </w:p>
    <w:p w:rsidR="000C7848" w:rsidRDefault="000C7848" w:rsidP="000C7848">
      <w:pPr>
        <w:ind w:right="57"/>
      </w:pPr>
      <w:r>
        <w:t xml:space="preserve">Eriti terav on probleem eesmärgi „reservina säilitamine“ määramise puhul, kus seda on lihtne samastada MaaRS-i alusel riigi omandisse jäetud riigi maareserviga, mis ei ole samatähenduslik. </w:t>
      </w:r>
    </w:p>
    <w:p w:rsidR="000C7848" w:rsidRDefault="000C7848" w:rsidP="000C7848">
      <w:pPr>
        <w:spacing w:before="120"/>
      </w:pPr>
      <w:r w:rsidRPr="00872AFE">
        <w:t>Enamus</w:t>
      </w:r>
      <w:r>
        <w:t>e</w:t>
      </w:r>
      <w:r w:rsidRPr="00872AFE">
        <w:t xml:space="preserve"> riigi maaportfellist moodustub maa, mis reformi käigus jäetakse riigi omandisse</w:t>
      </w:r>
      <w:r w:rsidR="00655E30">
        <w:t xml:space="preserve"> </w:t>
      </w:r>
      <w:r w:rsidRPr="00872AFE">
        <w:t>maareformi seaduse § 31 lõike 1 alusel. Kogu maaportfellist suhteliselt väikese osa valitsemise eesmärk on teada maa riigivaraks vormistamise ajal. Need on maaüksused, mis on riigile vajalikud otseselt seadusest (nt maareformi seadusest, riigivaraseadusest, looduskaitseseadusest, metsaseadusest, maapõueseadusest) tulenevate ülesannete täitmiseks. Mahult suurem osa maad jäetakse riigi omandisse MaaRS § 31 lõike 1 punkti 8 alusel riigi maareservi moodustamiseks, sealhulgas maareformi käigus vabaks jäänud (nõueteta) maa, mille reformimine on võimalik üksnes riigi reservmaana. Sellise maa valitsemise eesmärgid ja kasutusvõim</w:t>
      </w:r>
      <w:r>
        <w:t>a</w:t>
      </w:r>
      <w:r w:rsidRPr="00872AFE">
        <w:t>lused ei ole üldjuhul selle riigivaraks</w:t>
      </w:r>
      <w:r>
        <w:t xml:space="preserve"> vormistamise ajal veel teada.</w:t>
      </w:r>
    </w:p>
    <w:p w:rsidR="000C7848" w:rsidRPr="00400C32" w:rsidRDefault="000C7848" w:rsidP="000C7848">
      <w:pPr>
        <w:spacing w:before="120"/>
      </w:pPr>
      <w:r w:rsidRPr="00400C32">
        <w:t>Lisaks maareformi käigus riigi omandisse jäetavale maale võib riigi maade portfelli lisanduda maad, mida riik omandab seaduse alusel, näiteks pärimisel (pärimisseaduse § 18 lõige 2), kinnisasja omandist loobumisel (asjaõigusseaduse § 126 lõige 3), vara konfiskeerimisel (RVS § 7 lõige 5) või tehingutega (looduskaitseseadus § 16 ja § 20, kinnisasja sundvõõrandamise seadus). Ka sellise maa edaspidise kasutamise eesmärgid võivad olla riigile omandamise ajal</w:t>
      </w:r>
      <w:r w:rsidR="00655E30">
        <w:t xml:space="preserve"> </w:t>
      </w:r>
      <w:r w:rsidRPr="00400C32">
        <w:t xml:space="preserve">teadmata või võivad realiseeruda alles pikema aja jooksul, mistõttu tuleb sellist maad mõnda aega säilitada maareservina. </w:t>
      </w:r>
    </w:p>
    <w:p w:rsidR="000C7848" w:rsidRDefault="000C7848" w:rsidP="000C7848">
      <w:pPr>
        <w:ind w:right="57"/>
      </w:pPr>
      <w:r>
        <w:t>Seetõttu tuleks valitsemise eesmärgi määratlemise juures selgelt eristada:</w:t>
      </w:r>
    </w:p>
    <w:p w:rsidR="000C7848" w:rsidRDefault="000C7848" w:rsidP="000C7848">
      <w:pPr>
        <w:pStyle w:val="Loend1"/>
      </w:pPr>
      <w:r>
        <w:t>RVS-i valitsemise eesmärki, mis tähendab sisult pikaajaliselt reservina säilitamiseks vajalikku vara,</w:t>
      </w:r>
    </w:p>
    <w:p w:rsidR="000C7848" w:rsidRDefault="000C7848" w:rsidP="000C7848">
      <w:pPr>
        <w:pStyle w:val="Loend1"/>
      </w:pPr>
      <w:r>
        <w:t>muudel alustel tekkinud analüüsimata ning seetõttu teadmata kasutusvõimalustega reservi.</w:t>
      </w:r>
    </w:p>
    <w:p w:rsidR="004F5682" w:rsidRDefault="004F5682" w:rsidP="004F5682">
      <w:pPr>
        <w:spacing w:before="120"/>
      </w:pPr>
      <w:r w:rsidRPr="00B417AD">
        <w:rPr>
          <w:b/>
        </w:rPr>
        <w:t>Lahendus</w:t>
      </w:r>
      <w:r w:rsidR="000C7848">
        <w:rPr>
          <w:b/>
        </w:rPr>
        <w:t xml:space="preserve"> 1</w:t>
      </w:r>
      <w:r w:rsidRPr="00B417AD">
        <w:rPr>
          <w:b/>
        </w:rPr>
        <w:t xml:space="preserve">: </w:t>
      </w:r>
      <w:r w:rsidRPr="00B417AD">
        <w:t>Regulatsiooni täiendamine</w:t>
      </w:r>
      <w:r>
        <w:t xml:space="preserve">, menetluse lihtsustamine ja infosüsteemi toe loomine. </w:t>
      </w:r>
    </w:p>
    <w:p w:rsidR="004F5682" w:rsidRPr="001C1132" w:rsidRDefault="004F5682" w:rsidP="004F5682">
      <w:r w:rsidRPr="001C1132">
        <w:t>Rahandusministeerium nõustu</w:t>
      </w:r>
      <w:r>
        <w:t xml:space="preserve">s juba eelmises koondaruandes, et </w:t>
      </w:r>
      <w:r w:rsidRPr="001C1132">
        <w:t>valitsemise eesmärgi määramise regulatsioon vaj</w:t>
      </w:r>
      <w:r>
        <w:t>ab täiendamist ja täpsustamist.</w:t>
      </w:r>
    </w:p>
    <w:p w:rsidR="004F5682" w:rsidRPr="00043B72" w:rsidRDefault="004F5682" w:rsidP="004F5682">
      <w:pPr>
        <w:rPr>
          <w:b/>
        </w:rPr>
      </w:pPr>
      <w:r w:rsidRPr="00043B72">
        <w:rPr>
          <w:b/>
        </w:rPr>
        <w:t xml:space="preserve">Lahendus 2: </w:t>
      </w:r>
      <w:r>
        <w:t>R</w:t>
      </w:r>
      <w:r w:rsidRPr="00B417AD">
        <w:t>eservmaa määramise kriteeriumite kinnitamine Vabariigi Valitsuse poolt.</w:t>
      </w:r>
      <w:r>
        <w:t xml:space="preserve"> </w:t>
      </w:r>
    </w:p>
    <w:p w:rsidR="004F5682" w:rsidRPr="00400C32" w:rsidRDefault="004F5682" w:rsidP="004F5682">
      <w:pPr>
        <w:ind w:right="57"/>
      </w:pPr>
      <w:r w:rsidRPr="00400C32">
        <w:t xml:space="preserve">Oluline on reservina säilitatava vara kriteeriumid kinnitada </w:t>
      </w:r>
      <w:r>
        <w:t>VV poolt</w:t>
      </w:r>
      <w:r w:rsidRPr="00400C32">
        <w:t>, kuivõrd tegemist on strateegilise küsimusega. Samal tasemel tuleks vastu võtta põhimõtted, millist vara riik võõrandab. Nimetatud tegevused on olnud (</w:t>
      </w:r>
      <w:r>
        <w:t>üle-</w:t>
      </w:r>
      <w:r w:rsidRPr="00400C32">
        <w:t xml:space="preserve">eelmise) valitsuse tegevusprogrammis keskkonnaministri vastutusel. Keskkonnaministeeriumi ülesandel on Maa-amet </w:t>
      </w:r>
      <w:r>
        <w:t>koostöös Rahandu</w:t>
      </w:r>
      <w:r w:rsidR="000C7848">
        <w:t>s</w:t>
      </w:r>
      <w:r>
        <w:t xml:space="preserve">ministeeriumiga </w:t>
      </w:r>
      <w:r w:rsidRPr="00400C32">
        <w:t>välja töötanud riigile vajaliku maa reservina säilitamise kriteeriumid, mis paraku valitsuskoalitsiooni vahetumise tõttu 2014.</w:t>
      </w:r>
      <w:r>
        <w:t xml:space="preserve"> </w:t>
      </w:r>
      <w:r w:rsidRPr="00400C32">
        <w:t>aasta kevadel valitsusse kinnitamiseks ei jõudnud.</w:t>
      </w:r>
    </w:p>
    <w:p w:rsidR="004F5682" w:rsidRPr="00043B72" w:rsidRDefault="004F5682" w:rsidP="004F5682">
      <w:pPr>
        <w:ind w:right="57"/>
        <w:rPr>
          <w:b/>
        </w:rPr>
      </w:pPr>
      <w:r w:rsidRPr="00043B72">
        <w:rPr>
          <w:b/>
        </w:rPr>
        <w:t>Rahandusministeeriumi ettepanek:</w:t>
      </w:r>
    </w:p>
    <w:p w:rsidR="004F5682" w:rsidRDefault="004F5682" w:rsidP="000C7848">
      <w:pPr>
        <w:pStyle w:val="Loend1"/>
      </w:pPr>
      <w:r>
        <w:t>Maa</w:t>
      </w:r>
      <w:r w:rsidRPr="00400C32">
        <w:t>reservi- ja müügikriteeriumid kinnitada valitsuse tasemel, misjärel on võimalik kirjaliku juhendiga täpsustada teiste valitsemise eesmärkide sisu ning välja töötada vajalik infosüsteemi tugi.</w:t>
      </w:r>
      <w:r>
        <w:t xml:space="preserve"> Vabariigi Valitsuse tegevusprogr</w:t>
      </w:r>
      <w:r w:rsidR="000C7848">
        <w:t>ammis on Keskkonnaministeeriumi</w:t>
      </w:r>
      <w:r>
        <w:t xml:space="preserve"> ülesandeks märtsiks 2016 teostada a</w:t>
      </w:r>
      <w:r w:rsidRPr="00EA0EE1">
        <w:t>nalüüs ja ettepanekud maareformi lõpetamise, riigi maareservi moodustamise ja riigimaa reservina säilitamise põhimõtete määratlemiseks</w:t>
      </w:r>
    </w:p>
    <w:p w:rsidR="004F5682" w:rsidRDefault="004F5682" w:rsidP="000C7848">
      <w:pPr>
        <w:pStyle w:val="Loend1"/>
      </w:pPr>
      <w:r>
        <w:t>Kõikide hoonestamata ma</w:t>
      </w:r>
      <w:r w:rsidR="000C7848">
        <w:t>ade omand koondada Keskkonnaministeeriumi</w:t>
      </w:r>
      <w:r>
        <w:t xml:space="preserve"> valitsemisalasse, sh selliste varade omandamine ja müük.</w:t>
      </w:r>
    </w:p>
    <w:p w:rsidR="004F5682" w:rsidRDefault="004F5682" w:rsidP="004F5682">
      <w:pPr>
        <w:pStyle w:val="Pealkiri3"/>
      </w:pPr>
      <w:bookmarkStart w:id="358" w:name="_Toc433980728"/>
      <w:r>
        <w:t xml:space="preserve">Kasutamiseks </w:t>
      </w:r>
      <w:r w:rsidRPr="004F5682">
        <w:t>võtmise</w:t>
      </w:r>
      <w:r>
        <w:t xml:space="preserve"> lepingute sisestamine</w:t>
      </w:r>
      <w:bookmarkEnd w:id="358"/>
    </w:p>
    <w:p w:rsidR="004F5682" w:rsidRDefault="004F5682" w:rsidP="004F5682">
      <w:r w:rsidRPr="00220254">
        <w:rPr>
          <w:b/>
        </w:rPr>
        <w:t>Alus:</w:t>
      </w:r>
      <w:r w:rsidRPr="00220254">
        <w:t xml:space="preserve"> R</w:t>
      </w:r>
      <w:r>
        <w:t>iigivara valitsejad on kohustatud RKVR-is registreerima</w:t>
      </w:r>
      <w:r w:rsidRPr="00762533">
        <w:t xml:space="preserve"> </w:t>
      </w:r>
      <w:r>
        <w:t>kasutamiseks võtmise lepingud</w:t>
      </w:r>
      <w:r w:rsidRPr="00762533">
        <w:t xml:space="preserve">, </w:t>
      </w:r>
      <w:r>
        <w:t>mille alusel</w:t>
      </w:r>
      <w:r w:rsidRPr="00762533">
        <w:t xml:space="preserve"> riik kasutab teisel</w:t>
      </w:r>
      <w:r>
        <w:t>e isikule kuuluvat kinnisvara (</w:t>
      </w:r>
      <w:r w:rsidRPr="00762533">
        <w:t>RVS § 95 lg 5</w:t>
      </w:r>
      <w:r>
        <w:t>).</w:t>
      </w:r>
    </w:p>
    <w:p w:rsidR="004F5682" w:rsidRDefault="004F5682" w:rsidP="004F5682">
      <w:r w:rsidRPr="00FF1389">
        <w:rPr>
          <w:b/>
        </w:rPr>
        <w:t xml:space="preserve">Täitmine: </w:t>
      </w:r>
      <w:r>
        <w:t>Korrektsete lepinguandmete olemasolu on väga oluline, kuna leping on riigivara, millega kaasnevad õigused ja kohustused nagu omandis oleva varaga</w:t>
      </w:r>
      <w:r w:rsidR="0044558A">
        <w:t>gi</w:t>
      </w:r>
      <w:r>
        <w:t xml:space="preserve"> ning lepinguga võetakse rahalised kohustused, mis on aluseks eelarvekulude prognoosimisel. </w:t>
      </w:r>
    </w:p>
    <w:p w:rsidR="004F5682" w:rsidRDefault="004F5682" w:rsidP="004F5682">
      <w:r>
        <w:t xml:space="preserve">1. oktoobri 2013 seisuga oli RKVR-i andmetel RKAS-iga sõlmitud kasutuslepingute mahuks </w:t>
      </w:r>
      <w:r w:rsidRPr="00636D9D">
        <w:rPr>
          <w:lang w:eastAsia="et-EE"/>
        </w:rPr>
        <w:t>364 087 m</w:t>
      </w:r>
      <w:r w:rsidRPr="00636D9D">
        <w:rPr>
          <w:vertAlign w:val="superscript"/>
          <w:lang w:eastAsia="et-EE"/>
        </w:rPr>
        <w:t>2</w:t>
      </w:r>
      <w:r>
        <w:t xml:space="preserve">. </w:t>
      </w:r>
      <w:r w:rsidRPr="00400C32">
        <w:t>2014.</w:t>
      </w:r>
      <w:r>
        <w:t xml:space="preserve"> </w:t>
      </w:r>
      <w:r w:rsidRPr="00400C32">
        <w:t xml:space="preserve">aastal läbiviidud andekorje käigus sisestati RKVR-i seni sisestamata </w:t>
      </w:r>
      <w:r w:rsidRPr="00B417AD">
        <w:t>kasutamiseks võtmise lepinguid</w:t>
      </w:r>
      <w:r>
        <w:rPr>
          <w:b/>
        </w:rPr>
        <w:t xml:space="preserve"> </w:t>
      </w:r>
      <w:r>
        <w:t xml:space="preserve">mahus </w:t>
      </w:r>
      <w:r w:rsidRPr="00B417AD">
        <w:rPr>
          <w:b/>
        </w:rPr>
        <w:t>ca 100 000 m</w:t>
      </w:r>
      <w:r w:rsidRPr="00B417AD">
        <w:rPr>
          <w:rFonts w:ascii="Times New Roman" w:hAnsi="Times New Roman"/>
          <w:b/>
        </w:rPr>
        <w:t>²</w:t>
      </w:r>
      <w:r>
        <w:t xml:space="preserve">. </w:t>
      </w:r>
    </w:p>
    <w:p w:rsidR="004F5682" w:rsidRDefault="004F5682" w:rsidP="004F5682">
      <w:r>
        <w:t>31. detsembri 2014 seisuga oli RKVR-is registreeritud RKAS-iga sõlmitud kasutuslepingute mahuks 530 121 m</w:t>
      </w:r>
      <w:r>
        <w:rPr>
          <w:vertAlign w:val="superscript"/>
        </w:rPr>
        <w:t>2</w:t>
      </w:r>
      <w:r>
        <w:t>, mis on 3% võrra suurem RKAS-i tegevusaruandes kajastatud vastavast numbrist. Väike erinevus on tingitud erinevast pindade kajastamise metoodikast registrites ja võimalik, et ka sisestusvigadest.</w:t>
      </w:r>
    </w:p>
    <w:p w:rsidR="004F5682" w:rsidRDefault="004F5682" w:rsidP="004F5682">
      <w:r>
        <w:t>R</w:t>
      </w:r>
      <w:r w:rsidRPr="00400C32">
        <w:t xml:space="preserve">iigil puudub info teistelt isikutelt vara kasutamiseks võtmise mahu kohta, </w:t>
      </w:r>
      <w:r>
        <w:t xml:space="preserve">seetõttu </w:t>
      </w:r>
      <w:r w:rsidRPr="00400C32">
        <w:t xml:space="preserve">ei ole võimalik hinnata, kui palju lepinguid on </w:t>
      </w:r>
      <w:r>
        <w:t xml:space="preserve">veel kirjalikult </w:t>
      </w:r>
      <w:r w:rsidRPr="00400C32">
        <w:t xml:space="preserve">sõlmimata või registrisse </w:t>
      </w:r>
      <w:r>
        <w:t>kandmat</w:t>
      </w:r>
      <w:r w:rsidRPr="00400C32">
        <w:t xml:space="preserve">a. </w:t>
      </w:r>
      <w:r>
        <w:t xml:space="preserve">Kindlustunne puudub, et kõik riigi üürilepingud on RKVR-is registreeritud, sest juba sõlmitud lepingute tagantjärele registreerimine ning juba kasutuses olevatele pindadele lepingute sõlmimine toimuvad jätkuvalt. </w:t>
      </w:r>
    </w:p>
    <w:p w:rsidR="004F5682" w:rsidRDefault="004F5682" w:rsidP="004F5682">
      <w:r w:rsidRPr="00F76A01">
        <w:rPr>
          <w:b/>
        </w:rPr>
        <w:t xml:space="preserve">Probleem: </w:t>
      </w:r>
      <w:r w:rsidRPr="00F76A01">
        <w:t>Lepingute s</w:t>
      </w:r>
      <w:r>
        <w:t xml:space="preserve">isestamine on töömahukas. </w:t>
      </w:r>
    </w:p>
    <w:p w:rsidR="004F5682" w:rsidRDefault="004F5682" w:rsidP="004F5682">
      <w:r w:rsidRPr="00F76A01">
        <w:rPr>
          <w:b/>
        </w:rPr>
        <w:t xml:space="preserve">Lahendus: </w:t>
      </w:r>
      <w:r w:rsidRPr="002E7AE4">
        <w:t>Eelmises koondaru</w:t>
      </w:r>
      <w:r>
        <w:t>a</w:t>
      </w:r>
      <w:r w:rsidRPr="002E7AE4">
        <w:t xml:space="preserve">ndes </w:t>
      </w:r>
      <w:r>
        <w:t xml:space="preserve">esitati </w:t>
      </w:r>
      <w:r w:rsidRPr="002E7AE4">
        <w:t>lahendusena</w:t>
      </w:r>
      <w:r>
        <w:t>:</w:t>
      </w:r>
    </w:p>
    <w:p w:rsidR="004F5682" w:rsidRDefault="004F5682" w:rsidP="0044558A">
      <w:pPr>
        <w:pStyle w:val="Loend1"/>
      </w:pPr>
      <w:r>
        <w:t>pikemas perspektiivis - a</w:t>
      </w:r>
      <w:r w:rsidRPr="00B417AD">
        <w:t>ndmevahetuse loomi</w:t>
      </w:r>
      <w:r>
        <w:t>ne</w:t>
      </w:r>
      <w:r w:rsidRPr="00B417AD">
        <w:t xml:space="preserve"> RKVR-i ja RKAS-i infosüsteemi vahel</w:t>
      </w:r>
      <w:r>
        <w:t xml:space="preserve"> ning menetluse lihtsustamine</w:t>
      </w:r>
      <w:r w:rsidRPr="00B417AD">
        <w:t xml:space="preserve">, mis on </w:t>
      </w:r>
      <w:r w:rsidRPr="006A3AB9">
        <w:rPr>
          <w:u w:val="single"/>
        </w:rPr>
        <w:t>jätkuvalt aktuaalne ja kriitiline vajadus.</w:t>
      </w:r>
      <w:r>
        <w:t xml:space="preserve"> Lahenduse realiseerimiseks on vajalik leida ressursid registri arendusteks. </w:t>
      </w:r>
    </w:p>
    <w:p w:rsidR="004F5682" w:rsidRDefault="004F5682" w:rsidP="0044558A">
      <w:pPr>
        <w:pStyle w:val="Loend1"/>
      </w:pPr>
      <w:r>
        <w:t xml:space="preserve">juba järgmises eelarveprotsessis - RKVR-is registreerimise nõude seadmine eelarveotsuste eeldusena. RES 2016-2019 protsessis on selle </w:t>
      </w:r>
      <w:r>
        <w:rPr>
          <w:u w:val="single"/>
        </w:rPr>
        <w:t>meetme positiivne mõju</w:t>
      </w:r>
      <w:r w:rsidRPr="006A3AB9">
        <w:rPr>
          <w:u w:val="single"/>
        </w:rPr>
        <w:t xml:space="preserve"> juba selgelt ilmnenud.</w:t>
      </w:r>
      <w:r>
        <w:t xml:space="preserve"> 2015. aasta kevadel RKAS-iga sõlmitud rendimaksete prognoose analüüsides täienes RKVR-i andmestik märkimisväärselt (näiteks registreeriti 2015. aasta I kvartalis RKVR-is 19 hoonestatud kinnisvara kasutamiseks võtmise lepingut hoonete pinnaga ca 10 000 m</w:t>
      </w:r>
      <w:r>
        <w:rPr>
          <w:rFonts w:ascii="Calibri" w:hAnsi="Calibri"/>
        </w:rPr>
        <w:t xml:space="preserve">², </w:t>
      </w:r>
      <w:r w:rsidRPr="0048795C">
        <w:t>mis olid registreerimise hetkeks kehtinud rohkem kui üks aasta</w:t>
      </w:r>
      <w:r>
        <w:t xml:space="preserve">). </w:t>
      </w:r>
    </w:p>
    <w:p w:rsidR="004F5682" w:rsidRDefault="004F5682" w:rsidP="004F5682">
      <w:r>
        <w:t xml:space="preserve">Lisaks on 2014. aastal senisest veelgi selgemalt ilmnenud </w:t>
      </w:r>
      <w:r w:rsidRPr="00B417AD">
        <w:rPr>
          <w:b/>
        </w:rPr>
        <w:t>vajadus</w:t>
      </w:r>
      <w:r>
        <w:t>:</w:t>
      </w:r>
    </w:p>
    <w:p w:rsidR="004F5682" w:rsidRDefault="004F5682" w:rsidP="0044558A">
      <w:pPr>
        <w:pStyle w:val="Loend1"/>
      </w:pPr>
      <w:r>
        <w:t>korrastada kogu kasutamiseks võtmise protsess alates pinnakasutuse vajaduse hindamisest, alternatiivsete lahenduste võrdlemisest kuni lepingu sõlmimiseni. See vajab RVS-i täiendamist (eelmises koondaruandes kirjeldati probleemi põhjalik</w:t>
      </w:r>
      <w:r w:rsidR="0044558A">
        <w:t>umalt peatükkides 3.3.2-3.3.4).</w:t>
      </w:r>
    </w:p>
    <w:p w:rsidR="004F5682" w:rsidRDefault="004F5682" w:rsidP="0044558A">
      <w:pPr>
        <w:pStyle w:val="Loend1"/>
      </w:pPr>
      <w:r>
        <w:t>luua andmevahetus RKVR-i ja riigi fina</w:t>
      </w:r>
      <w:r w:rsidR="0044558A">
        <w:t>n</w:t>
      </w:r>
      <w:r>
        <w:t xml:space="preserve">tsjuhtimise infosüsteemi vahel (eelarve infosüsteem ja finantsaruandlus), et tekiks ülevaade riigi kinnisvaraga seotud kuludest. </w:t>
      </w:r>
    </w:p>
    <w:p w:rsidR="004F5682" w:rsidRDefault="004F5682" w:rsidP="0044558A">
      <w:pPr>
        <w:pStyle w:val="Loend1"/>
      </w:pPr>
      <w:r>
        <w:t>luua lihtsustatud ja standardsem üürihinna kujunemise reeglistik, mis toetaks eelarve stabiilsust ja lihtsustaks rendimaksete prognoosimist eelarves</w:t>
      </w:r>
      <w:r w:rsidR="0044558A">
        <w:t>.</w:t>
      </w:r>
    </w:p>
    <w:p w:rsidR="004F5682" w:rsidRDefault="004F5682" w:rsidP="004F5682">
      <w:r>
        <w:t>Kõik viidatud lahendused eeldavad muudatusi RVS-is ja lisaressursse registrite arendamiseks.</w:t>
      </w:r>
    </w:p>
    <w:p w:rsidR="004F5682" w:rsidRDefault="004F5682" w:rsidP="004F5682">
      <w:pPr>
        <w:pStyle w:val="Pealkiri3"/>
      </w:pPr>
      <w:bookmarkStart w:id="359" w:name="_Toc433980729"/>
      <w:r>
        <w:t xml:space="preserve">Kasutamiseks andmise </w:t>
      </w:r>
      <w:r w:rsidRPr="004F5682">
        <w:t>lepingute</w:t>
      </w:r>
      <w:r>
        <w:t xml:space="preserve"> andmete korrastamine</w:t>
      </w:r>
      <w:bookmarkEnd w:id="359"/>
    </w:p>
    <w:p w:rsidR="004F5682" w:rsidRPr="00636D9D" w:rsidRDefault="004F5682" w:rsidP="004F5682">
      <w:pPr>
        <w:ind w:right="57"/>
      </w:pPr>
      <w:r w:rsidRPr="00483A34">
        <w:rPr>
          <w:b/>
        </w:rPr>
        <w:t>Alus:</w:t>
      </w:r>
      <w:r w:rsidRPr="00636D9D">
        <w:t xml:space="preserve"> Riigivara valitsejad pidid viima enne RVS-i jõustumist (mõeldud on RVS-i redaktsiooni jõustumist 2010.</w:t>
      </w:r>
      <w:r w:rsidR="0044558A">
        <w:t xml:space="preserve"> </w:t>
      </w:r>
      <w:r w:rsidRPr="00636D9D">
        <w:t xml:space="preserve">aastal) sõlmitud kasutuslepingud kooskõlla kehtiva seadusega ühe aasta jooksul seaduse jõustumisest arvates, st hiljemalt 01.01.2012 (RVS § 102 lg 2). </w:t>
      </w:r>
    </w:p>
    <w:p w:rsidR="004F5682" w:rsidRDefault="004F5682" w:rsidP="004F5682">
      <w:pPr>
        <w:ind w:right="57"/>
      </w:pPr>
      <w:r w:rsidRPr="00636D9D">
        <w:rPr>
          <w:b/>
        </w:rPr>
        <w:t xml:space="preserve">Täitmine: </w:t>
      </w:r>
      <w:r w:rsidRPr="00636D9D">
        <w:t xml:space="preserve">Tähtajaks ülesannet suure töömahu tõttu täita ei suudetud, lepinguid on korrastatud järk-järgult, ka viimase aasta jooksul on </w:t>
      </w:r>
      <w:r w:rsidRPr="00483A34">
        <w:t>märgata edusamme. Vanast</w:t>
      </w:r>
      <w:r>
        <w:t xml:space="preserve"> riigivara registrist toodi üle 9570 kasutuslepingut, millest oli 2014. a lõpuks lõpetatud või ümber vormistatud </w:t>
      </w:r>
      <w:r w:rsidRPr="003E5B7D">
        <w:t>8320 (87%)</w:t>
      </w:r>
      <w:r>
        <w:t xml:space="preserve">, sh 2011 a jooksul korrastati 5292, 2012.a 1174, 2013. a 1352 ja 2014. a 502 lepingut. </w:t>
      </w:r>
    </w:p>
    <w:p w:rsidR="004F5682" w:rsidRPr="00483A34" w:rsidRDefault="004F5682" w:rsidP="004F5682">
      <w:pPr>
        <w:ind w:right="57"/>
      </w:pPr>
      <w:r>
        <w:t>Kõigist registreeritud lepingutest oli 2011. a lõpuks uuel andmevormil</w:t>
      </w:r>
      <w:r w:rsidR="0037089E">
        <w:t xml:space="preserve"> 60%, </w:t>
      </w:r>
      <w:r>
        <w:t xml:space="preserve">31.12.2014 seisuga </w:t>
      </w:r>
      <w:r w:rsidRPr="00483A34">
        <w:t>92%</w:t>
      </w:r>
      <w:r>
        <w:t xml:space="preserve"> lepingutest (vt </w:t>
      </w:r>
      <w:r w:rsidR="00A85FDC">
        <w:fldChar w:fldCharType="begin"/>
      </w:r>
      <w:r>
        <w:instrText xml:space="preserve"> REF _Ref420335037 \h </w:instrText>
      </w:r>
      <w:r w:rsidR="00A85FDC">
        <w:fldChar w:fldCharType="separate"/>
      </w:r>
      <w:r w:rsidR="00477322">
        <w:t xml:space="preserve">Joonis </w:t>
      </w:r>
      <w:r w:rsidR="00477322">
        <w:rPr>
          <w:noProof/>
        </w:rPr>
        <w:t>18</w:t>
      </w:r>
      <w:r w:rsidR="00A85FDC">
        <w:fldChar w:fldCharType="end"/>
      </w:r>
      <w:r>
        <w:t>)</w:t>
      </w:r>
      <w:r w:rsidRPr="00483A34">
        <w:t xml:space="preserve">. </w:t>
      </w:r>
    </w:p>
    <w:p w:rsidR="004F5682" w:rsidRDefault="004F5682" w:rsidP="004F5682">
      <w:pPr>
        <w:pStyle w:val="Caption"/>
        <w:jc w:val="both"/>
      </w:pPr>
      <w:bookmarkStart w:id="360" w:name="_Ref420335037"/>
      <w:r>
        <w:t xml:space="preserve">Joonis </w:t>
      </w:r>
      <w:fldSimple w:instr=" SEQ Joonis \* ARABIC ">
        <w:r w:rsidR="00477322">
          <w:rPr>
            <w:noProof/>
          </w:rPr>
          <w:t>18</w:t>
        </w:r>
      </w:fldSimple>
      <w:bookmarkEnd w:id="360"/>
      <w:r>
        <w:t>. Kasutamiseks andmise lepingute korrastamine</w:t>
      </w:r>
    </w:p>
    <w:p w:rsidR="004F5682" w:rsidRDefault="004F5682" w:rsidP="00D47A67">
      <w:pPr>
        <w:pStyle w:val="ListParagraph"/>
        <w:numPr>
          <w:ilvl w:val="0"/>
          <w:numId w:val="0"/>
        </w:numPr>
        <w:ind w:left="357"/>
      </w:pPr>
      <w:r w:rsidRPr="003E5B7D">
        <w:rPr>
          <w:noProof/>
        </w:rPr>
        <w:drawing>
          <wp:inline distT="0" distB="0" distL="0" distR="0">
            <wp:extent cx="5388973" cy="3387634"/>
            <wp:effectExtent l="19050" t="0" r="21227" b="3266"/>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F5682" w:rsidRPr="00483A34" w:rsidRDefault="004F5682" w:rsidP="004F5682">
      <w:pPr>
        <w:ind w:right="57"/>
      </w:pPr>
      <w:r w:rsidRPr="00483A34">
        <w:t xml:space="preserve">Korrastamist vajab veel </w:t>
      </w:r>
      <w:r>
        <w:t>1250 vanast registrist ületoodud lepingut</w:t>
      </w:r>
      <w:r w:rsidRPr="00483A34">
        <w:t xml:space="preserve">. </w:t>
      </w:r>
      <w:r>
        <w:t>P</w:t>
      </w:r>
      <w:r w:rsidRPr="00483A34">
        <w:t>eamiselt on üle vaatamata kasutusvalduse ja isikliku kasutusõiguse se</w:t>
      </w:r>
      <w:r w:rsidR="00D47A67">
        <w:t>a</w:t>
      </w:r>
      <w:r w:rsidRPr="00483A34">
        <w:t>dmise lepingud, mille maht on suur.</w:t>
      </w:r>
      <w:r w:rsidRPr="0062058F">
        <w:t xml:space="preserve"> </w:t>
      </w:r>
      <w:r w:rsidRPr="00483A34">
        <w:t>Hoonestatud vara üürilepingud on 99% ulatuses korra</w:t>
      </w:r>
      <w:r>
        <w:t>statud.</w:t>
      </w:r>
    </w:p>
    <w:p w:rsidR="004F5682" w:rsidRDefault="004F5682" w:rsidP="00351253">
      <w:pPr>
        <w:pStyle w:val="ListParagraph"/>
      </w:pPr>
      <w:r w:rsidRPr="00483A34">
        <w:t xml:space="preserve">Kõige rohkem on ümber vormistamist vajavaid lepinguid Majandus- ja Kommunikatsiooniministeeriumil, Harju Maavalitsusel ja Ida-Viru Maavalitsusel – igaühel veel üle 300 lepingu. </w:t>
      </w:r>
    </w:p>
    <w:p w:rsidR="004F5682" w:rsidRDefault="004F5682" w:rsidP="0037089E">
      <w:pPr>
        <w:pStyle w:val="ListParagraph"/>
        <w:numPr>
          <w:ilvl w:val="0"/>
          <w:numId w:val="0"/>
        </w:numPr>
        <w:ind w:left="357"/>
      </w:pPr>
      <w:r w:rsidRPr="00483A34">
        <w:t xml:space="preserve">Vähem on lepinguid parandada Saare Maavalitsusel, Keskkonnaministeeriumil, Pärnu Maavalitsusel ja Viljandi Maavalitsusel. </w:t>
      </w:r>
    </w:p>
    <w:p w:rsidR="004F5682" w:rsidRDefault="004F5682" w:rsidP="0037089E">
      <w:pPr>
        <w:pStyle w:val="ListParagraph"/>
        <w:numPr>
          <w:ilvl w:val="0"/>
          <w:numId w:val="0"/>
        </w:numPr>
        <w:ind w:left="357"/>
      </w:pPr>
      <w:r w:rsidRPr="00483A34">
        <w:t xml:space="preserve">Ülejäänud valitsemisalades on andmed korrastatud või on vanal vormil veel üksikud lepingud. </w:t>
      </w:r>
    </w:p>
    <w:p w:rsidR="004F5682" w:rsidRDefault="004F5682" w:rsidP="004F5682">
      <w:pPr>
        <w:pStyle w:val="Pealkiri3"/>
      </w:pPr>
      <w:bookmarkStart w:id="361" w:name="_Ref423622166"/>
      <w:bookmarkStart w:id="362" w:name="_Toc433980730"/>
      <w:r>
        <w:t>Riigi ehitiste registreerimine ehitisregistris (EHR)</w:t>
      </w:r>
      <w:bookmarkEnd w:id="361"/>
      <w:bookmarkEnd w:id="362"/>
    </w:p>
    <w:p w:rsidR="004F5682" w:rsidRDefault="004F5682" w:rsidP="003D1560">
      <w:pPr>
        <w:ind w:right="57"/>
      </w:pPr>
      <w:r w:rsidRPr="00CC575C">
        <w:rPr>
          <w:b/>
        </w:rPr>
        <w:t>Alus</w:t>
      </w:r>
      <w:r w:rsidR="003D1560">
        <w:rPr>
          <w:b/>
        </w:rPr>
        <w:t>ed</w:t>
      </w:r>
      <w:r w:rsidRPr="00CC575C">
        <w:rPr>
          <w:b/>
        </w:rPr>
        <w:t>:</w:t>
      </w:r>
      <w:r>
        <w:t xml:space="preserve"> R</w:t>
      </w:r>
      <w:r w:rsidRPr="0057589B">
        <w:t>iigivara valitseja</w:t>
      </w:r>
      <w:r>
        <w:t xml:space="preserve"> pidi registreerima</w:t>
      </w:r>
      <w:r w:rsidRPr="0057589B">
        <w:t xml:space="preserve"> tema valitsemisel oleva riigi andmekogudes registreerimata vara</w:t>
      </w:r>
      <w:r>
        <w:t xml:space="preserve"> </w:t>
      </w:r>
      <w:r w:rsidRPr="0057589B">
        <w:t xml:space="preserve">vastavates registrites </w:t>
      </w:r>
      <w:r>
        <w:t>2013. aasta 31. detsembriks (RVS § 111). VV 10.04.2014 otsusega rahandusministeeriumile antud ülesanne koostada tegevuskava hoonete andmete korrastamise kohta.</w:t>
      </w:r>
    </w:p>
    <w:p w:rsidR="004F5682" w:rsidRDefault="004F5682" w:rsidP="004F5682">
      <w:pPr>
        <w:spacing w:before="120"/>
      </w:pPr>
      <w:r w:rsidRPr="00CC575C">
        <w:rPr>
          <w:b/>
        </w:rPr>
        <w:t>Täitmine:</w:t>
      </w:r>
      <w:r>
        <w:rPr>
          <w:b/>
        </w:rPr>
        <w:t xml:space="preserve"> </w:t>
      </w:r>
      <w:r w:rsidRPr="00CC575C">
        <w:t xml:space="preserve">Eelmise </w:t>
      </w:r>
      <w:r>
        <w:t xml:space="preserve">koondaruande andmetel oli </w:t>
      </w:r>
      <w:r w:rsidRPr="00400C32">
        <w:t>ehitisregistris</w:t>
      </w:r>
      <w:r w:rsidRPr="001C1132">
        <w:t xml:space="preserve"> registreeritud</w:t>
      </w:r>
      <w:r>
        <w:t xml:space="preserve"> ca 2/3 </w:t>
      </w:r>
      <w:r w:rsidRPr="001C1132">
        <w:t xml:space="preserve">kõigist </w:t>
      </w:r>
      <w:r>
        <w:t>RKVR-is registreeritud riigi omandis olevatest</w:t>
      </w:r>
      <w:r w:rsidRPr="001C1132">
        <w:t xml:space="preserve"> ja hoonestusõiguse</w:t>
      </w:r>
      <w:r>
        <w:t xml:space="preserve"> alusel</w:t>
      </w:r>
      <w:r w:rsidRPr="001C1132">
        <w:t xml:space="preserve"> kasutatavatest hoonetest</w:t>
      </w:r>
      <w:r>
        <w:t xml:space="preserve"> (58</w:t>
      </w:r>
      <w:r w:rsidRPr="001C1132">
        <w:t xml:space="preserve"> %</w:t>
      </w:r>
      <w:r>
        <w:t xml:space="preserve"> hoonete arvust, 66 % pindalast), 2014</w:t>
      </w:r>
      <w:r w:rsidRPr="001C1132">
        <w:t xml:space="preserve">. aasta </w:t>
      </w:r>
      <w:r>
        <w:t>lõpu seisuga ca 3/4 (73</w:t>
      </w:r>
      <w:r w:rsidRPr="001C1132">
        <w:t xml:space="preserve"> %</w:t>
      </w:r>
      <w:r>
        <w:t xml:space="preserve"> hoonete arvust, 84 </w:t>
      </w:r>
      <w:r w:rsidRPr="006A3AB9">
        <w:t xml:space="preserve">% pindalast). </w:t>
      </w:r>
      <w:r w:rsidRPr="006A3AB9">
        <w:rPr>
          <w:u w:val="single"/>
        </w:rPr>
        <w:t>Aastaga on registreeritus kasvanud 15% võrra.</w:t>
      </w:r>
      <w:r w:rsidRPr="006A3AB9">
        <w:t xml:space="preserve"> EHR</w:t>
      </w:r>
      <w:r>
        <w:t xml:space="preserve">-is registreeritud hoonete osakaalu tõus tuleneb ühest küljest läbiviidud andmekorjest, mille käigus tekitati seos RKVR-i ja EHR-i hoone kande vahel ning teisest küljest riigi omandis olevate varade võõrandamisest, mille tulemusel on EHR-is registreerimata hooned üle antud RKAS-ile. </w:t>
      </w:r>
    </w:p>
    <w:p w:rsidR="004F5682" w:rsidRDefault="004F5682" w:rsidP="004F5682">
      <w:pPr>
        <w:spacing w:before="120"/>
      </w:pPr>
      <w:r>
        <w:t>Hoonete registreeritus EHR-is valitsemisalade kaupa on esitatud Lisas</w:t>
      </w:r>
      <w:r w:rsidR="00ED24B2">
        <w:t xml:space="preserve"> 2</w:t>
      </w:r>
      <w:r>
        <w:t xml:space="preserve"> olevas </w:t>
      </w:r>
      <w:r w:rsidRPr="00D10666">
        <w:t>tabelis (</w:t>
      </w:r>
      <w:fldSimple w:instr=" REF _Ref411869832 \h  \* MERGEFORMAT ">
        <w:r w:rsidR="00477322">
          <w:t>Tabel</w:t>
        </w:r>
        <w:r w:rsidR="00477322" w:rsidRPr="00477322">
          <w:rPr>
            <w:lang w:val="en-US"/>
          </w:rPr>
          <w:t xml:space="preserve"> 2</w:t>
        </w:r>
      </w:fldSimple>
      <w:r w:rsidRPr="00D10666">
        <w:t>). Justiits- ja Rahandusministeeriumil</w:t>
      </w:r>
      <w:r w:rsidR="00D10666">
        <w:t>, Riigikontrollil, Õiguskantsleri kantseleil ning mitmel maavalitsusel</w:t>
      </w:r>
      <w:r w:rsidRPr="00D10666">
        <w:t xml:space="preserve"> ei ole omandis olevaid hooneid. Kõik ho</w:t>
      </w:r>
      <w:r>
        <w:t xml:space="preserve">oned on EHR-is registreeritud </w:t>
      </w:r>
      <w:r w:rsidR="00D10666">
        <w:t xml:space="preserve">ülejäänud </w:t>
      </w:r>
      <w:r>
        <w:t>Põ</w:t>
      </w:r>
      <w:r w:rsidR="00D10666">
        <w:t>hiseaduslikel institutsioonidel ja</w:t>
      </w:r>
      <w:r>
        <w:t xml:space="preserve"> maavalitsustel ning Sotsiaalministeeriumil. </w:t>
      </w:r>
      <w:r w:rsidRPr="005E3C15">
        <w:t xml:space="preserve">Alla 50 % </w:t>
      </w:r>
      <w:r>
        <w:t xml:space="preserve">hoonetest </w:t>
      </w:r>
      <w:r w:rsidRPr="005E3C15">
        <w:t>on EHR-is registreeri</w:t>
      </w:r>
      <w:r>
        <w:t>tud Majandus- ja Kommunikatsioo</w:t>
      </w:r>
      <w:r w:rsidRPr="005E3C15">
        <w:t>niministeeriumi val</w:t>
      </w:r>
      <w:r>
        <w:t xml:space="preserve">itsemisalas (vt </w:t>
      </w:r>
      <w:r w:rsidR="00A85FDC">
        <w:fldChar w:fldCharType="begin"/>
      </w:r>
      <w:r>
        <w:instrText xml:space="preserve"> REF _Ref418165134 \h </w:instrText>
      </w:r>
      <w:r w:rsidR="00A85FDC">
        <w:fldChar w:fldCharType="separate"/>
      </w:r>
      <w:r w:rsidR="00477322" w:rsidRPr="00BC328B">
        <w:t xml:space="preserve">Joonis </w:t>
      </w:r>
      <w:r w:rsidR="00477322">
        <w:rPr>
          <w:noProof/>
        </w:rPr>
        <w:t>19</w:t>
      </w:r>
      <w:r w:rsidR="00A85FDC">
        <w:fldChar w:fldCharType="end"/>
      </w:r>
      <w:r>
        <w:t>)</w:t>
      </w:r>
      <w:r w:rsidRPr="005E3C15">
        <w:t>.</w:t>
      </w:r>
      <w:r>
        <w:t xml:space="preserve"> </w:t>
      </w:r>
    </w:p>
    <w:p w:rsidR="004F5682" w:rsidRPr="00BC328B" w:rsidRDefault="004F5682" w:rsidP="00BC328B">
      <w:pPr>
        <w:pStyle w:val="Caption"/>
      </w:pPr>
      <w:bookmarkStart w:id="363" w:name="_Ref418165134"/>
      <w:r w:rsidRPr="00BC328B">
        <w:t xml:space="preserve">Joonis </w:t>
      </w:r>
      <w:fldSimple w:instr=" SEQ Joonis \* ARABIC ">
        <w:r w:rsidR="00477322">
          <w:rPr>
            <w:noProof/>
          </w:rPr>
          <w:t>19</w:t>
        </w:r>
      </w:fldSimple>
      <w:bookmarkEnd w:id="363"/>
      <w:r w:rsidRPr="00BC328B">
        <w:t>. Riigi omandis olevate ja Eestis asuvate hoonete registreeritus EHR-is</w:t>
      </w:r>
    </w:p>
    <w:p w:rsidR="004F5682" w:rsidRDefault="00871BA2" w:rsidP="00D10666">
      <w:pPr>
        <w:spacing w:before="120" w:after="120"/>
      </w:pPr>
      <w:r w:rsidRPr="00871BA2">
        <w:rPr>
          <w:noProof/>
          <w:lang w:eastAsia="et-EE"/>
        </w:rPr>
        <w:drawing>
          <wp:inline distT="0" distB="0" distL="0" distR="0">
            <wp:extent cx="4857750" cy="3091543"/>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F5682" w:rsidRPr="003B6682" w:rsidRDefault="004F5682" w:rsidP="004F5682">
      <w:pPr>
        <w:spacing w:before="120"/>
      </w:pPr>
      <w:r>
        <w:rPr>
          <w:b/>
        </w:rPr>
        <w:t>Probleem</w:t>
      </w:r>
      <w:r w:rsidRPr="0013138C">
        <w:rPr>
          <w:b/>
        </w:rPr>
        <w:t>:</w:t>
      </w:r>
      <w:r>
        <w:t xml:space="preserve"> hoone registreerimine EHR-is on ressursimahukas tegevus. Kui hoonel puudub projektdokumentatsioon, on vaja hoone üle mõõdistada või koguni </w:t>
      </w:r>
      <w:r w:rsidR="005341B6">
        <w:t>(</w:t>
      </w:r>
      <w:r>
        <w:t>eskiis</w:t>
      </w:r>
      <w:r w:rsidR="005341B6">
        <w:t>)</w:t>
      </w:r>
      <w:r>
        <w:t>projekt koostada.</w:t>
      </w:r>
    </w:p>
    <w:p w:rsidR="00BC328B" w:rsidRDefault="004F5682" w:rsidP="00761B62">
      <w:r w:rsidRPr="0013138C">
        <w:rPr>
          <w:b/>
        </w:rPr>
        <w:t>Lahendus:</w:t>
      </w:r>
      <w:r>
        <w:rPr>
          <w:b/>
        </w:rPr>
        <w:t xml:space="preserve"> </w:t>
      </w:r>
      <w:r w:rsidR="00871BA2" w:rsidRPr="00871BA2">
        <w:t>Riigi kinnisvarastrateegia</w:t>
      </w:r>
      <w:r w:rsidR="00871BA2">
        <w:t xml:space="preserve"> kohaselt võõrandab riik oma hooned RKAS-ile, kes täites hoone omaniku kohustusi</w:t>
      </w:r>
      <w:r w:rsidR="00716D1C">
        <w:t>,</w:t>
      </w:r>
      <w:r w:rsidR="00871BA2">
        <w:t xml:space="preserve"> kannab puuduolevad hooned ehitisregistrisse. </w:t>
      </w:r>
      <w:r w:rsidR="00BC328B">
        <w:t xml:space="preserve">Andmete korrastamisega liigutakse varade üleandmise tempos. </w:t>
      </w:r>
    </w:p>
    <w:p w:rsidR="004F5682" w:rsidRDefault="00BC328B" w:rsidP="00761B62">
      <w:r>
        <w:t xml:space="preserve">Kui hoonete üleandmisega ei jätkata, tuleb riigil korraldada hoonete andmete korrastamine. </w:t>
      </w:r>
      <w:r w:rsidR="004F5682">
        <w:t>Vastav tegevuskava on</w:t>
      </w:r>
      <w:r w:rsidR="005341B6">
        <w:t xml:space="preserve"> esitatud</w:t>
      </w:r>
      <w:r w:rsidR="004F5682">
        <w:t xml:space="preserve"> </w:t>
      </w:r>
      <w:r w:rsidR="00761B62">
        <w:t>Lisas 4.</w:t>
      </w:r>
    </w:p>
    <w:p w:rsidR="004F5682" w:rsidRDefault="004F5682" w:rsidP="004F5682">
      <w:pPr>
        <w:pStyle w:val="Pealkiri2"/>
      </w:pPr>
      <w:bookmarkStart w:id="364" w:name="_Toc412019595"/>
      <w:bookmarkStart w:id="365" w:name="_Ref423622312"/>
      <w:bookmarkStart w:id="366" w:name="_Toc433980731"/>
      <w:r w:rsidRPr="0072558A">
        <w:t xml:space="preserve">Hoonete </w:t>
      </w:r>
      <w:r w:rsidRPr="004F5682">
        <w:t>energiatõhusus</w:t>
      </w:r>
      <w:bookmarkEnd w:id="364"/>
      <w:bookmarkEnd w:id="365"/>
      <w:bookmarkEnd w:id="366"/>
    </w:p>
    <w:p w:rsidR="004F5682" w:rsidRDefault="004F5682" w:rsidP="004F5682">
      <w:pPr>
        <w:pStyle w:val="Pealkiri3"/>
      </w:pPr>
      <w:bookmarkStart w:id="367" w:name="_Toc412019281"/>
      <w:bookmarkStart w:id="368" w:name="_Toc412019596"/>
      <w:bookmarkStart w:id="369" w:name="_Toc433980732"/>
      <w:r>
        <w:t xml:space="preserve">Energiamärgise </w:t>
      </w:r>
      <w:r w:rsidRPr="004F5682">
        <w:t>paigaldamine</w:t>
      </w:r>
      <w:bookmarkEnd w:id="367"/>
      <w:bookmarkEnd w:id="368"/>
      <w:bookmarkEnd w:id="369"/>
    </w:p>
    <w:p w:rsidR="0010708E" w:rsidRDefault="004F5682" w:rsidP="004F5682">
      <w:r w:rsidRPr="00B417AD">
        <w:rPr>
          <w:b/>
        </w:rPr>
        <w:t>Alus</w:t>
      </w:r>
      <w:r>
        <w:rPr>
          <w:b/>
        </w:rPr>
        <w:t xml:space="preserve"> 1</w:t>
      </w:r>
      <w:r w:rsidRPr="00B417AD">
        <w:rPr>
          <w:b/>
        </w:rPr>
        <w:t>:</w:t>
      </w:r>
      <w:r>
        <w:t xml:space="preserve"> </w:t>
      </w:r>
      <w:r w:rsidR="0010708E">
        <w:t>Vastavust energiatõhususe miinimumnõuetele tõendatakse energiamärgisega. Energiamärgis annab infot projekteeritava või olemasoleva hoone projekteeritud energiavajaduse või tegeliku energiatarbimise kohta. (Ehitusseadustik § 66 lg 1).</w:t>
      </w:r>
    </w:p>
    <w:p w:rsidR="0010708E" w:rsidRDefault="0010708E" w:rsidP="004F5682">
      <w:r>
        <w:t>Energiamärgis peab olema paigaldatud külastajate jaoks kergesti märgatavale ja nähtavale kohale hoones, milles riigi- või kohaliku omavalitsuse asutuse või muu avalik-õigusliku asutuse valduses on rohkem kui 250 ruutmeetrit suletud netopinda ja mida isikud sageli külastavad (EhS § 68 lg 1 pn 2).</w:t>
      </w:r>
    </w:p>
    <w:p w:rsidR="0010708E" w:rsidRPr="0010708E" w:rsidRDefault="0010708E" w:rsidP="0010708E">
      <w:r>
        <w:t>Nimetatud</w:t>
      </w:r>
      <w:r w:rsidRPr="0010708E">
        <w:t xml:space="preserve"> nõudeid kohaldatakse hoonele, mille sisekliima ja ruumiõhu kvaliteedi tagamiseks, sealhulgas temperatuuri hoidmiseks, tõstmiseks või langetamiseks, kasutatakse energiat.</w:t>
      </w:r>
      <w:r>
        <w:t xml:space="preserve"> (EhS § 62 lg 1)</w:t>
      </w:r>
    </w:p>
    <w:p w:rsidR="0010708E" w:rsidRDefault="0010708E" w:rsidP="0010708E">
      <w:r>
        <w:t>N</w:t>
      </w:r>
      <w:r w:rsidRPr="0010708E">
        <w:t>õudeid ei kohaldata järgmistele hoonetele</w:t>
      </w:r>
      <w:r>
        <w:t xml:space="preserve"> (EhS § 62 lg 2)</w:t>
      </w:r>
      <w:r w:rsidRPr="0010708E">
        <w:t>:</w:t>
      </w:r>
      <w:bookmarkStart w:id="370" w:name="para62lg2p1"/>
      <w:r>
        <w:t xml:space="preserve"> </w:t>
      </w:r>
    </w:p>
    <w:bookmarkEnd w:id="370"/>
    <w:p w:rsidR="0010708E" w:rsidRDefault="0010708E" w:rsidP="0010708E">
      <w:pPr>
        <w:pStyle w:val="Loend1"/>
      </w:pPr>
      <w:r w:rsidRPr="0010708E">
        <w:t>üld- või detailplaneeringu alusel miljööväärtuslikule alale jäävad või väärtusliku üksikobjektina määratletud hooned või hooned, mis on tunnistatud mälestisteks, asuvad muinsuskaitsealal või kuuluvad UNESCO maailmapärandi nimekirja muinsuskaitseseaduse alusel ning mille olemust või välisilmet muudaks energiatõhususe miinimumnõuete täitmine oluliselt;</w:t>
      </w:r>
      <w:bookmarkStart w:id="371" w:name="para62lg2p2"/>
    </w:p>
    <w:bookmarkEnd w:id="371"/>
    <w:p w:rsidR="0010708E" w:rsidRDefault="0010708E" w:rsidP="0010708E">
      <w:pPr>
        <w:pStyle w:val="Loend1"/>
      </w:pPr>
      <w:r w:rsidRPr="0010708E">
        <w:t>peamiselt kultusekohtadena või religioosseteks tegevusteks kasutatavad hooned;</w:t>
      </w:r>
      <w:bookmarkStart w:id="372" w:name="para62lg2p3"/>
    </w:p>
    <w:bookmarkEnd w:id="372"/>
    <w:p w:rsidR="0010708E" w:rsidRDefault="0010708E" w:rsidP="0010708E">
      <w:pPr>
        <w:pStyle w:val="Loend1"/>
      </w:pPr>
      <w:r w:rsidRPr="0010708E">
        <w:t>ajutised hooned, mille kasutusiga on kuni kaks aastat, tööstusalad, töökojad ja väikese energiavajadusega eluruumideta põllumajandushooned;</w:t>
      </w:r>
      <w:bookmarkStart w:id="373" w:name="para62lg2p4"/>
    </w:p>
    <w:bookmarkEnd w:id="373"/>
    <w:p w:rsidR="0010708E" w:rsidRDefault="0010708E" w:rsidP="0010708E">
      <w:pPr>
        <w:pStyle w:val="Loend1"/>
      </w:pPr>
      <w:r w:rsidRPr="0010708E">
        <w:t>elamud, mis on mõeldud kasutamiseks kas vähem kui nelja kuu jooksul aastas või alternatiivselt piiratud kasutusajaga aastas ja mille eeldatav energiatarbimine on vähem kui 25 protsenti aastaringse kasutamise energiatarbimisest;</w:t>
      </w:r>
      <w:bookmarkStart w:id="374" w:name="para62lg2p5"/>
    </w:p>
    <w:bookmarkEnd w:id="374"/>
    <w:p w:rsidR="0010708E" w:rsidRPr="0010708E" w:rsidRDefault="0010708E" w:rsidP="0010708E">
      <w:pPr>
        <w:pStyle w:val="Loend1"/>
      </w:pPr>
      <w:r w:rsidRPr="0010708E">
        <w:t>hooned, mille suletud netopind on kuni viiskümmend ruutmeetrit.</w:t>
      </w:r>
    </w:p>
    <w:p w:rsidR="004F5682" w:rsidRDefault="004F5682" w:rsidP="004F5682">
      <w:r w:rsidRPr="00B417AD">
        <w:rPr>
          <w:b/>
        </w:rPr>
        <w:t>Alus</w:t>
      </w:r>
      <w:r>
        <w:rPr>
          <w:b/>
        </w:rPr>
        <w:t xml:space="preserve"> 2</w:t>
      </w:r>
      <w:r w:rsidRPr="00B417AD">
        <w:rPr>
          <w:b/>
        </w:rPr>
        <w:t>:</w:t>
      </w:r>
      <w:r>
        <w:t xml:space="preserve"> VV 10.04.2014 otsusega rahandusministeeriumile antud ülesanne koostada tegevuskava hoonete andmete korrastamise kohta.</w:t>
      </w:r>
    </w:p>
    <w:p w:rsidR="005A4BB5" w:rsidRDefault="004F5682" w:rsidP="005A4BB5">
      <w:r w:rsidRPr="00B417AD">
        <w:rPr>
          <w:b/>
        </w:rPr>
        <w:t>Täitmine</w:t>
      </w:r>
      <w:r>
        <w:rPr>
          <w:b/>
        </w:rPr>
        <w:t>:</w:t>
      </w:r>
      <w:r w:rsidRPr="00500901">
        <w:t xml:space="preserve"> </w:t>
      </w:r>
      <w:r w:rsidR="005A4BB5">
        <w:t xml:space="preserve">09.01.2013 hakkas kehtima nõue kanda energiamärgis ehitisregistrisse. Enne nimetatud kuupäeva välja antud energiamärgised ei pruugi olla registrisse kantud, kuna märgise saab tagantjärele registrisse kanda selle väljastaja või </w:t>
      </w:r>
      <w:r w:rsidR="005A4BB5" w:rsidRPr="005A4BB5">
        <w:t xml:space="preserve">registri </w:t>
      </w:r>
      <w:r w:rsidR="005A4BB5">
        <w:t xml:space="preserve">vastutav töötleja (Majandus- ja Kommunikatsiooniministeerium). Märgise väljastajalt on aastaid hiljem sellist teenust keerukas tellida, kuna tolleaegset ettevõtet ei pruugi enam olemas olla. </w:t>
      </w:r>
      <w:r w:rsidR="005A4BB5" w:rsidRPr="00000DDC">
        <w:t>Ka ei ole registri</w:t>
      </w:r>
      <w:r w:rsidR="005A4BB5">
        <w:t xml:space="preserve"> </w:t>
      </w:r>
      <w:r w:rsidR="005A4BB5" w:rsidRPr="00000DDC">
        <w:t>p</w:t>
      </w:r>
      <w:r w:rsidR="005A4BB5">
        <w:t>eakasutajal</w:t>
      </w:r>
      <w:r w:rsidR="005A4BB5" w:rsidRPr="00000DDC">
        <w:t xml:space="preserve"> palutud vastavat tööd teha.</w:t>
      </w:r>
      <w:r w:rsidR="005A4BB5">
        <w:t xml:space="preserve"> Igal juhul vajab ka selline tagantjärele registreerimine täiendavat ressurssi.</w:t>
      </w:r>
    </w:p>
    <w:p w:rsidR="004F5682" w:rsidRDefault="004F5682" w:rsidP="004F5682">
      <w:r>
        <w:t xml:space="preserve">Ehitisregistris ei peeta arvestust sisekliima tagamise, enamuse energiamärgise nõuet välistavate tegurite ega energiamärgise paigaldamise kohta. Koondaruande tegevuskavade jaoks läbi viidud andmekorje raames küsiti riigivara valitsejatelt registrites registreerimata infot, mis võimaldaks saada ülevaadet energiamärgisega seotud nõuete täitmisest. </w:t>
      </w:r>
    </w:p>
    <w:p w:rsidR="004F5682" w:rsidRDefault="004F5682" w:rsidP="004F5682">
      <w:r>
        <w:t>Asjaolu, kas hoone olemust või välisilmet energiatõhususe miinimumnõuete täitmine oluliselt</w:t>
      </w:r>
      <w:r w:rsidRPr="008F2AD9">
        <w:t xml:space="preserve"> </w:t>
      </w:r>
      <w:r>
        <w:t>muudab, saab teada alles hoone rekonst</w:t>
      </w:r>
      <w:r w:rsidR="005A4BB5">
        <w:t>r</w:t>
      </w:r>
      <w:r>
        <w:t xml:space="preserve">ueerimisprojekti tegemise ja ehitusloa taotlemise käigus, seetõttu on arvestatud, et kõik võimalike välistavate tingimustega hooned </w:t>
      </w:r>
      <w:r w:rsidRPr="008539D1">
        <w:t xml:space="preserve">ei kuulu energiamärgise kohustusega hoonete alla. </w:t>
      </w:r>
      <w:r>
        <w:t>Riigi kinnisvararegistri, ehitisregistri ja andmekorjest laekunud info alusel on teave energiamärgiste olemasolust seisuga 31.12.2014 koondatud allolevasse tabelisse (</w:t>
      </w:r>
      <w:r w:rsidR="00A85FDC">
        <w:fldChar w:fldCharType="begin"/>
      </w:r>
      <w:r>
        <w:instrText xml:space="preserve"> REF _Ref418169369 \h </w:instrText>
      </w:r>
      <w:r w:rsidR="00A85FDC">
        <w:fldChar w:fldCharType="separate"/>
      </w:r>
      <w:r w:rsidR="00477322">
        <w:t xml:space="preserve">Tabel </w:t>
      </w:r>
      <w:r w:rsidR="00477322">
        <w:rPr>
          <w:noProof/>
        </w:rPr>
        <w:t>17</w:t>
      </w:r>
      <w:r w:rsidR="00A85FDC">
        <w:fldChar w:fldCharType="end"/>
      </w:r>
      <w:r>
        <w:t>).</w:t>
      </w:r>
      <w:r w:rsidRPr="008539D1">
        <w:t xml:space="preserve"> </w:t>
      </w:r>
    </w:p>
    <w:p w:rsidR="004F5682" w:rsidRDefault="004F5682" w:rsidP="004F5682">
      <w:pPr>
        <w:pStyle w:val="Caption"/>
      </w:pPr>
      <w:bookmarkStart w:id="375" w:name="_Ref410813259"/>
      <w:bookmarkStart w:id="376" w:name="_Ref418169369"/>
      <w:r>
        <w:t xml:space="preserve">Tabel </w:t>
      </w:r>
      <w:r w:rsidR="00A85FDC">
        <w:fldChar w:fldCharType="begin"/>
      </w:r>
      <w:r>
        <w:instrText xml:space="preserve"> SEQ Tabel \* ARABIC </w:instrText>
      </w:r>
      <w:r w:rsidR="00A85FDC">
        <w:fldChar w:fldCharType="separate"/>
      </w:r>
      <w:r w:rsidR="00477322">
        <w:rPr>
          <w:noProof/>
        </w:rPr>
        <w:t>17</w:t>
      </w:r>
      <w:r w:rsidR="00A85FDC">
        <w:fldChar w:fldCharType="end"/>
      </w:r>
      <w:bookmarkEnd w:id="375"/>
      <w:bookmarkEnd w:id="376"/>
      <w:r>
        <w:t>. Energiamärgise kohustus riigi hoonetel</w:t>
      </w:r>
    </w:p>
    <w:tbl>
      <w:tblPr>
        <w:tblW w:w="9077" w:type="dxa"/>
        <w:tblInd w:w="65" w:type="dxa"/>
        <w:tblCellMar>
          <w:left w:w="70" w:type="dxa"/>
          <w:right w:w="70" w:type="dxa"/>
        </w:tblCellMar>
        <w:tblLook w:val="04A0"/>
      </w:tblPr>
      <w:tblGrid>
        <w:gridCol w:w="2840"/>
        <w:gridCol w:w="824"/>
        <w:gridCol w:w="1161"/>
        <w:gridCol w:w="992"/>
        <w:gridCol w:w="1134"/>
        <w:gridCol w:w="992"/>
        <w:gridCol w:w="1134"/>
      </w:tblGrid>
      <w:tr w:rsidR="004F5682" w:rsidRPr="00B07B1C" w:rsidTr="00B07B1C">
        <w:trPr>
          <w:trHeight w:val="300"/>
        </w:trPr>
        <w:tc>
          <w:tcPr>
            <w:tcW w:w="2840" w:type="dxa"/>
            <w:tcBorders>
              <w:top w:val="single" w:sz="4" w:space="0" w:color="auto"/>
              <w:left w:val="single" w:sz="4" w:space="0" w:color="auto"/>
              <w:bottom w:val="nil"/>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 </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Riigi omandis </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RKAS-</w:t>
            </w:r>
            <w:r w:rsidR="00B07B1C">
              <w:rPr>
                <w:color w:val="000000"/>
                <w:sz w:val="18"/>
                <w:szCs w:val="18"/>
                <w:lang w:eastAsia="et-EE"/>
              </w:rPr>
              <w:t>i</w:t>
            </w:r>
            <w:r w:rsidRPr="00B07B1C">
              <w:rPr>
                <w:color w:val="000000"/>
                <w:sz w:val="18"/>
                <w:szCs w:val="18"/>
                <w:lang w:eastAsia="et-EE"/>
              </w:rPr>
              <w:t>lt üüritud</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Kolmandalt isikult üüritud</w:t>
            </w:r>
          </w:p>
        </w:tc>
      </w:tr>
      <w:tr w:rsidR="004F5682" w:rsidRPr="00B07B1C" w:rsidTr="00B07B1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 </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Hoonete arv</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Pindala m²</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Hoonete arv</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Pindala m²</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Hoonete arv</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center"/>
              <w:rPr>
                <w:color w:val="000000"/>
                <w:sz w:val="18"/>
                <w:szCs w:val="18"/>
                <w:lang w:eastAsia="et-EE"/>
              </w:rPr>
            </w:pPr>
            <w:r w:rsidRPr="00B07B1C">
              <w:rPr>
                <w:color w:val="000000"/>
                <w:sz w:val="18"/>
                <w:szCs w:val="18"/>
                <w:lang w:eastAsia="et-EE"/>
              </w:rPr>
              <w:t>Pindala m²</w:t>
            </w:r>
          </w:p>
        </w:tc>
      </w:tr>
      <w:tr w:rsidR="004F5682" w:rsidRPr="00B07B1C" w:rsidTr="00B07B1C">
        <w:trPr>
          <w:trHeight w:val="300"/>
        </w:trPr>
        <w:tc>
          <w:tcPr>
            <w:tcW w:w="2840" w:type="dxa"/>
            <w:tcBorders>
              <w:top w:val="nil"/>
              <w:left w:val="single" w:sz="4" w:space="0" w:color="auto"/>
              <w:bottom w:val="nil"/>
              <w:right w:val="single" w:sz="4" w:space="0" w:color="auto"/>
            </w:tcBorders>
            <w:shd w:val="clear" w:color="auto" w:fill="auto"/>
            <w:noWrap/>
            <w:vAlign w:val="bottom"/>
            <w:hideMark/>
          </w:tcPr>
          <w:p w:rsidR="004F5682" w:rsidRPr="00B07B1C" w:rsidRDefault="004F5682" w:rsidP="004F1ED0">
            <w:pPr>
              <w:rPr>
                <w:color w:val="000000"/>
                <w:sz w:val="18"/>
                <w:szCs w:val="18"/>
                <w:lang w:eastAsia="et-EE"/>
              </w:rPr>
            </w:pPr>
            <w:r w:rsidRPr="00B07B1C">
              <w:rPr>
                <w:color w:val="000000"/>
                <w:sz w:val="18"/>
                <w:szCs w:val="18"/>
                <w:lang w:eastAsia="et-EE"/>
              </w:rPr>
              <w:t>Eestis asuvaid hooneid kokku</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2428</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1 518 183</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475</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530 121</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227</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112 843</w:t>
            </w:r>
          </w:p>
        </w:tc>
      </w:tr>
      <w:tr w:rsidR="004F5682" w:rsidRPr="00B07B1C" w:rsidTr="00B07B1C">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682" w:rsidRPr="00B07B1C" w:rsidRDefault="004F5682" w:rsidP="004F1ED0">
            <w:pPr>
              <w:rPr>
                <w:color w:val="7F7F7F"/>
                <w:sz w:val="18"/>
                <w:szCs w:val="18"/>
                <w:lang w:eastAsia="et-EE"/>
              </w:rPr>
            </w:pPr>
            <w:r w:rsidRPr="00B07B1C">
              <w:rPr>
                <w:color w:val="7F7F7F"/>
                <w:sz w:val="18"/>
                <w:szCs w:val="18"/>
                <w:lang w:eastAsia="et-EE"/>
              </w:rPr>
              <w:t xml:space="preserve">sh sisekliima tagamisega </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1388</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1 211 008</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462</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494 173</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191</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96 291</w:t>
            </w:r>
          </w:p>
        </w:tc>
      </w:tr>
      <w:tr w:rsidR="004F5682" w:rsidRPr="00B07B1C" w:rsidTr="00B07B1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F5682" w:rsidRPr="00B07B1C" w:rsidRDefault="00B07B1C" w:rsidP="004F1ED0">
            <w:pPr>
              <w:rPr>
                <w:color w:val="7F7F7F"/>
                <w:sz w:val="18"/>
                <w:szCs w:val="18"/>
                <w:lang w:eastAsia="et-EE"/>
              </w:rPr>
            </w:pPr>
            <w:r>
              <w:rPr>
                <w:color w:val="7F7F7F"/>
                <w:sz w:val="18"/>
                <w:szCs w:val="18"/>
                <w:lang w:eastAsia="et-EE"/>
              </w:rPr>
              <w:t xml:space="preserve">  </w:t>
            </w:r>
            <w:r w:rsidR="004F5682" w:rsidRPr="00B07B1C">
              <w:rPr>
                <w:color w:val="7F7F7F"/>
                <w:sz w:val="18"/>
                <w:szCs w:val="18"/>
                <w:lang w:eastAsia="et-EE"/>
              </w:rPr>
              <w:t xml:space="preserve">sh energiamärgise kohustusega </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1029</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946 111</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388</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450 243</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163</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7F7F7F"/>
                <w:sz w:val="18"/>
                <w:szCs w:val="18"/>
                <w:lang w:eastAsia="et-EE"/>
              </w:rPr>
            </w:pPr>
            <w:r w:rsidRPr="00B07B1C">
              <w:rPr>
                <w:color w:val="7F7F7F"/>
                <w:sz w:val="18"/>
                <w:szCs w:val="18"/>
                <w:lang w:eastAsia="et-EE"/>
              </w:rPr>
              <w:t>85 389</w:t>
            </w:r>
          </w:p>
        </w:tc>
      </w:tr>
      <w:tr w:rsidR="004F5682" w:rsidRPr="00B07B1C" w:rsidTr="00B07B1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F5682" w:rsidRPr="00B07B1C" w:rsidRDefault="00B07B1C" w:rsidP="004F1ED0">
            <w:pPr>
              <w:rPr>
                <w:sz w:val="18"/>
                <w:szCs w:val="18"/>
                <w:lang w:eastAsia="et-EE"/>
              </w:rPr>
            </w:pPr>
            <w:r>
              <w:rPr>
                <w:sz w:val="18"/>
                <w:szCs w:val="18"/>
                <w:lang w:eastAsia="et-EE"/>
              </w:rPr>
              <w:t xml:space="preserve">    </w:t>
            </w:r>
            <w:r w:rsidR="004F5682" w:rsidRPr="00B07B1C">
              <w:rPr>
                <w:sz w:val="18"/>
                <w:szCs w:val="18"/>
                <w:lang w:eastAsia="et-EE"/>
              </w:rPr>
              <w:t>sh energiamärgiseta</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817</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761  572</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207</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217 877</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118</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51 816</w:t>
            </w:r>
          </w:p>
        </w:tc>
      </w:tr>
      <w:tr w:rsidR="004F5682" w:rsidRPr="00B07B1C" w:rsidTr="00B07B1C">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4F5682" w:rsidRPr="00B07B1C" w:rsidRDefault="004F5682" w:rsidP="004F1ED0">
            <w:pPr>
              <w:rPr>
                <w:color w:val="000000"/>
                <w:sz w:val="18"/>
                <w:szCs w:val="18"/>
                <w:lang w:eastAsia="et-EE"/>
              </w:rPr>
            </w:pPr>
            <w:r w:rsidRPr="00B07B1C">
              <w:rPr>
                <w:color w:val="000000"/>
                <w:sz w:val="18"/>
                <w:szCs w:val="18"/>
                <w:lang w:eastAsia="et-EE"/>
              </w:rPr>
              <w:t xml:space="preserve">   </w:t>
            </w:r>
            <w:r w:rsidR="00B07B1C">
              <w:rPr>
                <w:color w:val="000000"/>
                <w:sz w:val="18"/>
                <w:szCs w:val="18"/>
                <w:lang w:eastAsia="et-EE"/>
              </w:rPr>
              <w:t xml:space="preserve">   </w:t>
            </w:r>
            <w:r w:rsidRPr="00B07B1C">
              <w:rPr>
                <w:color w:val="000000"/>
                <w:sz w:val="18"/>
                <w:szCs w:val="18"/>
                <w:lang w:eastAsia="et-EE"/>
              </w:rPr>
              <w:t>sh pindalaga üle 250 m²</w:t>
            </w:r>
          </w:p>
        </w:tc>
        <w:tc>
          <w:tcPr>
            <w:tcW w:w="82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446</w:t>
            </w:r>
          </w:p>
        </w:tc>
        <w:tc>
          <w:tcPr>
            <w:tcW w:w="1161"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728 943</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139</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210 805</w:t>
            </w:r>
          </w:p>
        </w:tc>
        <w:tc>
          <w:tcPr>
            <w:tcW w:w="992"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sz w:val="18"/>
                <w:szCs w:val="18"/>
                <w:lang w:eastAsia="et-EE"/>
              </w:rPr>
            </w:pPr>
            <w:r w:rsidRPr="00B07B1C">
              <w:rPr>
                <w:sz w:val="18"/>
                <w:szCs w:val="18"/>
                <w:lang w:eastAsia="et-EE"/>
              </w:rPr>
              <w:t>33</w:t>
            </w:r>
          </w:p>
        </w:tc>
        <w:tc>
          <w:tcPr>
            <w:tcW w:w="1134" w:type="dxa"/>
            <w:tcBorders>
              <w:top w:val="nil"/>
              <w:left w:val="nil"/>
              <w:bottom w:val="single" w:sz="4" w:space="0" w:color="auto"/>
              <w:right w:val="single" w:sz="4" w:space="0" w:color="auto"/>
            </w:tcBorders>
            <w:shd w:val="clear" w:color="auto" w:fill="auto"/>
            <w:noWrap/>
            <w:vAlign w:val="bottom"/>
            <w:hideMark/>
          </w:tcPr>
          <w:p w:rsidR="004F5682" w:rsidRPr="00B07B1C" w:rsidRDefault="004F5682" w:rsidP="004F1ED0">
            <w:pPr>
              <w:jc w:val="right"/>
              <w:rPr>
                <w:color w:val="000000"/>
                <w:sz w:val="18"/>
                <w:szCs w:val="18"/>
                <w:lang w:eastAsia="et-EE"/>
              </w:rPr>
            </w:pPr>
            <w:r w:rsidRPr="00B07B1C">
              <w:rPr>
                <w:color w:val="000000"/>
                <w:sz w:val="18"/>
                <w:szCs w:val="18"/>
                <w:lang w:eastAsia="et-EE"/>
              </w:rPr>
              <w:t>44 391</w:t>
            </w:r>
          </w:p>
        </w:tc>
      </w:tr>
    </w:tbl>
    <w:p w:rsidR="004F5682" w:rsidRDefault="004F5682" w:rsidP="00B07B1C">
      <w:pPr>
        <w:spacing w:before="240"/>
      </w:pPr>
      <w:r>
        <w:rPr>
          <w:b/>
        </w:rPr>
        <w:t>Probleem:</w:t>
      </w:r>
      <w:r w:rsidRPr="00500901">
        <w:t xml:space="preserve"> </w:t>
      </w:r>
      <w:r>
        <w:t>Tabelist nähtub, et 31.12.2014 seisuga on:</w:t>
      </w:r>
    </w:p>
    <w:p w:rsidR="004F5682" w:rsidRDefault="004F5682" w:rsidP="00B07B1C">
      <w:pPr>
        <w:pStyle w:val="Loend1"/>
      </w:pPr>
      <w:r>
        <w:t xml:space="preserve">riigi omandis 817 energiamärgise kohustusega hoonet, millel vastav märgis puudub. </w:t>
      </w:r>
    </w:p>
    <w:p w:rsidR="004F5682" w:rsidRDefault="004F5682" w:rsidP="00B07B1C">
      <w:pPr>
        <w:pStyle w:val="Loend1"/>
        <w:rPr>
          <w:b/>
        </w:rPr>
      </w:pPr>
      <w:r>
        <w:t>energiamärgise kohustusega hoonete hulgas on 446 üle 250 m</w:t>
      </w:r>
      <w:r w:rsidRPr="00C63826">
        <w:rPr>
          <w:rFonts w:ascii="Times New Roman" w:hAnsi="Times New Roman"/>
        </w:rPr>
        <w:t>²</w:t>
      </w:r>
      <w:r>
        <w:t xml:space="preserve"> kasuliku pinnaga hoonet, millel peab energiamärgis olema paigaldatud, kuid aastavahetuse seisuga seda väljastatud ei ole.</w:t>
      </w:r>
    </w:p>
    <w:p w:rsidR="004F5682" w:rsidRDefault="004F5682" w:rsidP="00B07B1C">
      <w:pPr>
        <w:pStyle w:val="Loend1"/>
      </w:pPr>
      <w:r>
        <w:t xml:space="preserve">kokkuvõtvalt võib järeldada, et </w:t>
      </w:r>
      <w:r w:rsidR="0008128C">
        <w:t xml:space="preserve">ehitusseadustikust ja </w:t>
      </w:r>
      <w:r w:rsidRPr="00C63826">
        <w:t>EL direktiivist tuleneva nõude täitmiseks tuleb riigil märgised tellida ja paigaldada vähemalt 446 hoonele.</w:t>
      </w:r>
    </w:p>
    <w:p w:rsidR="0008128C" w:rsidRDefault="0008128C" w:rsidP="004F5682">
      <w:r>
        <w:t>Energiamärgiste paigaldamise vajadus ministeeriumide kaupa on esitatud Lisas 2 (</w:t>
      </w:r>
      <w:r w:rsidR="00A85FDC">
        <w:fldChar w:fldCharType="begin"/>
      </w:r>
      <w:r>
        <w:instrText xml:space="preserve"> REF _Ref411869832 \h </w:instrText>
      </w:r>
      <w:r w:rsidR="00A85FDC">
        <w:fldChar w:fldCharType="separate"/>
      </w:r>
      <w:r w:rsidR="00477322">
        <w:t xml:space="preserve">Tabel </w:t>
      </w:r>
      <w:r w:rsidR="00477322">
        <w:rPr>
          <w:noProof/>
        </w:rPr>
        <w:t>2</w:t>
      </w:r>
      <w:r w:rsidR="00A85FDC">
        <w:fldChar w:fldCharType="end"/>
      </w:r>
      <w:r>
        <w:t>).</w:t>
      </w:r>
    </w:p>
    <w:p w:rsidR="004F5682" w:rsidRPr="00500901" w:rsidRDefault="004F5682" w:rsidP="004F5682">
      <w:r w:rsidRPr="000022FB">
        <w:t>Lisaks omandis olevale varale kasutab riik</w:t>
      </w:r>
      <w:r>
        <w:t xml:space="preserve"> 172 juhul üle 250 m</w:t>
      </w:r>
      <w:r w:rsidRPr="00500901">
        <w:t>² pinda</w:t>
      </w:r>
      <w:r>
        <w:rPr>
          <w:rFonts w:ascii="Times New Roman" w:hAnsi="Times New Roman"/>
        </w:rPr>
        <w:t xml:space="preserve"> </w:t>
      </w:r>
      <w:r>
        <w:t xml:space="preserve">teiste isikute hoonetes, millel energiamärgis puudub. Nimetatud hoonetest 139 kuuluvad RKAS-ile ja 33 teistele omanikele. Kuigi riik ei saa tellida energiamärgiseid eraisikute hoonetele, tuleb selliste hoonete omanikke survestada energiamärgise tellimiseks ja hoonele paigaldamiseks. </w:t>
      </w:r>
    </w:p>
    <w:p w:rsidR="004F5682" w:rsidRPr="00FD62D4" w:rsidRDefault="004F5682" w:rsidP="004F5682">
      <w:pPr>
        <w:rPr>
          <w:b/>
        </w:rPr>
      </w:pPr>
      <w:r w:rsidRPr="00FD62D4">
        <w:rPr>
          <w:b/>
        </w:rPr>
        <w:t>Lahendus:</w:t>
      </w:r>
    </w:p>
    <w:p w:rsidR="004F5682" w:rsidRDefault="004F5682" w:rsidP="00351253">
      <w:pPr>
        <w:pStyle w:val="ListParagraph"/>
      </w:pPr>
      <w:r>
        <w:t>Riigi omandis olevatel hoonetel korraldada keskselt energiamärgiste tellimine ja paigaldamine</w:t>
      </w:r>
      <w:r w:rsidR="0050093F">
        <w:t xml:space="preserve"> (vastav tegevuskava on esitatud areande Lisas 4)</w:t>
      </w:r>
      <w:r>
        <w:t>. Rahandusministeeriumile teadaolevalt tegeleb RKAS aktiivselt enda omandis olevatele hoonetele energiamärgiste tellimise ja paigaldamisega. Eesmärgiks on seatud, et 2017. aastaks oleks kõigil RKAS-i üüriportfellis olevatel sisekliima tagamisega hoonetel energiamärgis olemas.</w:t>
      </w:r>
    </w:p>
    <w:p w:rsidR="004F5682" w:rsidRDefault="004F5682" w:rsidP="00351253">
      <w:pPr>
        <w:pStyle w:val="ListParagraph"/>
      </w:pPr>
      <w:r>
        <w:t>Üüripinda kasutusele võttes tuleb riigivara valitsejal nõuda hoone omanikult energiamärgise tellimist ja vajadus</w:t>
      </w:r>
      <w:r w:rsidR="00B07B1C">
        <w:t>el hoonele paigaldamist. EhS § 67</w:t>
      </w:r>
      <w:r>
        <w:t xml:space="preserve"> seab üürileandjale kohustuse märgis üürnikule tutvumiseks esitada.</w:t>
      </w:r>
    </w:p>
    <w:p w:rsidR="004F5682" w:rsidRDefault="004F5682" w:rsidP="004F5682">
      <w:pPr>
        <w:pStyle w:val="Pealkiri3"/>
      </w:pPr>
      <w:bookmarkStart w:id="377" w:name="_Toc412019282"/>
      <w:bookmarkStart w:id="378" w:name="_Toc412019597"/>
      <w:bookmarkStart w:id="379" w:name="_Ref424056598"/>
      <w:bookmarkStart w:id="380" w:name="_Toc433980733"/>
      <w:r>
        <w:t xml:space="preserve">Energiatõhususe </w:t>
      </w:r>
      <w:r w:rsidRPr="004F5682">
        <w:t>miinimumnõuete</w:t>
      </w:r>
      <w:r>
        <w:t xml:space="preserve"> täitmine</w:t>
      </w:r>
      <w:bookmarkEnd w:id="377"/>
      <w:bookmarkEnd w:id="378"/>
      <w:bookmarkEnd w:id="379"/>
      <w:bookmarkEnd w:id="380"/>
    </w:p>
    <w:p w:rsidR="004F5682" w:rsidRDefault="004F5682" w:rsidP="004F5682">
      <w:pPr>
        <w:rPr>
          <w:szCs w:val="24"/>
        </w:rPr>
      </w:pPr>
      <w:r w:rsidRPr="00877D5B">
        <w:rPr>
          <w:b/>
        </w:rPr>
        <w:t>Alus:</w:t>
      </w:r>
      <w:r w:rsidRPr="0024389F">
        <w:t xml:space="preserve"> ENMAKS</w:t>
      </w:r>
      <w:r>
        <w:t xml:space="preserve"> eelnõu (millega võetakse üle </w:t>
      </w:r>
      <w:r>
        <w:rPr>
          <w:szCs w:val="24"/>
        </w:rPr>
        <w:t xml:space="preserve">Euroopa Liidu energiatõhususe direktiivi 2012/27/EL kõik liikmesriikidele kohustuslikud sätted) </w:t>
      </w:r>
      <w:r>
        <w:t>§ 5 kohaselt tuleb igal aastal rekonstrueerida energiatõhususe miinimumnõuetele vastavaks 3% Eesti Vabariigi territooriumil asuvatest nõuetele mittevastavatest sisekliima tagamisega hoonetest, milles keskvalitsus kasutab omandiõiguse või ka</w:t>
      </w:r>
      <w:r w:rsidR="0008128C">
        <w:t>sutuslepingu alusel rohkem kui 25</w:t>
      </w:r>
      <w:r>
        <w:t>0 m</w:t>
      </w:r>
      <w:r>
        <w:rPr>
          <w:rFonts w:ascii="Times New Roman" w:hAnsi="Times New Roman"/>
        </w:rPr>
        <w:t>²</w:t>
      </w:r>
      <w:r>
        <w:t xml:space="preserve"> kasulikku üldpõrandapinda. Seadus hakkab kehtima orienteeruvalt 2015.aasta </w:t>
      </w:r>
      <w:r w:rsidR="0008128C">
        <w:t>sügisel, kuid direktiivist tulenevalt on Euroopa Komisjoni ees aruandluskohustus alates 01.01.2014</w:t>
      </w:r>
      <w:r>
        <w:t xml:space="preserve">. </w:t>
      </w:r>
      <w:r w:rsidR="00E11EB3">
        <w:t>Direktiivist tulenevalt on enne 9.juulit 2015 vajalik rekonstrueerida 3% üle 500 m² hoonetest.</w:t>
      </w:r>
    </w:p>
    <w:p w:rsidR="004F5682" w:rsidRDefault="004F5682" w:rsidP="004F5682">
      <w:r w:rsidRPr="00877D5B">
        <w:rPr>
          <w:b/>
          <w:szCs w:val="24"/>
        </w:rPr>
        <w:t>Täitmine:</w:t>
      </w:r>
      <w:r>
        <w:rPr>
          <w:b/>
          <w:szCs w:val="24"/>
        </w:rPr>
        <w:t xml:space="preserve"> </w:t>
      </w:r>
      <w:r>
        <w:t>Riiklikes registrites kogutava info põhjal ei ole võimalik rekonstrueerimiskohustusega hoonete mahtu välja arvutada, seetõttu on järgneva tabeli (</w:t>
      </w:r>
      <w:fldSimple w:instr=" REF _Ref418171525 \h  \* MERGEFORMAT ">
        <w:r w:rsidR="00477322">
          <w:t>Tabel 18</w:t>
        </w:r>
      </w:fldSimple>
      <w:r>
        <w:t xml:space="preserve">) koostamisel tuginetud koondaruande jaoks läbi viidud andmekorje tulemustele. Kuna hoone vastavus energiatõhususe miinimumnõuetele selgub energiamärgise väljastamisel ja enamusel riigi hoonetel energiamärgis puudub, siis arvesse võttes riigi hoonete kehva seisukorda, on hooned, millel energiamärgis puudub lahterdatud energiatõhususe miinimumnõuetele mittevastavaks. </w:t>
      </w:r>
    </w:p>
    <w:p w:rsidR="004F5682" w:rsidRDefault="004F5682" w:rsidP="004F5682">
      <w:r>
        <w:t>Miinimumnõuetele vastavaks loetakse uusehitised, mille energiaklass on vähemalt C ning olulised rekonstrueerimised, mille energiaklass on vähemalt D. Kuna ehitusseadus</w:t>
      </w:r>
      <w:r w:rsidR="00E11EB3">
        <w:t>tiku</w:t>
      </w:r>
      <w:r>
        <w:t xml:space="preserve"> kohaselt peavad uusehitised nagunii vastama energiatõhususe miinimumnõuetele on käesolevas analüüsis loetud miinimumnõuetele vastavaks kõik hooned, millele on väljastatud energiamärgis väärtusega A, B, C või D. </w:t>
      </w:r>
    </w:p>
    <w:p w:rsidR="002516C8" w:rsidRDefault="002516C8">
      <w:pPr>
        <w:spacing w:before="0"/>
        <w:jc w:val="left"/>
        <w:rPr>
          <w:rFonts w:eastAsia="Times New Roman" w:cs="Calibri"/>
          <w:b/>
          <w:bCs/>
          <w:color w:val="0070C0"/>
          <w:sz w:val="18"/>
          <w:szCs w:val="18"/>
        </w:rPr>
      </w:pPr>
      <w:bookmarkStart w:id="381" w:name="_Ref418171525"/>
      <w:r>
        <w:br w:type="page"/>
      </w:r>
    </w:p>
    <w:p w:rsidR="004F5682" w:rsidRDefault="004F5682" w:rsidP="004F5682">
      <w:pPr>
        <w:pStyle w:val="Caption"/>
      </w:pPr>
      <w:r>
        <w:t xml:space="preserve">Tabel </w:t>
      </w:r>
      <w:r w:rsidR="00A85FDC">
        <w:fldChar w:fldCharType="begin"/>
      </w:r>
      <w:r>
        <w:instrText xml:space="preserve"> SEQ Tabel \* ARABIC </w:instrText>
      </w:r>
      <w:r w:rsidR="00A85FDC">
        <w:fldChar w:fldCharType="separate"/>
      </w:r>
      <w:r w:rsidR="00477322">
        <w:rPr>
          <w:noProof/>
        </w:rPr>
        <w:t>18</w:t>
      </w:r>
      <w:r w:rsidR="00A85FDC">
        <w:fldChar w:fldCharType="end"/>
      </w:r>
      <w:bookmarkEnd w:id="381"/>
      <w:r>
        <w:t>. Energiatõhususe miinimumnõuetele vastavaks viimise kohustuse maht</w:t>
      </w:r>
    </w:p>
    <w:tbl>
      <w:tblPr>
        <w:tblW w:w="9251" w:type="dxa"/>
        <w:tblInd w:w="65" w:type="dxa"/>
        <w:tblCellMar>
          <w:left w:w="70" w:type="dxa"/>
          <w:right w:w="70" w:type="dxa"/>
        </w:tblCellMar>
        <w:tblLook w:val="04A0"/>
      </w:tblPr>
      <w:tblGrid>
        <w:gridCol w:w="2699"/>
        <w:gridCol w:w="976"/>
        <w:gridCol w:w="1208"/>
        <w:gridCol w:w="976"/>
        <w:gridCol w:w="1208"/>
        <w:gridCol w:w="976"/>
        <w:gridCol w:w="1208"/>
      </w:tblGrid>
      <w:tr w:rsidR="004F5682" w:rsidRPr="00D00130" w:rsidTr="004F1ED0">
        <w:trPr>
          <w:trHeight w:val="300"/>
        </w:trPr>
        <w:tc>
          <w:tcPr>
            <w:tcW w:w="2699" w:type="dxa"/>
            <w:tcBorders>
              <w:top w:val="single" w:sz="4" w:space="0" w:color="auto"/>
              <w:left w:val="single" w:sz="4" w:space="0" w:color="auto"/>
              <w:bottom w:val="nil"/>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 </w:t>
            </w:r>
          </w:p>
        </w:tc>
        <w:tc>
          <w:tcPr>
            <w:tcW w:w="2184" w:type="dxa"/>
            <w:gridSpan w:val="2"/>
            <w:tcBorders>
              <w:top w:val="single" w:sz="4" w:space="0" w:color="auto"/>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Riigi omandis</w:t>
            </w:r>
          </w:p>
        </w:tc>
        <w:tc>
          <w:tcPr>
            <w:tcW w:w="21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RKAS-</w:t>
            </w:r>
            <w:r w:rsidR="000161C3">
              <w:rPr>
                <w:color w:val="000000"/>
                <w:lang w:eastAsia="et-EE"/>
              </w:rPr>
              <w:t>i</w:t>
            </w:r>
            <w:r w:rsidRPr="00D00130">
              <w:rPr>
                <w:color w:val="000000"/>
                <w:lang w:eastAsia="et-EE"/>
              </w:rPr>
              <w:t>lt üüritud</w:t>
            </w:r>
          </w:p>
        </w:tc>
        <w:tc>
          <w:tcPr>
            <w:tcW w:w="21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Kolmandalt isikult üüritud</w:t>
            </w:r>
          </w:p>
        </w:tc>
      </w:tr>
      <w:tr w:rsidR="004F5682" w:rsidRPr="00D00130" w:rsidTr="004F1ED0">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 </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Hoonete arv</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Pindala m</w:t>
            </w:r>
            <w:r w:rsidRPr="00D00130">
              <w:rPr>
                <w:rFonts w:ascii="Times New Roman" w:hAnsi="Times New Roman"/>
                <w:color w:val="000000"/>
                <w:lang w:eastAsia="et-EE"/>
              </w:rPr>
              <w:t>²</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Hoonete arv</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Pindala m</w:t>
            </w:r>
            <w:r w:rsidRPr="00D00130">
              <w:rPr>
                <w:rFonts w:ascii="Times New Roman" w:hAnsi="Times New Roman"/>
                <w:color w:val="000000"/>
                <w:lang w:eastAsia="et-EE"/>
              </w:rPr>
              <w:t>²</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Hoonete arv</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center"/>
              <w:rPr>
                <w:color w:val="000000"/>
                <w:lang w:eastAsia="et-EE"/>
              </w:rPr>
            </w:pPr>
            <w:r w:rsidRPr="00D00130">
              <w:rPr>
                <w:color w:val="000000"/>
                <w:lang w:eastAsia="et-EE"/>
              </w:rPr>
              <w:t>Pindala m</w:t>
            </w:r>
            <w:r w:rsidRPr="00D00130">
              <w:rPr>
                <w:rFonts w:ascii="Times New Roman" w:hAnsi="Times New Roman"/>
                <w:color w:val="000000"/>
                <w:lang w:eastAsia="et-EE"/>
              </w:rPr>
              <w:t>²</w:t>
            </w:r>
          </w:p>
        </w:tc>
      </w:tr>
      <w:tr w:rsidR="004F5682" w:rsidRPr="00D00130" w:rsidTr="004F1ED0">
        <w:trPr>
          <w:trHeight w:val="300"/>
        </w:trPr>
        <w:tc>
          <w:tcPr>
            <w:tcW w:w="2699" w:type="dxa"/>
            <w:tcBorders>
              <w:top w:val="nil"/>
              <w:left w:val="single" w:sz="4" w:space="0" w:color="auto"/>
              <w:bottom w:val="nil"/>
              <w:right w:val="single" w:sz="4" w:space="0" w:color="auto"/>
            </w:tcBorders>
            <w:shd w:val="clear" w:color="auto" w:fill="auto"/>
            <w:noWrap/>
            <w:vAlign w:val="bottom"/>
            <w:hideMark/>
          </w:tcPr>
          <w:p w:rsidR="004F5682" w:rsidRPr="00D00130" w:rsidRDefault="004F5682" w:rsidP="004F1ED0">
            <w:pPr>
              <w:rPr>
                <w:color w:val="000000"/>
                <w:lang w:eastAsia="et-EE"/>
              </w:rPr>
            </w:pPr>
            <w:r w:rsidRPr="00D00130">
              <w:rPr>
                <w:color w:val="000000"/>
                <w:lang w:eastAsia="et-EE"/>
              </w:rPr>
              <w:t>Eestis asuvaid hooneid kokku</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Pr>
                <w:color w:val="000000"/>
                <w:lang w:eastAsia="et-EE"/>
              </w:rPr>
              <w:t>2428</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Pr>
                <w:color w:val="000000"/>
                <w:lang w:eastAsia="et-EE"/>
              </w:rPr>
              <w:t>1 518 183</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sidRPr="00C862AD">
              <w:rPr>
                <w:color w:val="000000"/>
                <w:lang w:eastAsia="et-EE"/>
              </w:rPr>
              <w:t>47</w:t>
            </w:r>
            <w:r>
              <w:rPr>
                <w:color w:val="000000"/>
                <w:lang w:eastAsia="et-EE"/>
              </w:rPr>
              <w:t>5</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Pr>
                <w:color w:val="000000"/>
                <w:lang w:eastAsia="et-EE"/>
              </w:rPr>
              <w:t>530 121</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Pr>
                <w:color w:val="000000"/>
                <w:lang w:eastAsia="et-EE"/>
              </w:rPr>
              <w:t>227</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000000"/>
                <w:lang w:eastAsia="et-EE"/>
              </w:rPr>
            </w:pPr>
            <w:r>
              <w:rPr>
                <w:color w:val="000000"/>
                <w:lang w:eastAsia="et-EE"/>
              </w:rPr>
              <w:t>112 843</w:t>
            </w:r>
          </w:p>
        </w:tc>
      </w:tr>
      <w:tr w:rsidR="004F5682" w:rsidRPr="00D00130" w:rsidTr="004F1ED0">
        <w:trPr>
          <w:trHeight w:val="30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682" w:rsidRPr="00D00130" w:rsidRDefault="004F5682" w:rsidP="004F1ED0">
            <w:pPr>
              <w:rPr>
                <w:color w:val="7F7F7F"/>
                <w:lang w:eastAsia="et-EE"/>
              </w:rPr>
            </w:pPr>
            <w:r w:rsidRPr="00D00130">
              <w:rPr>
                <w:color w:val="7F7F7F"/>
                <w:lang w:eastAsia="et-EE"/>
              </w:rPr>
              <w:t xml:space="preserve">sh sisekliima tagamisega </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1388</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1 211 008</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462</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494 173</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191</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C862AD" w:rsidRDefault="004F5682" w:rsidP="004F1ED0">
            <w:pPr>
              <w:jc w:val="right"/>
              <w:rPr>
                <w:color w:val="7F7F7F"/>
                <w:lang w:eastAsia="et-EE"/>
              </w:rPr>
            </w:pPr>
            <w:r>
              <w:rPr>
                <w:color w:val="7F7F7F"/>
                <w:lang w:eastAsia="et-EE"/>
              </w:rPr>
              <w:t>96 291</w:t>
            </w:r>
          </w:p>
        </w:tc>
      </w:tr>
      <w:tr w:rsidR="004F5682" w:rsidRPr="00D00130" w:rsidTr="004F1ED0">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F5682" w:rsidRPr="00D00130" w:rsidRDefault="00E11EB3" w:rsidP="004F1ED0">
            <w:pPr>
              <w:rPr>
                <w:color w:val="7F7F7F"/>
                <w:lang w:eastAsia="et-EE"/>
              </w:rPr>
            </w:pPr>
            <w:r>
              <w:rPr>
                <w:color w:val="7F7F7F"/>
                <w:lang w:eastAsia="et-EE"/>
              </w:rPr>
              <w:t xml:space="preserve">  </w:t>
            </w:r>
            <w:r w:rsidR="004F5682" w:rsidRPr="00D00130">
              <w:rPr>
                <w:color w:val="7F7F7F"/>
                <w:lang w:eastAsia="et-EE"/>
              </w:rPr>
              <w:t xml:space="preserve">sh </w:t>
            </w:r>
            <w:r>
              <w:rPr>
                <w:color w:val="7F7F7F"/>
                <w:lang w:eastAsia="et-EE"/>
              </w:rPr>
              <w:t xml:space="preserve">miinimumnõuete </w:t>
            </w:r>
            <w:r w:rsidR="004F5682">
              <w:rPr>
                <w:color w:val="7F7F7F"/>
                <w:lang w:eastAsia="et-EE"/>
              </w:rPr>
              <w:t>täitmise kohustusega</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867</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731 694</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368</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412 781</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160</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83 273</w:t>
            </w:r>
          </w:p>
        </w:tc>
      </w:tr>
      <w:tr w:rsidR="004F5682" w:rsidRPr="00D00130" w:rsidTr="004F1ED0">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F5682" w:rsidRPr="00D00130" w:rsidRDefault="00E11EB3" w:rsidP="004F1ED0">
            <w:pPr>
              <w:rPr>
                <w:color w:val="7F7F7F"/>
                <w:lang w:eastAsia="et-EE"/>
              </w:rPr>
            </w:pPr>
            <w:r>
              <w:rPr>
                <w:color w:val="7F7F7F"/>
                <w:lang w:eastAsia="et-EE"/>
              </w:rPr>
              <w:t xml:space="preserve">    </w:t>
            </w:r>
            <w:r w:rsidR="004F5682" w:rsidRPr="00D00130">
              <w:rPr>
                <w:color w:val="7F7F7F"/>
                <w:lang w:eastAsia="et-EE"/>
              </w:rPr>
              <w:t xml:space="preserve">sh energiaklass </w:t>
            </w:r>
            <w:r w:rsidR="004F5682">
              <w:rPr>
                <w:color w:val="7F7F7F"/>
                <w:lang w:eastAsia="et-EE"/>
              </w:rPr>
              <w:t>alla</w:t>
            </w:r>
            <w:r w:rsidR="004F5682" w:rsidRPr="00D00130">
              <w:rPr>
                <w:color w:val="7F7F7F"/>
                <w:lang w:eastAsia="et-EE"/>
              </w:rPr>
              <w:t xml:space="preserve"> </w:t>
            </w:r>
            <w:r w:rsidR="004F5682">
              <w:rPr>
                <w:color w:val="7F7F7F"/>
                <w:lang w:eastAsia="et-EE"/>
              </w:rPr>
              <w:t>D</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751</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620 495</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309</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331 511</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142</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D00130" w:rsidRDefault="004F5682" w:rsidP="004F1ED0">
            <w:pPr>
              <w:jc w:val="right"/>
              <w:rPr>
                <w:color w:val="7F7F7F"/>
                <w:lang w:eastAsia="et-EE"/>
              </w:rPr>
            </w:pPr>
            <w:r>
              <w:rPr>
                <w:color w:val="7F7F7F"/>
                <w:lang w:eastAsia="et-EE"/>
              </w:rPr>
              <w:t>79 384</w:t>
            </w:r>
          </w:p>
        </w:tc>
      </w:tr>
      <w:tr w:rsidR="004F5682" w:rsidRPr="00D00130" w:rsidTr="004F1ED0">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F5682" w:rsidRPr="00B33647" w:rsidRDefault="00E11EB3" w:rsidP="00E11EB3">
            <w:pPr>
              <w:rPr>
                <w:bCs/>
                <w:lang w:eastAsia="et-EE"/>
              </w:rPr>
            </w:pPr>
            <w:r>
              <w:rPr>
                <w:bCs/>
                <w:lang w:eastAsia="et-EE"/>
              </w:rPr>
              <w:t xml:space="preserve">      </w:t>
            </w:r>
            <w:r w:rsidR="004F5682" w:rsidRPr="00B33647">
              <w:rPr>
                <w:bCs/>
                <w:lang w:eastAsia="et-EE"/>
              </w:rPr>
              <w:t>Sh &gt; 500 m</w:t>
            </w:r>
            <w:r w:rsidR="004F5682" w:rsidRPr="00B33647">
              <w:rPr>
                <w:rFonts w:ascii="Times New Roman" w:hAnsi="Times New Roman"/>
                <w:bCs/>
                <w:lang w:eastAsia="et-EE"/>
              </w:rPr>
              <w:t>²</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233</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549 596</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160</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301 361</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24</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63 441</w:t>
            </w:r>
          </w:p>
        </w:tc>
      </w:tr>
      <w:tr w:rsidR="004F5682" w:rsidRPr="00D00130" w:rsidTr="004F1ED0">
        <w:trPr>
          <w:trHeight w:val="300"/>
        </w:trPr>
        <w:tc>
          <w:tcPr>
            <w:tcW w:w="2699" w:type="dxa"/>
            <w:tcBorders>
              <w:top w:val="nil"/>
              <w:left w:val="single" w:sz="4" w:space="0" w:color="auto"/>
              <w:bottom w:val="single" w:sz="4" w:space="0" w:color="auto"/>
              <w:right w:val="single" w:sz="4" w:space="0" w:color="auto"/>
            </w:tcBorders>
            <w:shd w:val="clear" w:color="auto" w:fill="auto"/>
            <w:noWrap/>
            <w:vAlign w:val="bottom"/>
            <w:hideMark/>
          </w:tcPr>
          <w:p w:rsidR="004F5682" w:rsidRPr="00B33647" w:rsidRDefault="00E11EB3" w:rsidP="00E11EB3">
            <w:pPr>
              <w:rPr>
                <w:bCs/>
                <w:lang w:eastAsia="et-EE"/>
              </w:rPr>
            </w:pPr>
            <w:r>
              <w:rPr>
                <w:bCs/>
                <w:lang w:eastAsia="et-EE"/>
              </w:rPr>
              <w:t xml:space="preserve">      </w:t>
            </w:r>
            <w:r w:rsidR="004F5682" w:rsidRPr="00B33647">
              <w:rPr>
                <w:bCs/>
                <w:lang w:eastAsia="et-EE"/>
              </w:rPr>
              <w:t>Sh &gt; 250 m²</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342</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587 482</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214</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321 216</w:t>
            </w:r>
          </w:p>
        </w:tc>
        <w:tc>
          <w:tcPr>
            <w:tcW w:w="976"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45</w:t>
            </w:r>
          </w:p>
        </w:tc>
        <w:tc>
          <w:tcPr>
            <w:tcW w:w="1208" w:type="dxa"/>
            <w:tcBorders>
              <w:top w:val="nil"/>
              <w:left w:val="nil"/>
              <w:bottom w:val="single" w:sz="4" w:space="0" w:color="auto"/>
              <w:right w:val="single" w:sz="4" w:space="0" w:color="auto"/>
            </w:tcBorders>
            <w:shd w:val="clear" w:color="auto" w:fill="auto"/>
            <w:noWrap/>
            <w:vAlign w:val="bottom"/>
            <w:hideMark/>
          </w:tcPr>
          <w:p w:rsidR="004F5682" w:rsidRPr="00B33647" w:rsidRDefault="004F5682" w:rsidP="004F1ED0">
            <w:pPr>
              <w:jc w:val="right"/>
              <w:rPr>
                <w:bCs/>
                <w:lang w:eastAsia="et-EE"/>
              </w:rPr>
            </w:pPr>
            <w:r w:rsidRPr="00B33647">
              <w:rPr>
                <w:bCs/>
                <w:lang w:eastAsia="et-EE"/>
              </w:rPr>
              <w:t>71 008</w:t>
            </w:r>
          </w:p>
        </w:tc>
      </w:tr>
    </w:tbl>
    <w:p w:rsidR="004F5682" w:rsidRDefault="004F5682" w:rsidP="004F5682">
      <w:pPr>
        <w:spacing w:before="240"/>
      </w:pPr>
      <w:r>
        <w:t xml:space="preserve">Tabelist </w:t>
      </w:r>
      <w:r w:rsidR="00E11EB3">
        <w:t>järeldub, et 1.jaanuaril 2015 oli</w:t>
      </w:r>
      <w:r>
        <w:t xml:space="preserve"> riigi kasutuses 914 398 m</w:t>
      </w:r>
      <w:r w:rsidRPr="001E78A6">
        <w:t>²</w:t>
      </w:r>
      <w:r>
        <w:t xml:space="preserve"> nõuetele mittevastavat rekonstrueerimiskohustusega pinda, millest 3% ehk aastane rekonstrueerimiskohustus on 27 432 m</w:t>
      </w:r>
      <w:r w:rsidRPr="001E78A6">
        <w:t>²</w:t>
      </w:r>
      <w:r>
        <w:t>. Alates 9.juulist 2015 tuleb nõuetele vastavaks viia 29 391 m</w:t>
      </w:r>
      <w:r w:rsidRPr="001E78A6">
        <w:t>² aastas</w:t>
      </w:r>
      <w:r>
        <w:t xml:space="preserve">. </w:t>
      </w:r>
    </w:p>
    <w:p w:rsidR="004F5682" w:rsidRPr="00FF6735" w:rsidRDefault="004F5682" w:rsidP="004F5682">
      <w:pPr>
        <w:spacing w:before="240"/>
      </w:pPr>
      <w:r>
        <w:t xml:space="preserve">Aastast rekonstrueerimiskohustust arvutatakse iga aasta 1. jaanuari seisuga. Kuna aruandluseks vajalik andmekorje viidi läbi alles 2014.aasta keskel, ei ole võimalik esitada nõuetele mittevastava pinna suurust 1.jaanuari 2014 seisuga. Arvestades, et suurem osa hoonestatud varaga teostatud tehingutest toimub riigi ja RKAS-i vahel (võõrandamine ja tagasirent), võib lähtuda eeldusest, et ka 2014.aastal tuli riigil rekonstrueerida </w:t>
      </w:r>
      <w:r w:rsidR="00E11EB3">
        <w:t xml:space="preserve">ca </w:t>
      </w:r>
      <w:r>
        <w:t>27 000 m</w:t>
      </w:r>
      <w:r>
        <w:rPr>
          <w:rFonts w:ascii="Calibri" w:hAnsi="Calibri"/>
        </w:rPr>
        <w:t>²</w:t>
      </w:r>
      <w:r>
        <w:t xml:space="preserve"> hooneid.</w:t>
      </w:r>
    </w:p>
    <w:p w:rsidR="004F5682" w:rsidRDefault="004F5682" w:rsidP="004F5682">
      <w:r>
        <w:t>2014. aastal valmis uut või rekonstrueeritud pinda 29 500 m</w:t>
      </w:r>
      <w:r>
        <w:rPr>
          <w:vertAlign w:val="superscript"/>
        </w:rPr>
        <w:t>2</w:t>
      </w:r>
      <w:r w:rsidRPr="00EF2C7F">
        <w:t>, sellest RKAS-i kaudu ehitati ja finantseeriti 26 100 m</w:t>
      </w:r>
      <w:r w:rsidRPr="00EF2C7F">
        <w:rPr>
          <w:rFonts w:ascii="Times New Roman" w:hAnsi="Times New Roman"/>
        </w:rPr>
        <w:t>²</w:t>
      </w:r>
      <w:r w:rsidRPr="00EF2C7F">
        <w:t>.</w:t>
      </w:r>
      <w:r>
        <w:t xml:space="preserve"> Kuna uusehitisena valmis rohkem pinda, kui miinimumnõuetele mittevastavat pinda kasutusest välja läks ning kõik investeeringud ei tehtud miinimumnõuete täitmise kohustusega hoonetesse (nt vanalinnas asuvad hooned), saab metoodikast tulenevalt lugeda miinimumnõuetele vastavaks 17 000 m</w:t>
      </w:r>
      <w:r>
        <w:rPr>
          <w:vertAlign w:val="superscript"/>
        </w:rPr>
        <w:t>2</w:t>
      </w:r>
      <w:r w:rsidRPr="00771058">
        <w:t>,</w:t>
      </w:r>
      <w:r>
        <w:t xml:space="preserve"> sellest RKAS-i kaudu ehitati ja finantseeriti </w:t>
      </w:r>
      <w:r w:rsidRPr="00771058">
        <w:t>14</w:t>
      </w:r>
      <w:r>
        <w:t> </w:t>
      </w:r>
      <w:r w:rsidRPr="00771058">
        <w:t>000</w:t>
      </w:r>
      <w:r>
        <w:t xml:space="preserve"> </w:t>
      </w:r>
      <w:r w:rsidRPr="00771058">
        <w:t>m</w:t>
      </w:r>
      <w:r w:rsidRPr="00771058">
        <w:rPr>
          <w:rFonts w:ascii="Times New Roman" w:hAnsi="Times New Roman"/>
        </w:rPr>
        <w:t>²</w:t>
      </w:r>
      <w:r w:rsidRPr="00771058">
        <w:t>.</w:t>
      </w:r>
      <w:r>
        <w:t xml:space="preserve"> 3% renoveerimiskohustuse täitmise hulka ei loeta uusehitisi, mille kasutusele võttes ei toimu pinna optimeerimist vanade hoonete kasutusest välja langemise läbi ega ka nt. vanalinna hooneid, kuna miinimumnõuete täitmine ei ole miljööväärtuslikus piirkonnas nõutud (EhS § </w:t>
      </w:r>
      <w:r w:rsidR="00E11EB3">
        <w:t>62 lg 2</w:t>
      </w:r>
      <w:r>
        <w:t>).</w:t>
      </w:r>
    </w:p>
    <w:p w:rsidR="004F5682" w:rsidRDefault="004F5682" w:rsidP="004F5682">
      <w:pPr>
        <w:rPr>
          <w:b/>
        </w:rPr>
      </w:pPr>
      <w:r w:rsidRPr="00797448">
        <w:rPr>
          <w:b/>
          <w:szCs w:val="24"/>
        </w:rPr>
        <w:t>Probleem</w:t>
      </w:r>
      <w:r>
        <w:rPr>
          <w:b/>
          <w:szCs w:val="24"/>
        </w:rPr>
        <w:t xml:space="preserve"> 1</w:t>
      </w:r>
      <w:r w:rsidRPr="00797448">
        <w:rPr>
          <w:b/>
          <w:szCs w:val="24"/>
        </w:rPr>
        <w:t>:</w:t>
      </w:r>
      <w:r>
        <w:t xml:space="preserve"> Analüüsiks kasutatava alginfo täpsus on madal, kuna info on kogutud ankeediga. Kogutud andmetes võib olla korrektselt märkimata hoone sisekliima tagamine, mistõttu võib 3% renoveerimiskohustuse aluseks olevate hoonete maht olla esitatust suurem. Samas oleme arvestanud, et kõik energiamärgist mitteomavad hooned ei vasta miinimumnõuetele, kuid kindlasti on nende hulgas ka hooneid, mis tegelikult on energiatõhusad. Seega peaks nimetatud vead teineteist tasandama ning suurusjärgud </w:t>
      </w:r>
      <w:r w:rsidRPr="00877D5B">
        <w:rPr>
          <w:b/>
        </w:rPr>
        <w:t>1 000 000 m² miinimumnõuetele mittevastavaid hooneid</w:t>
      </w:r>
      <w:r w:rsidRPr="0032737A">
        <w:rPr>
          <w:b/>
        </w:rPr>
        <w:t xml:space="preserve"> </w:t>
      </w:r>
      <w:r w:rsidRPr="00877D5B">
        <w:rPr>
          <w:b/>
        </w:rPr>
        <w:t xml:space="preserve">ja 30 000 m² </w:t>
      </w:r>
      <w:r w:rsidRPr="0032737A">
        <w:rPr>
          <w:b/>
        </w:rPr>
        <w:t>renoveerimiskohustus</w:t>
      </w:r>
      <w:r>
        <w:rPr>
          <w:b/>
        </w:rPr>
        <w:t>t</w:t>
      </w:r>
      <w:r w:rsidRPr="0032737A">
        <w:rPr>
          <w:b/>
        </w:rPr>
        <w:t xml:space="preserve"> </w:t>
      </w:r>
      <w:r>
        <w:rPr>
          <w:b/>
        </w:rPr>
        <w:t>aastas olema</w:t>
      </w:r>
      <w:r w:rsidRPr="00877D5B">
        <w:rPr>
          <w:b/>
        </w:rPr>
        <w:t xml:space="preserve"> adekvaatsed. </w:t>
      </w:r>
    </w:p>
    <w:p w:rsidR="004F5682" w:rsidRDefault="004F5682" w:rsidP="004F5682">
      <w:pPr>
        <w:rPr>
          <w:kern w:val="32"/>
        </w:rPr>
      </w:pPr>
      <w:r w:rsidRPr="00797448">
        <w:rPr>
          <w:b/>
          <w:szCs w:val="24"/>
        </w:rPr>
        <w:t>Lahendus</w:t>
      </w:r>
      <w:r>
        <w:rPr>
          <w:b/>
          <w:szCs w:val="24"/>
        </w:rPr>
        <w:t xml:space="preserve"> 1</w:t>
      </w:r>
      <w:r w:rsidRPr="00797448">
        <w:rPr>
          <w:b/>
          <w:szCs w:val="24"/>
        </w:rPr>
        <w:t>:</w:t>
      </w:r>
      <w:r w:rsidR="00801F56">
        <w:rPr>
          <w:kern w:val="32"/>
        </w:rPr>
        <w:t xml:space="preserve"> 2015. aasta lõpuks</w:t>
      </w:r>
      <w:r>
        <w:rPr>
          <w:kern w:val="32"/>
        </w:rPr>
        <w:t xml:space="preserve"> </w:t>
      </w:r>
      <w:r w:rsidR="00801F56">
        <w:rPr>
          <w:kern w:val="32"/>
        </w:rPr>
        <w:t>viiakse RKVR-is läbi sarnane andmekorje</w:t>
      </w:r>
      <w:r>
        <w:rPr>
          <w:kern w:val="32"/>
        </w:rPr>
        <w:t xml:space="preserve">, mille </w:t>
      </w:r>
      <w:r w:rsidR="00801F56">
        <w:rPr>
          <w:kern w:val="32"/>
        </w:rPr>
        <w:t>käigus on võimalik korrigeerida 2014.aastal valesti sisestatud info</w:t>
      </w:r>
      <w:r>
        <w:rPr>
          <w:kern w:val="32"/>
        </w:rPr>
        <w:t xml:space="preserve">. Edaspidi tuleb hoone sisekliima tagamise ning miinimumnõuete täitmise kohustust välistavate kriteeriumide kogumine </w:t>
      </w:r>
      <w:r w:rsidR="000161C3">
        <w:rPr>
          <w:kern w:val="32"/>
        </w:rPr>
        <w:t xml:space="preserve">korraldada süsteemselt nt </w:t>
      </w:r>
      <w:r>
        <w:rPr>
          <w:kern w:val="32"/>
        </w:rPr>
        <w:t>viia EHR-i.</w:t>
      </w:r>
    </w:p>
    <w:p w:rsidR="004F5682" w:rsidRPr="0032737A" w:rsidRDefault="004F5682" w:rsidP="004F5682">
      <w:r>
        <w:rPr>
          <w:b/>
        </w:rPr>
        <w:t>Probleem 2:</w:t>
      </w:r>
      <w:r w:rsidRPr="00FF6735">
        <w:t xml:space="preserve"> </w:t>
      </w:r>
      <w:r>
        <w:t>Riik rekonstrueerib või ehitab uut pinda vajalikus mahus, kuid investeeringud on osaliselt suunatud hoonetesse, mille ehitamise/rekonstrueerimisega ei täideta EL direktiivi nõudeid. Riigil puudub direktiivist tulenevate kohustuste täitmise kava.</w:t>
      </w:r>
    </w:p>
    <w:bookmarkEnd w:id="354"/>
    <w:bookmarkEnd w:id="355"/>
    <w:p w:rsidR="004F5682" w:rsidRDefault="004F5682" w:rsidP="004F5682">
      <w:pPr>
        <w:rPr>
          <w:kern w:val="32"/>
        </w:rPr>
      </w:pPr>
      <w:r w:rsidRPr="00797448">
        <w:rPr>
          <w:b/>
          <w:szCs w:val="24"/>
        </w:rPr>
        <w:t>Lahendus</w:t>
      </w:r>
      <w:r>
        <w:rPr>
          <w:b/>
          <w:szCs w:val="24"/>
        </w:rPr>
        <w:t xml:space="preserve"> 2</w:t>
      </w:r>
      <w:r w:rsidRPr="00797448">
        <w:rPr>
          <w:b/>
          <w:szCs w:val="24"/>
        </w:rPr>
        <w:t>:</w:t>
      </w:r>
      <w:r>
        <w:rPr>
          <w:kern w:val="32"/>
        </w:rPr>
        <w:t xml:space="preserve"> </w:t>
      </w:r>
      <w:r w:rsidR="00801F56">
        <w:rPr>
          <w:kern w:val="32"/>
        </w:rPr>
        <w:t xml:space="preserve">Rahandusministeeriumil </w:t>
      </w:r>
      <w:r>
        <w:rPr>
          <w:kern w:val="32"/>
        </w:rPr>
        <w:t>parandada investeerimisotsuste tegemise protsessi selliselt, et EL direktiivist tulenevate nõuete täitmine oleks tagatud.</w:t>
      </w:r>
    </w:p>
    <w:p w:rsidR="004F5682" w:rsidRDefault="004F5682" w:rsidP="004F5682">
      <w:pPr>
        <w:pStyle w:val="Pealkiri2"/>
      </w:pPr>
      <w:bookmarkStart w:id="382" w:name="_Toc433980734"/>
      <w:r w:rsidRPr="00FD62D4">
        <w:t>Hoonete üle andmine Riigi Kinnisvara AS-</w:t>
      </w:r>
      <w:r w:rsidR="00801F56">
        <w:t>i</w:t>
      </w:r>
      <w:r w:rsidRPr="00FD62D4">
        <w:t>le.</w:t>
      </w:r>
      <w:bookmarkEnd w:id="382"/>
    </w:p>
    <w:p w:rsidR="004F5682" w:rsidRDefault="004F5682" w:rsidP="004F5682">
      <w:r w:rsidRPr="001C3BFF">
        <w:rPr>
          <w:b/>
        </w:rPr>
        <w:t>Alus</w:t>
      </w:r>
      <w:r>
        <w:rPr>
          <w:b/>
        </w:rPr>
        <w:t xml:space="preserve"> 1</w:t>
      </w:r>
      <w:r w:rsidRPr="001C3BFF">
        <w:rPr>
          <w:b/>
        </w:rPr>
        <w:t>:</w:t>
      </w:r>
      <w:r>
        <w:t xml:space="preserve"> Hoonete üle andmine RKAS-ile on riigi kinnisvarastrateegia rakendamise üheks oluliseks eelduseks ning oli eraldi eesmärgina </w:t>
      </w:r>
      <w:r w:rsidRPr="00774B54">
        <w:t>Vabariigi Valitsus</w:t>
      </w:r>
      <w:r>
        <w:t>e tegevus</w:t>
      </w:r>
      <w:r w:rsidRPr="00774B54">
        <w:t xml:space="preserve">programmis </w:t>
      </w:r>
      <w:r>
        <w:t xml:space="preserve">2011-2015: </w:t>
      </w:r>
      <w:r w:rsidRPr="00774B54">
        <w:t xml:space="preserve">„Tõhusama juhtimise ja haldamise saavutamiseks koondame </w:t>
      </w:r>
      <w:r w:rsidRPr="00106CAD">
        <w:rPr>
          <w:b/>
        </w:rPr>
        <w:t>2011. aasta lõpuks kogu riigiasutustele mittevajaliku kinnisvara ning 2013. aastaks riigiasutuste poolt kasutatava kinnisvara</w:t>
      </w:r>
      <w:r w:rsidRPr="00774B54">
        <w:t xml:space="preserve"> (välja arvatud sümbolkinnisvara) ja selle haldamise ning arendamisega seotud tegevused Riigi Kinnisvara Aktsiaseltsi.“ </w:t>
      </w:r>
    </w:p>
    <w:p w:rsidR="004F5682" w:rsidRDefault="004F5682" w:rsidP="004F5682">
      <w:r w:rsidRPr="001C3BFF">
        <w:rPr>
          <w:b/>
        </w:rPr>
        <w:t>Alus</w:t>
      </w:r>
      <w:r>
        <w:rPr>
          <w:b/>
        </w:rPr>
        <w:t xml:space="preserve"> 2</w:t>
      </w:r>
      <w:r w:rsidRPr="001C3BFF">
        <w:rPr>
          <w:b/>
        </w:rPr>
        <w:t>:</w:t>
      </w:r>
      <w:r>
        <w:t xml:space="preserve"> Vabariigi Valitsuse 10.04.2014 otsusega rahandusministeeriumile antud ülesanne koostada tegevuskava vajalike hoonete RKAS-ile üle andmise kohta.</w:t>
      </w:r>
    </w:p>
    <w:p w:rsidR="004F5682" w:rsidRDefault="004F5682" w:rsidP="004F5682">
      <w:r>
        <w:rPr>
          <w:b/>
        </w:rPr>
        <w:t>Täitmine</w:t>
      </w:r>
      <w:r w:rsidRPr="001C3BFF">
        <w:rPr>
          <w:b/>
        </w:rPr>
        <w:t>:</w:t>
      </w:r>
      <w:r>
        <w:t xml:space="preserve"> Eelmises koondaruandes tõdeti, et mittevajalikud hooned on RKAS-ile üle antud, kuid vajalikust üle antavast varast on üle antud vaid kolmandik. Rahandusministeeriumi ja RKAS-i hinna</w:t>
      </w:r>
      <w:r w:rsidR="00B17DC5">
        <w:t>n</w:t>
      </w:r>
      <w:r>
        <w:t xml:space="preserve">gul on optimaalseks hoonete üleandmise mahuks hea planeerimise korral 200 000 m² aastas. </w:t>
      </w:r>
    </w:p>
    <w:p w:rsidR="004F5682" w:rsidRDefault="004F5682" w:rsidP="004F5682">
      <w:r>
        <w:t>2015. aasta alguseks on riigiasutustel RKAS-ilt üüritud ruume kokku 530 121 m</w:t>
      </w:r>
      <w:r w:rsidRPr="00417B27">
        <w:t xml:space="preserve">², </w:t>
      </w:r>
      <w:r>
        <w:t>r</w:t>
      </w:r>
      <w:r w:rsidRPr="00417B27">
        <w:t>iigi omandis</w:t>
      </w:r>
      <w:r w:rsidRPr="00660CB8">
        <w:t xml:space="preserve"> on </w:t>
      </w:r>
      <w:r>
        <w:t>veel 1 543 322 m</w:t>
      </w:r>
      <w:r w:rsidRPr="002838FA">
        <w:t>²</w:t>
      </w:r>
      <w:r>
        <w:t xml:space="preserve"> hooneid. Arvestades, et k</w:t>
      </w:r>
      <w:r w:rsidRPr="002838FA">
        <w:t>aitsemi</w:t>
      </w:r>
      <w:r>
        <w:t>nisteerium (omandis 396 506 m²) ja RMK (omandis 87 954 m</w:t>
      </w:r>
      <w:r>
        <w:rPr>
          <w:vertAlign w:val="superscript"/>
        </w:rPr>
        <w:t>2</w:t>
      </w:r>
      <w:r>
        <w:t xml:space="preserve">) </w:t>
      </w:r>
      <w:r w:rsidRPr="002838FA">
        <w:t>jää</w:t>
      </w:r>
      <w:r>
        <w:t>vad</w:t>
      </w:r>
      <w:r w:rsidRPr="002838FA">
        <w:t xml:space="preserve"> oma hooneid ise valitsema </w:t>
      </w:r>
      <w:r>
        <w:t>ning teistel valitsejatel on omandis ca 90 000 m</w:t>
      </w:r>
      <w:r>
        <w:rPr>
          <w:vertAlign w:val="superscript"/>
        </w:rPr>
        <w:t>2</w:t>
      </w:r>
      <w:r>
        <w:t xml:space="preserve"> perspektiivis mittevajalikku vara, oleks </w:t>
      </w:r>
      <w:r>
        <w:rPr>
          <w:b/>
        </w:rPr>
        <w:t>ü</w:t>
      </w:r>
      <w:r w:rsidRPr="00877D5B">
        <w:rPr>
          <w:b/>
        </w:rPr>
        <w:t xml:space="preserve">le andmata </w:t>
      </w:r>
      <w:r>
        <w:rPr>
          <w:b/>
        </w:rPr>
        <w:t xml:space="preserve">ca </w:t>
      </w:r>
      <w:r w:rsidRPr="00877D5B">
        <w:rPr>
          <w:b/>
        </w:rPr>
        <w:t>970 000 m</w:t>
      </w:r>
      <w:r w:rsidRPr="00877D5B">
        <w:rPr>
          <w:rFonts w:ascii="Times New Roman" w:hAnsi="Times New Roman"/>
          <w:b/>
        </w:rPr>
        <w:t>²</w:t>
      </w:r>
      <w:r w:rsidRPr="00877D5B">
        <w:rPr>
          <w:b/>
        </w:rPr>
        <w:t xml:space="preserve"> </w:t>
      </w:r>
      <w:r>
        <w:rPr>
          <w:b/>
        </w:rPr>
        <w:t xml:space="preserve">vajalikku </w:t>
      </w:r>
      <w:r w:rsidRPr="00877D5B">
        <w:rPr>
          <w:b/>
        </w:rPr>
        <w:t>pinda</w:t>
      </w:r>
      <w:r>
        <w:rPr>
          <w:b/>
        </w:rPr>
        <w:t>.</w:t>
      </w:r>
      <w:r w:rsidRPr="00CC7B9A">
        <w:t xml:space="preserve"> K</w:t>
      </w:r>
      <w:r>
        <w:t>ui liikuda optimaalses üleandmise tempos 200 000 m</w:t>
      </w:r>
      <w:r>
        <w:rPr>
          <w:vertAlign w:val="superscript"/>
        </w:rPr>
        <w:t>2</w:t>
      </w:r>
      <w:r>
        <w:t xml:space="preserve">/aastas oleks võimalik riigi hooned RKAS-ile </w:t>
      </w:r>
      <w:r w:rsidRPr="002838FA">
        <w:t xml:space="preserve">üle anda </w:t>
      </w:r>
      <w:r>
        <w:t>6 aasta jooksul, 2020</w:t>
      </w:r>
      <w:r w:rsidRPr="002838FA">
        <w:t xml:space="preserve">. aasta lõpuks. </w:t>
      </w:r>
      <w:r>
        <w:t>2015. aastal on RKAS-i prognooside kohaselt reaalne üle antava vara maht</w:t>
      </w:r>
      <w:r w:rsidR="00B17DC5">
        <w:t xml:space="preserve"> ca</w:t>
      </w:r>
      <w:r>
        <w:t xml:space="preserve"> 70 000 m</w:t>
      </w:r>
      <w:r>
        <w:rPr>
          <w:vertAlign w:val="superscript"/>
        </w:rPr>
        <w:t>2</w:t>
      </w:r>
      <w:r>
        <w:t>.</w:t>
      </w:r>
      <w:r>
        <w:rPr>
          <w:vertAlign w:val="superscript"/>
        </w:rPr>
        <w:t xml:space="preserve"> </w:t>
      </w:r>
    </w:p>
    <w:p w:rsidR="004F5682" w:rsidRDefault="004F5682" w:rsidP="004F5682">
      <w:r>
        <w:t>Joonisel (</w:t>
      </w:r>
      <w:r w:rsidR="00A85FDC">
        <w:fldChar w:fldCharType="begin"/>
      </w:r>
      <w:r>
        <w:instrText xml:space="preserve"> REF _Ref418173620 \h </w:instrText>
      </w:r>
      <w:r w:rsidR="00A85FDC">
        <w:fldChar w:fldCharType="separate"/>
      </w:r>
      <w:r w:rsidR="00477322">
        <w:t xml:space="preserve">Joonis </w:t>
      </w:r>
      <w:r w:rsidR="00477322">
        <w:rPr>
          <w:noProof/>
        </w:rPr>
        <w:t>20</w:t>
      </w:r>
      <w:r w:rsidR="00A85FDC">
        <w:fldChar w:fldCharType="end"/>
      </w:r>
      <w:r>
        <w:t>) on esitatud aastatel 200</w:t>
      </w:r>
      <w:r w:rsidR="00B17DC5">
        <w:t xml:space="preserve">9-2014 üle antud mittevajalike </w:t>
      </w:r>
      <w:r>
        <w:t xml:space="preserve">ja vajalike hoonete mahud koos </w:t>
      </w:r>
      <w:r w:rsidR="005D49F0">
        <w:t>halduse tsentraliseerituse</w:t>
      </w:r>
      <w:r>
        <w:t xml:space="preserve"> määraga (RKAS-ilt üüritud </w:t>
      </w:r>
      <w:r w:rsidR="005D49F0">
        <w:t xml:space="preserve">pluss halduslepinguga kaetud </w:t>
      </w:r>
      <w:r>
        <w:t>hoonete pinna suhe riigi ja RKAS-i omandis olevasse pinda) ning rahandusministeeriumi prognoos kuni aastani 2020.</w:t>
      </w:r>
      <w:r w:rsidRPr="00CC7B9A">
        <w:t xml:space="preserve"> </w:t>
      </w:r>
    </w:p>
    <w:p w:rsidR="004F5682" w:rsidRDefault="004F5682" w:rsidP="004F5682">
      <w:pPr>
        <w:pStyle w:val="Caption"/>
        <w:jc w:val="both"/>
      </w:pPr>
      <w:bookmarkStart w:id="383" w:name="_Ref418173620"/>
      <w:r>
        <w:t xml:space="preserve">Joonis </w:t>
      </w:r>
      <w:fldSimple w:instr=" SEQ Joonis \* ARABIC ">
        <w:r w:rsidR="00477322">
          <w:rPr>
            <w:noProof/>
          </w:rPr>
          <w:t>20</w:t>
        </w:r>
      </w:fldSimple>
      <w:bookmarkEnd w:id="383"/>
      <w:r>
        <w:t>. Vajalike hoonete üleandmise mahud rahandusministeeriumi kava järgi</w:t>
      </w:r>
    </w:p>
    <w:p w:rsidR="004F5682" w:rsidRDefault="004F5682" w:rsidP="004F5682">
      <w:pPr>
        <w:pStyle w:val="Caption"/>
        <w:jc w:val="both"/>
      </w:pPr>
      <w:r>
        <w:rPr>
          <w:noProof/>
          <w:lang w:eastAsia="et-EE"/>
        </w:rPr>
        <w:drawing>
          <wp:inline distT="0" distB="0" distL="0" distR="0">
            <wp:extent cx="5702799" cy="2927838"/>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699734" cy="2926264"/>
                    </a:xfrm>
                    <a:prstGeom prst="rect">
                      <a:avLst/>
                    </a:prstGeom>
                    <a:noFill/>
                  </pic:spPr>
                </pic:pic>
              </a:graphicData>
            </a:graphic>
          </wp:inline>
        </w:drawing>
      </w:r>
    </w:p>
    <w:p w:rsidR="004F5682" w:rsidRDefault="004F5682" w:rsidP="004F5682">
      <w:pPr>
        <w:pStyle w:val="Caption"/>
        <w:jc w:val="both"/>
      </w:pPr>
    </w:p>
    <w:p w:rsidR="004F5682" w:rsidRDefault="004F5682" w:rsidP="004F5682">
      <w:r>
        <w:t>2015. aastal potentsiaalselt üleantavate varade hulka on arvestatud Haridus- ja Teadusministeeriumi portfellist ca 48 000 m² (nt. Rahvusarhiiv, Eesti Keele Instituut, Kirjandusmuuseum), Keskkonnaministeeriumi portfellist ca 10 000 m²</w:t>
      </w:r>
      <w:r w:rsidR="00B17DC5">
        <w:t>,</w:t>
      </w:r>
      <w:r>
        <w:t xml:space="preserve"> Põllumajandusministeeriumi portfellist ca 10 000 m², Siseministeeriumi portfellist ca 3 000 m².</w:t>
      </w:r>
    </w:p>
    <w:p w:rsidR="004F5682" w:rsidRDefault="004F5682" w:rsidP="004F5682">
      <w:r w:rsidRPr="006163CD">
        <w:t>RKAS-</w:t>
      </w:r>
      <w:r>
        <w:t>i</w:t>
      </w:r>
      <w:r w:rsidRPr="006163CD">
        <w:t>le üleandmise mahud riigi kinnisvararegistri andmetel on esitatud peatükis</w:t>
      </w:r>
      <w:r w:rsidR="00B17DC5">
        <w:t xml:space="preserve"> </w:t>
      </w:r>
      <w:r w:rsidR="00A85FDC">
        <w:fldChar w:fldCharType="begin"/>
      </w:r>
      <w:r w:rsidR="00B17DC5">
        <w:instrText xml:space="preserve"> REF _Ref424051156 \r \h </w:instrText>
      </w:r>
      <w:r w:rsidR="00A85FDC">
        <w:fldChar w:fldCharType="separate"/>
      </w:r>
      <w:r w:rsidR="00477322">
        <w:t>1.3.3</w:t>
      </w:r>
      <w:r w:rsidR="00A85FDC">
        <w:fldChar w:fldCharType="end"/>
      </w:r>
      <w:r w:rsidRPr="006163CD">
        <w:t xml:space="preserve">, RKAS-i vastavad pinnanumbrid on </w:t>
      </w:r>
      <w:r>
        <w:t>esitatud joonisel (</w:t>
      </w:r>
      <w:r w:rsidR="00A85FDC">
        <w:fldChar w:fldCharType="begin"/>
      </w:r>
      <w:r>
        <w:instrText xml:space="preserve"> REF _Ref418173620 \h </w:instrText>
      </w:r>
      <w:r w:rsidR="00A85FDC">
        <w:fldChar w:fldCharType="separate"/>
      </w:r>
      <w:r w:rsidR="00477322">
        <w:t xml:space="preserve">Joonis </w:t>
      </w:r>
      <w:r w:rsidR="00477322">
        <w:rPr>
          <w:noProof/>
        </w:rPr>
        <w:t>20</w:t>
      </w:r>
      <w:r w:rsidR="00A85FDC">
        <w:fldChar w:fldCharType="end"/>
      </w:r>
      <w:r w:rsidR="00ED24B2">
        <w:t xml:space="preserve">) ning </w:t>
      </w:r>
      <w:r w:rsidR="00A85FDC">
        <w:fldChar w:fldCharType="begin"/>
      </w:r>
      <w:r w:rsidR="00ED24B2">
        <w:instrText xml:space="preserve"> REF _Ref427305276 \h </w:instrText>
      </w:r>
      <w:r w:rsidR="00A85FDC">
        <w:fldChar w:fldCharType="separate"/>
      </w:r>
      <w:r w:rsidR="00477322">
        <w:t>Lisa 3. Riigi Kinnisvara AS-i tegevusaruanne 2013-2014</w:t>
      </w:r>
      <w:r w:rsidR="00A85FDC">
        <w:fldChar w:fldCharType="end"/>
      </w:r>
      <w:r>
        <w:t xml:space="preserve"> (andmed erinevad, kuna aruandluse alused on erinevad). </w:t>
      </w:r>
    </w:p>
    <w:p w:rsidR="004F5682" w:rsidRDefault="004F5682" w:rsidP="004F5682">
      <w:r>
        <w:t xml:space="preserve">Eesmärgiga planeerida süsteemselt vajalike hoonete üleandmine RKAS-ile andis valitsuskabinet 10.04.2014 otsusega rahandusministeeriumile ülesande koostada tegevuskava vajalike hoonete RKAS-ile üleandmise kohta. </w:t>
      </w:r>
    </w:p>
    <w:p w:rsidR="004F5682" w:rsidRDefault="004F5682" w:rsidP="004F5682">
      <w:r>
        <w:t>Tegevuskava koostamiseks viidi riigi kinnisvararegistri kaudu riigivara valitsejate seas läbi küsitlus, millega selgitati välja valitsejate kavatsused enda valitsemisel olevate hoonete kavandatava korraldusmudeli kohta. Selgus, et valitsejad ei ole valmis hooneid RKAS-ile võõrandama ja tagasi rentima. Potentsiaalselt üle antavast varast:</w:t>
      </w:r>
    </w:p>
    <w:p w:rsidR="004F5682" w:rsidRDefault="004F5682" w:rsidP="00351253">
      <w:pPr>
        <w:pStyle w:val="ListParagraph"/>
      </w:pPr>
      <w:r>
        <w:t xml:space="preserve">plaanitakse nelja aasta perspektiivis RKAS-i üürimudelile üle viia vaid 81 000 m² hooneid, millest 18 000 m² on 2014.aasta jooksul juba üle antud. </w:t>
      </w:r>
    </w:p>
    <w:p w:rsidR="004F5682" w:rsidRDefault="004F5682" w:rsidP="00351253">
      <w:pPr>
        <w:pStyle w:val="ListParagraph"/>
      </w:pPr>
      <w:r>
        <w:t xml:space="preserve">610 000 m² puhul ollakse valmis RKAS-ile üle andma hoonete haldus, kuid omand soovitakse jätta riigile. </w:t>
      </w:r>
    </w:p>
    <w:p w:rsidR="004F5682" w:rsidRPr="008F36A4" w:rsidRDefault="004F5682" w:rsidP="00351253">
      <w:pPr>
        <w:pStyle w:val="ListParagraph"/>
      </w:pPr>
      <w:r>
        <w:t>90 000 m² ulatuses deklareeriti mittevajalikke hooneid. Neist ca 30 000 m</w:t>
      </w:r>
      <w:r>
        <w:rPr>
          <w:vertAlign w:val="superscript"/>
        </w:rPr>
        <w:t>2</w:t>
      </w:r>
      <w:r>
        <w:t xml:space="preserve"> on üle antavad RKAS-ile, 30 000 m</w:t>
      </w:r>
      <w:r>
        <w:rPr>
          <w:rFonts w:ascii="Times New Roman" w:hAnsi="Times New Roman"/>
        </w:rPr>
        <w:t>²</w:t>
      </w:r>
      <w:r>
        <w:t xml:space="preserve"> soovitakse koos tegevusega üle anda sihtasutustele ning ülejäänud 30 000 m</w:t>
      </w:r>
      <w:r>
        <w:rPr>
          <w:rFonts w:ascii="Times New Roman" w:hAnsi="Times New Roman"/>
        </w:rPr>
        <w:t>²</w:t>
      </w:r>
      <w:r>
        <w:t xml:space="preserve"> puhul on tegemist </w:t>
      </w:r>
      <w:r w:rsidRPr="008F36A4">
        <w:t>keerukama</w:t>
      </w:r>
      <w:r>
        <w:t>te juhtumitega, mille üleandmine on võimalik peale maakorraldustoimingud.</w:t>
      </w:r>
    </w:p>
    <w:p w:rsidR="004F5682" w:rsidRDefault="004F5682" w:rsidP="00351253">
      <w:pPr>
        <w:pStyle w:val="ListParagraph"/>
      </w:pPr>
      <w:r>
        <w:t>270 000 m</w:t>
      </w:r>
      <w:r w:rsidRPr="00F26BC4">
        <w:rPr>
          <w:rFonts w:ascii="Times New Roman" w:hAnsi="Times New Roman"/>
        </w:rPr>
        <w:t>²</w:t>
      </w:r>
      <w:r>
        <w:t xml:space="preserve"> hooneid soovitakse jätta riigi omandisse ja haldamisele.</w:t>
      </w:r>
    </w:p>
    <w:p w:rsidR="004F5682" w:rsidRDefault="004F5682" w:rsidP="00351253">
      <w:pPr>
        <w:pStyle w:val="ListParagraph"/>
      </w:pPr>
      <w:r>
        <w:t>Ülejäänud hoonete haldamine on kavandatud erasektori abiga.</w:t>
      </w:r>
    </w:p>
    <w:p w:rsidR="004F5682" w:rsidRDefault="004F5682" w:rsidP="004F5682">
      <w:pPr>
        <w:pStyle w:val="Caption"/>
        <w:spacing w:before="240"/>
        <w:jc w:val="both"/>
      </w:pPr>
      <w:r>
        <w:t xml:space="preserve">Joonis </w:t>
      </w:r>
      <w:fldSimple w:instr=" SEQ Joonis \* ARABIC ">
        <w:r w:rsidR="00477322">
          <w:rPr>
            <w:noProof/>
          </w:rPr>
          <w:t>21</w:t>
        </w:r>
      </w:fldSimple>
      <w:r>
        <w:t>. Riigi hoonete korraldusmudelite struktuur 2014 ja 2019 lõpus arvestades riigivara valitsejate soove (ilma KaM-i ja RMK-ta)</w:t>
      </w:r>
    </w:p>
    <w:p w:rsidR="004F5682" w:rsidRDefault="004F5682" w:rsidP="004F5682">
      <w:pPr>
        <w:pStyle w:val="Caption"/>
        <w:spacing w:before="240"/>
        <w:jc w:val="both"/>
      </w:pPr>
      <w:r w:rsidRPr="008D1519">
        <w:rPr>
          <w:noProof/>
          <w:bdr w:val="single" w:sz="4" w:space="0" w:color="auto"/>
          <w:lang w:eastAsia="et-EE"/>
        </w:rPr>
        <w:drawing>
          <wp:inline distT="0" distB="0" distL="0" distR="0">
            <wp:extent cx="5760720" cy="3174012"/>
            <wp:effectExtent l="0" t="0" r="0" b="0"/>
            <wp:docPr id="23" name="Picture 2" descr="\\failid\RMIN\Kasutajad\eve.murumaa\Desktop\K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ilid\RMIN\Kasutajad\eve.murumaa\Desktop\KKM.png"/>
                    <pic:cNvPicPr>
                      <a:picLocks noChangeAspect="1" noChangeArrowheads="1"/>
                    </pic:cNvPicPr>
                  </pic:nvPicPr>
                  <pic:blipFill>
                    <a:blip r:embed="rId40" cstate="print"/>
                    <a:srcRect/>
                    <a:stretch>
                      <a:fillRect/>
                    </a:stretch>
                  </pic:blipFill>
                  <pic:spPr bwMode="auto">
                    <a:xfrm>
                      <a:off x="0" y="0"/>
                      <a:ext cx="5760720" cy="3174012"/>
                    </a:xfrm>
                    <a:prstGeom prst="rect">
                      <a:avLst/>
                    </a:prstGeom>
                    <a:noFill/>
                    <a:ln w="9525">
                      <a:noFill/>
                      <a:miter lim="800000"/>
                      <a:headEnd/>
                      <a:tailEnd/>
                    </a:ln>
                  </pic:spPr>
                </pic:pic>
              </a:graphicData>
            </a:graphic>
          </wp:inline>
        </w:drawing>
      </w:r>
    </w:p>
    <w:p w:rsidR="004F5682" w:rsidRPr="008D6F96" w:rsidRDefault="004F5682" w:rsidP="004F5682">
      <w:pPr>
        <w:rPr>
          <w:sz w:val="18"/>
          <w:szCs w:val="18"/>
        </w:rPr>
      </w:pPr>
      <w:r w:rsidRPr="008D6F96">
        <w:rPr>
          <w:sz w:val="18"/>
          <w:szCs w:val="18"/>
        </w:rPr>
        <w:t>*riigile perspektiivis mittevajalikud hooned 114 888 m² koosnevad mittevajalikuks muutuvatest nii täna riigi omandis olevatest kui üüritud pindadest.</w:t>
      </w:r>
    </w:p>
    <w:p w:rsidR="004F5682" w:rsidRDefault="004F5682" w:rsidP="004F5682">
      <w:r>
        <w:t>Lisaks eeltoodule soovitakse riigi omandisse ja haldamisele jätta 380 000 m</w:t>
      </w:r>
      <w:r>
        <w:rPr>
          <w:rFonts w:ascii="Times New Roman" w:hAnsi="Times New Roman"/>
        </w:rPr>
        <w:t xml:space="preserve">² </w:t>
      </w:r>
      <w:r w:rsidRPr="00877D5B">
        <w:t xml:space="preserve">Kaitseministeeriumi ja </w:t>
      </w:r>
      <w:r>
        <w:t>68 000 m</w:t>
      </w:r>
      <w:r w:rsidRPr="00877D5B">
        <w:t>²</w:t>
      </w:r>
      <w:r>
        <w:t xml:space="preserve"> RMK valitse</w:t>
      </w:r>
      <w:r w:rsidR="00B17DC5">
        <w:t>misel olevaid hooneid. RMK ja Ka</w:t>
      </w:r>
      <w:r>
        <w:t xml:space="preserve">M on välja kujunenud oma valdkonna kinnisvara kompetentsikeskusteks, kus sarnaselt RKAS-ile hallatakse vara kutsetunnistusega haldurite poolt (mis on üheks esimeseks kvaliteedikriteeriumiks), seevastu riigiasutustel kutselised haldurid puuduvad. </w:t>
      </w:r>
    </w:p>
    <w:p w:rsidR="004F5682" w:rsidRDefault="004F5682" w:rsidP="004F5682">
      <w:r w:rsidRPr="00555EBA">
        <w:t>Jooniselt võib jääda mulje, et viie aasta perspektiivis soovitakse vajalikuna üle anda vaid 35 000 m²</w:t>
      </w:r>
      <w:r w:rsidR="00B17DC5">
        <w:t xml:space="preserve"> hooneid. </w:t>
      </w:r>
      <w:r w:rsidRPr="00555EBA">
        <w:t>Tegelikult sisaldab see number ka optimeerimist, st. mõned juba RKAS-ilt kasutusse võetud varad muutuvad mittevajalikuks.</w:t>
      </w:r>
    </w:p>
    <w:p w:rsidR="004F5682" w:rsidRDefault="004F5682" w:rsidP="004F5682">
      <w:r>
        <w:t>Riigivara valitsejate hoonete portfellid on erineva suurusega, seetõttu on ka valitsejate otsuste mõju kinnisvaraomandi tsentraliseerimisele erinev. Rohkem kui pool üle andmata hoonetest kuulub HTM-i portfelli, HTM-i soov on anda hooned üle haldu</w:t>
      </w:r>
      <w:r w:rsidR="00B17DC5">
        <w:t>s</w:t>
      </w:r>
      <w:r>
        <w:t>mu</w:t>
      </w:r>
      <w:r w:rsidR="00B17DC5">
        <w:t>d</w:t>
      </w:r>
      <w:r>
        <w:t>eli alusel (</w:t>
      </w:r>
      <w:r w:rsidR="00A85FDC">
        <w:fldChar w:fldCharType="begin"/>
      </w:r>
      <w:r>
        <w:instrText xml:space="preserve"> REF _Ref418182820 \h </w:instrText>
      </w:r>
      <w:r w:rsidR="00A85FDC">
        <w:fldChar w:fldCharType="separate"/>
      </w:r>
      <w:r w:rsidR="00477322">
        <w:t xml:space="preserve">Joonis </w:t>
      </w:r>
      <w:r w:rsidR="00477322">
        <w:rPr>
          <w:noProof/>
        </w:rPr>
        <w:t>22</w:t>
      </w:r>
      <w:r w:rsidR="00A85FDC">
        <w:fldChar w:fldCharType="end"/>
      </w:r>
      <w:r>
        <w:t>).</w:t>
      </w:r>
    </w:p>
    <w:p w:rsidR="004F5682" w:rsidRDefault="004F5682" w:rsidP="004F5682">
      <w:pPr>
        <w:pStyle w:val="Caption"/>
        <w:jc w:val="both"/>
      </w:pPr>
      <w:bookmarkStart w:id="384" w:name="_Ref418182820"/>
      <w:r>
        <w:t xml:space="preserve">Joonis </w:t>
      </w:r>
      <w:fldSimple w:instr=" SEQ Joonis \* ARABIC ">
        <w:r w:rsidR="00477322">
          <w:rPr>
            <w:noProof/>
          </w:rPr>
          <w:t>22</w:t>
        </w:r>
      </w:fldSimple>
      <w:bookmarkEnd w:id="384"/>
      <w:r>
        <w:t>. Hoonete portfellid ministeeriumide kaupa - ministeeriumide nägemus 2019(P)</w:t>
      </w:r>
    </w:p>
    <w:p w:rsidR="004F5682" w:rsidRDefault="001F02DD" w:rsidP="001F02DD">
      <w:pPr>
        <w:pStyle w:val="Caption"/>
        <w:spacing w:after="120"/>
      </w:pPr>
      <w:r>
        <w:rPr>
          <w:noProof/>
          <w:lang w:eastAsia="et-EE"/>
        </w:rPr>
        <w:drawing>
          <wp:inline distT="0" distB="0" distL="0" distR="0">
            <wp:extent cx="5643620" cy="3932118"/>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5648392" cy="3935443"/>
                    </a:xfrm>
                    <a:prstGeom prst="rect">
                      <a:avLst/>
                    </a:prstGeom>
                    <a:noFill/>
                  </pic:spPr>
                </pic:pic>
              </a:graphicData>
            </a:graphic>
          </wp:inline>
        </w:drawing>
      </w:r>
    </w:p>
    <w:p w:rsidR="004F5682" w:rsidRDefault="004F5682" w:rsidP="004F5682"/>
    <w:p w:rsidR="004F5682" w:rsidRDefault="004F5682" w:rsidP="00351253">
      <w:pPr>
        <w:pStyle w:val="ListParagraph"/>
      </w:pPr>
      <w:r>
        <w:t xml:space="preserve">Valitsejate erinevat meelsust kirjeldab paremini </w:t>
      </w:r>
      <w:fldSimple w:instr=" REF _Ref418183235 \h  \* MERGEFORMAT ">
        <w:r w:rsidR="00477322" w:rsidRPr="00390683">
          <w:t xml:space="preserve">Joonis </w:t>
        </w:r>
        <w:r w:rsidR="00477322">
          <w:t>23</w:t>
        </w:r>
      </w:fldSimple>
      <w:r>
        <w:t>.</w:t>
      </w:r>
    </w:p>
    <w:p w:rsidR="004F5682" w:rsidRDefault="004F5682" w:rsidP="004F5682">
      <w:pPr>
        <w:pStyle w:val="Caption"/>
      </w:pPr>
      <w:bookmarkStart w:id="385" w:name="_Ref418183235"/>
      <w:r w:rsidRPr="00390683">
        <w:t xml:space="preserve">Joonis </w:t>
      </w:r>
      <w:fldSimple w:instr=" SEQ Joonis \* ARABIC ">
        <w:r w:rsidR="00477322">
          <w:rPr>
            <w:noProof/>
          </w:rPr>
          <w:t>23</w:t>
        </w:r>
      </w:fldSimple>
      <w:bookmarkEnd w:id="385"/>
      <w:r w:rsidRPr="00390683">
        <w:t>. Hoonete portfellide struktuur ministeeriumide kaupa- ministeeriumide nägemus 2019(P)</w:t>
      </w:r>
    </w:p>
    <w:p w:rsidR="001F02DD" w:rsidRPr="00390683" w:rsidRDefault="001F02DD" w:rsidP="001F02DD">
      <w:pPr>
        <w:pStyle w:val="Caption"/>
        <w:spacing w:after="120"/>
      </w:pPr>
      <w:r>
        <w:rPr>
          <w:noProof/>
          <w:lang w:eastAsia="et-EE"/>
        </w:rPr>
        <w:drawing>
          <wp:inline distT="0" distB="0" distL="0" distR="0">
            <wp:extent cx="5779049" cy="3459296"/>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5786531" cy="3463775"/>
                    </a:xfrm>
                    <a:prstGeom prst="rect">
                      <a:avLst/>
                    </a:prstGeom>
                    <a:noFill/>
                  </pic:spPr>
                </pic:pic>
              </a:graphicData>
            </a:graphic>
          </wp:inline>
        </w:drawing>
      </w:r>
    </w:p>
    <w:p w:rsidR="004F5682" w:rsidRDefault="004F5682" w:rsidP="004F5682">
      <w:pPr>
        <w:jc w:val="left"/>
        <w:rPr>
          <w:rFonts w:cs="Arial"/>
          <w:bCs/>
          <w:color w:val="1C9AD7"/>
          <w:kern w:val="32"/>
          <w:sz w:val="32"/>
          <w:szCs w:val="28"/>
        </w:rPr>
      </w:pPr>
    </w:p>
    <w:p w:rsidR="004F5682" w:rsidRDefault="004F5682" w:rsidP="00FC5469">
      <w:pPr>
        <w:jc w:val="left"/>
      </w:pPr>
      <w:r>
        <w:br w:type="page"/>
        <w:t>Jooniselt nähtub, et:</w:t>
      </w:r>
    </w:p>
    <w:p w:rsidR="004F5682" w:rsidRDefault="004F5682" w:rsidP="00351253">
      <w:pPr>
        <w:pStyle w:val="ListParagraph"/>
      </w:pPr>
      <w:r>
        <w:t>Justiits- ja Rahandusministeeriumi</w:t>
      </w:r>
      <w:r w:rsidRPr="009B5B88">
        <w:t xml:space="preserve"> portfel</w:t>
      </w:r>
      <w:r>
        <w:t>lid vastavad uuele struktuurile.</w:t>
      </w:r>
      <w:r w:rsidRPr="009B5B88">
        <w:t xml:space="preserve"> </w:t>
      </w:r>
      <w:r>
        <w:t>Varad on üüritud RKAS-lt ja erasektorist;</w:t>
      </w:r>
      <w:r w:rsidRPr="009B5B88">
        <w:t xml:space="preserve"> </w:t>
      </w:r>
    </w:p>
    <w:p w:rsidR="004F5682" w:rsidRDefault="004F5682" w:rsidP="00351253">
      <w:pPr>
        <w:pStyle w:val="ListParagraph"/>
      </w:pPr>
      <w:r>
        <w:t>Sotsiaalministeeriumi</w:t>
      </w:r>
      <w:r w:rsidRPr="009B5B88">
        <w:t>, Rii</w:t>
      </w:r>
      <w:r>
        <w:t>gik</w:t>
      </w:r>
      <w:r w:rsidRPr="009B5B88">
        <w:t>a</w:t>
      </w:r>
      <w:r>
        <w:t>ntselei</w:t>
      </w:r>
      <w:r w:rsidRPr="009B5B88">
        <w:t>, K</w:t>
      </w:r>
      <w:r>
        <w:t>ultuuri- ja</w:t>
      </w:r>
      <w:r w:rsidRPr="009B5B88">
        <w:t xml:space="preserve"> S</w:t>
      </w:r>
      <w:r>
        <w:t>iseministeeriumi</w:t>
      </w:r>
      <w:r w:rsidRPr="009B5B88">
        <w:t xml:space="preserve"> </w:t>
      </w:r>
      <w:r>
        <w:t xml:space="preserve">portfellist </w:t>
      </w:r>
      <w:r w:rsidRPr="009B5B88">
        <w:t xml:space="preserve">enamus </w:t>
      </w:r>
      <w:r>
        <w:t xml:space="preserve">on </w:t>
      </w:r>
      <w:r w:rsidRPr="009B5B88">
        <w:t>RKAS-i üürimudel</w:t>
      </w:r>
      <w:r>
        <w:t>il</w:t>
      </w:r>
      <w:r w:rsidRPr="009B5B88">
        <w:t xml:space="preserve">, osa </w:t>
      </w:r>
      <w:r>
        <w:t>hoonetest jääb riigi mudelile;</w:t>
      </w:r>
    </w:p>
    <w:p w:rsidR="004F5682" w:rsidRDefault="004F5682" w:rsidP="00351253">
      <w:pPr>
        <w:pStyle w:val="ListParagraph"/>
      </w:pPr>
      <w:r>
        <w:t>Keskkonna-, Välis- ja Haridus- ja Teadusministeerium on oma portfelle üle andmas;</w:t>
      </w:r>
    </w:p>
    <w:p w:rsidR="004F5682" w:rsidRDefault="004F5682" w:rsidP="00351253">
      <w:pPr>
        <w:pStyle w:val="ListParagraph"/>
      </w:pPr>
      <w:r>
        <w:t xml:space="preserve">Põllumajandus- ja Majandus- ja Kommunikatsiooniministeerium </w:t>
      </w:r>
      <w:r w:rsidRPr="009B5B88">
        <w:t xml:space="preserve">ei </w:t>
      </w:r>
      <w:r>
        <w:t xml:space="preserve">väljenda </w:t>
      </w:r>
      <w:r w:rsidRPr="009B5B88">
        <w:t xml:space="preserve">soovi </w:t>
      </w:r>
      <w:r>
        <w:t>hooneid RKAS-ile üle anda;</w:t>
      </w:r>
    </w:p>
    <w:p w:rsidR="004F5682" w:rsidRDefault="004F5682" w:rsidP="00351253">
      <w:pPr>
        <w:pStyle w:val="ListParagraph"/>
      </w:pPr>
      <w:r>
        <w:t>Kaitseministeerium</w:t>
      </w:r>
      <w:r w:rsidRPr="009B5B88">
        <w:t xml:space="preserve"> ja RMK on eraldi kompetentsikeskused ka strateegia järgi</w:t>
      </w:r>
      <w:r>
        <w:t>.</w:t>
      </w:r>
      <w:r w:rsidRPr="009B5B88">
        <w:t xml:space="preserve"> </w:t>
      </w:r>
    </w:p>
    <w:p w:rsidR="004F5682" w:rsidRPr="00E45A90" w:rsidRDefault="004F5682" w:rsidP="004F5682">
      <w:r w:rsidRPr="00E45A90">
        <w:rPr>
          <w:b/>
        </w:rPr>
        <w:t>P</w:t>
      </w:r>
      <w:r>
        <w:rPr>
          <w:b/>
        </w:rPr>
        <w:t>robleem</w:t>
      </w:r>
      <w:r w:rsidR="00B17DC5">
        <w:rPr>
          <w:b/>
        </w:rPr>
        <w:t xml:space="preserve"> 1</w:t>
      </w:r>
      <w:r>
        <w:rPr>
          <w:b/>
        </w:rPr>
        <w:t xml:space="preserve">: </w:t>
      </w:r>
      <w:r w:rsidRPr="00B17DC5">
        <w:t>põhjused,</w:t>
      </w:r>
      <w:r w:rsidRPr="00877D5B">
        <w:t xml:space="preserve"> miks ei soovita </w:t>
      </w:r>
      <w:r>
        <w:t xml:space="preserve">hooneid </w:t>
      </w:r>
      <w:r w:rsidRPr="00877D5B">
        <w:t>üle anda</w:t>
      </w:r>
      <w:r>
        <w:t>,</w:t>
      </w:r>
      <w:r w:rsidRPr="00877D5B">
        <w:t xml:space="preserve"> peituvad eelkõige korrastamata juhtimisprotsessides: </w:t>
      </w:r>
    </w:p>
    <w:p w:rsidR="004F5682" w:rsidRDefault="004F5682" w:rsidP="00351253">
      <w:pPr>
        <w:pStyle w:val="ListParagraph"/>
      </w:pPr>
      <w:r>
        <w:t xml:space="preserve">puudub selgus </w:t>
      </w:r>
      <w:r w:rsidR="00B17DC5">
        <w:t>RKAS-i teenustes ja hinnakujundu</w:t>
      </w:r>
      <w:r>
        <w:t>s</w:t>
      </w:r>
      <w:r w:rsidR="00B17DC5">
        <w:t>es</w:t>
      </w:r>
      <w:r>
        <w:t xml:space="preserve">, </w:t>
      </w:r>
      <w:r w:rsidR="00BD68B1">
        <w:t>negatiivsed kogemused koostööst RKAS-</w:t>
      </w:r>
      <w:r w:rsidR="00A84A90">
        <w:t>i</w:t>
      </w:r>
      <w:r w:rsidR="00BD68B1">
        <w:t xml:space="preserve">ga, </w:t>
      </w:r>
    </w:p>
    <w:p w:rsidR="004F5682" w:rsidRDefault="004F5682" w:rsidP="00351253">
      <w:pPr>
        <w:pStyle w:val="ListParagraph"/>
      </w:pPr>
      <w:r w:rsidRPr="004433A9">
        <w:t>puudub selgus, kuidas otsuseid</w:t>
      </w:r>
      <w:r>
        <w:t>, sh rahastamisotsuseid tehakse,</w:t>
      </w:r>
    </w:p>
    <w:p w:rsidR="008E6122" w:rsidRDefault="008E6122" w:rsidP="00351253">
      <w:pPr>
        <w:pStyle w:val="ListParagraph"/>
      </w:pPr>
      <w:r>
        <w:t>puuduvad motivatsioonimehhanismid üle andmise soodustamiseks ja võimalused kasutada kokku hoitud raha muudeks tegevusteks, nt kinnisvarakeskkonna parendamiseks</w:t>
      </w:r>
      <w:r w:rsidR="00BD68B1">
        <w:t>,</w:t>
      </w:r>
    </w:p>
    <w:p w:rsidR="004F5682" w:rsidRDefault="004F5682" w:rsidP="00351253">
      <w:pPr>
        <w:pStyle w:val="ListParagraph"/>
      </w:pPr>
      <w:r>
        <w:t>kartus, et EL vahenditest investeeritud hoonete võõrandamisel rakendatakse sanktsioone.</w:t>
      </w:r>
    </w:p>
    <w:p w:rsidR="004F5682" w:rsidRPr="00B902A4" w:rsidRDefault="004F5682" w:rsidP="004F5682">
      <w:pPr>
        <w:spacing w:before="120"/>
        <w:jc w:val="left"/>
        <w:rPr>
          <w:rFonts w:cs="Arial"/>
          <w:bCs/>
          <w:color w:val="1C9AD7"/>
          <w:kern w:val="32"/>
          <w:sz w:val="32"/>
          <w:szCs w:val="28"/>
        </w:rPr>
      </w:pPr>
      <w:r w:rsidRPr="00B902A4">
        <w:rPr>
          <w:b/>
        </w:rPr>
        <w:t>Lahendus:</w:t>
      </w:r>
      <w:r>
        <w:t xml:space="preserve"> juhtimissüsteemi parandamine, sh RKAS-i teenuste kvaliteedi parandami</w:t>
      </w:r>
      <w:r w:rsidR="00A26BE6">
        <w:t>ne ja tegevuse tõhustamine.</w:t>
      </w:r>
    </w:p>
    <w:p w:rsidR="004F5682" w:rsidRPr="004F6032" w:rsidRDefault="004F5682" w:rsidP="008D1E67">
      <w:r w:rsidRPr="00B77344">
        <w:rPr>
          <w:b/>
        </w:rPr>
        <w:t>Probleem</w:t>
      </w:r>
      <w:r w:rsidR="008D1E67">
        <w:rPr>
          <w:b/>
        </w:rPr>
        <w:t xml:space="preserve"> 2</w:t>
      </w:r>
      <w:r w:rsidRPr="00B77344">
        <w:rPr>
          <w:b/>
        </w:rPr>
        <w:t>:</w:t>
      </w:r>
      <w:r>
        <w:t xml:space="preserve"> </w:t>
      </w:r>
      <w:r w:rsidRPr="004F6032">
        <w:t>Jättes hooned riigi omandisse ja haldamisele ning suunates vara SA-dele ei ole võimalik täita riigi kin</w:t>
      </w:r>
      <w:r w:rsidR="008D1E67">
        <w:t>n</w:t>
      </w:r>
      <w:r w:rsidRPr="004F6032">
        <w:t>isvarastrateegia eesmärke</w:t>
      </w:r>
      <w:r>
        <w:t xml:space="preserve"> tagada riigile vajalik</w:t>
      </w:r>
      <w:r w:rsidRPr="004F6032">
        <w:t xml:space="preserve">e varade tõhus arendamine ja korrashoid. </w:t>
      </w:r>
    </w:p>
    <w:p w:rsidR="004F5682" w:rsidRPr="00B0412E" w:rsidRDefault="004F5682" w:rsidP="00351253">
      <w:pPr>
        <w:pStyle w:val="ListParagraph"/>
      </w:pPr>
      <w:r w:rsidRPr="00B0412E">
        <w:t>T</w:t>
      </w:r>
      <w:r>
        <w:t xml:space="preserve">ekib vajadus </w:t>
      </w:r>
      <w:r w:rsidRPr="00B0412E">
        <w:t xml:space="preserve">luua dubleeriv kompetents varade korrashoiu- ja arendustegevuse planeerimiseks. </w:t>
      </w:r>
    </w:p>
    <w:p w:rsidR="004F5682" w:rsidRDefault="004F5682" w:rsidP="008D1E67">
      <w:r>
        <w:t>Riigi kinnisvarastrateegia näeb ette riigile vajalike varade korrashoiu ja arendamise kompetentsi koondamise üürimudeli alusel RKAS-i, st et RKAS-ile antakse üle nii omand kui ka haldamine. Ainult haldamise üle andmine ei võimalda eesmärki täita, kuna vastavalt ehitusseadusele on ehitise korrashoid omaniku kohustus. Kui RKAS-ile jääb vaid halduri rolli, jääb korrashoiu (sh remontide planeerimise) vastutus jagatuks riigi ja RKAS-ii vahel, see loob vajaduse luua erinevaid korraldusmudeleid, tüüplepinguid ja rahastamise skeeme. Rahandusministeeriumi seisukoht on:</w:t>
      </w:r>
    </w:p>
    <w:p w:rsidR="004F5682" w:rsidRDefault="004F5682" w:rsidP="00351253">
      <w:pPr>
        <w:pStyle w:val="ListParagraph"/>
      </w:pPr>
      <w:r>
        <w:t xml:space="preserve">Haldusmudelit võib kasutada n-ö üleminekumudelina, kus esimeses etapis antakse üle haldamine ja hiljem omand. </w:t>
      </w:r>
    </w:p>
    <w:p w:rsidR="004F5682" w:rsidRDefault="004F5682" w:rsidP="00351253">
      <w:pPr>
        <w:pStyle w:val="ListParagraph"/>
      </w:pPr>
      <w:r>
        <w:t>Juhtudel, kus korrashoiu tegevuste korraldamise üle andmine RKAS-ile ei anna lisaväärtust (väga spetsiifilise kasutusega hooned), on siiski otstarbekas anda üle hoonete omand koos seadustest tulenevate omanikukohustusega (sh kindlustus, osalemine planeerimismenetlustes, ehitusseadusest ja teistest seadustest tulenevate ohutuse jm nõuete täitmine), mis on väga kitsalt kinnisvaraspetsiifiline kompetents. See võimaldab ka keskselt ja ühtsetel alu</w:t>
      </w:r>
      <w:r w:rsidR="008D1E67">
        <w:t>s</w:t>
      </w:r>
      <w:r>
        <w:t>t</w:t>
      </w:r>
      <w:r w:rsidR="008D1E67">
        <w:t>e</w:t>
      </w:r>
      <w:r>
        <w:t xml:space="preserve">l planeerida investeeringuid ja remonte hoonetesse ning koguda remondifondi. </w:t>
      </w:r>
    </w:p>
    <w:p w:rsidR="004F5682" w:rsidRDefault="004F5682" w:rsidP="00351253">
      <w:pPr>
        <w:pStyle w:val="ListParagraph"/>
      </w:pPr>
      <w:r>
        <w:t xml:space="preserve">SA-dele koos tegevusega üle antud hooned väljuvad riigi kinnisvarastrateegia fookusest – nende kohta puudub keskne info, mistõttu ka nende varade kulude planeerimine eelarvest on komplitseeritum. </w:t>
      </w:r>
    </w:p>
    <w:p w:rsidR="004F5682" w:rsidRDefault="004F5682" w:rsidP="00351253">
      <w:pPr>
        <w:pStyle w:val="ListParagraph"/>
      </w:pPr>
      <w:r>
        <w:t xml:space="preserve">Varasid üle andmata ei teki võimalust portfelli optimeerimiseks valitsemisalade üleselt, mis looks võimalusi pinnakasutuse tõhustamiseks. </w:t>
      </w:r>
    </w:p>
    <w:p w:rsidR="004F5682" w:rsidRDefault="004F5682" w:rsidP="00351253">
      <w:pPr>
        <w:pStyle w:val="ListParagraph"/>
      </w:pPr>
      <w:r>
        <w:t>Valitsemisalade ülene o</w:t>
      </w:r>
      <w:r w:rsidRPr="008F36A4">
        <w:t xml:space="preserve">ptimeerimise potentsiaal </w:t>
      </w:r>
      <w:r>
        <w:t xml:space="preserve">on kõige suurem büroopindadel, kus on suurimad võimalused saavutada riigiülest sünergiat, eelkõige maakonnakeskustes. Praegune portfelli killustatus erinevate valitsejate vahel on loonud kahetsusväärseid tupikseise, kus ühes asukohas on riigil vajadus täiendava pinnakasutuse järele ja samal ajal ka vaba arendamist võimaldav vakantne pind olemas, kuid ühtse riigi huve esindava koordinaatori puudumise tõttu ei ole võimalik leida lahendust ei pinna vajadusele ega ka vakantsile. </w:t>
      </w:r>
    </w:p>
    <w:p w:rsidR="004F5682" w:rsidRDefault="004F5682" w:rsidP="004F5682">
      <w:pPr>
        <w:spacing w:after="80"/>
        <w:ind w:left="284"/>
      </w:pPr>
      <w:r>
        <w:t xml:space="preserve">Halva näitena võib tuua kujunenud olukorra ühes maavalitsuse hoones, mida ei ole soovitud RKAS-ile üle anda. Maavalitsuses kasutab ruume riigiasutus, kellel on soov parandada oma töökeskkonda, kuid see ei ole võimalik: </w:t>
      </w:r>
    </w:p>
    <w:p w:rsidR="004F5682" w:rsidRDefault="004F5682" w:rsidP="00351253">
      <w:pPr>
        <w:pStyle w:val="ListParagraph"/>
        <w:rPr>
          <w:b/>
        </w:rPr>
      </w:pPr>
      <w:r>
        <w:t>asutusel puudub võimalus tööruume ümber paigutada enda vajadustele sobivamaks, sest üürileandjast maavalitsus ei motiveeri väikeüürnikke kolima.</w:t>
      </w:r>
      <w:r w:rsidR="00655E30">
        <w:t xml:space="preserve"> </w:t>
      </w:r>
    </w:p>
    <w:p w:rsidR="004F5682" w:rsidRDefault="004F5682" w:rsidP="00351253">
      <w:pPr>
        <w:pStyle w:val="ListParagraph"/>
      </w:pPr>
      <w:r>
        <w:t>asutusel p</w:t>
      </w:r>
      <w:r w:rsidRPr="00877D5B">
        <w:t xml:space="preserve">uudub võimalus </w:t>
      </w:r>
      <w:r>
        <w:t xml:space="preserve">ruumide seisukorda parandada, sest ei maavalitsusel üürileandjana ega asutusel üürnikuna pole selleks eelarves vahendeid, remontide rahastamise mudel suunab ressursid RKAS-iga sõlmitud üürilepingutesse. </w:t>
      </w:r>
    </w:p>
    <w:p w:rsidR="004F5682" w:rsidRDefault="004F5682" w:rsidP="00351253">
      <w:pPr>
        <w:pStyle w:val="ListParagraph"/>
      </w:pPr>
      <w:r>
        <w:t xml:space="preserve">RKAS soovib riigiasutust aidata, kuid ei saa seda teha, sest maavalitsuse hoone ei kuulu temale. Väikelinnas piiratud turu tingimustes ei ole uue arenduprojekti algatamine riigi kui terviku vaates majanduslikult mõistlik. </w:t>
      </w:r>
    </w:p>
    <w:p w:rsidR="004F5682" w:rsidRDefault="004F5682" w:rsidP="00351253">
      <w:pPr>
        <w:pStyle w:val="ListParagraph"/>
      </w:pPr>
      <w:r>
        <w:t xml:space="preserve">Asutusel oleks põhimõtteliselt võimalik väikelinna turult minna pinda üürima, kuid ilmselt võtaks ka eraarendaja riske kohandades pindu olukorras, kus on ette näha, et lähemas või kaugemas tulevikus võidakse linna suurim büroohoone siiski RKAS-ile üle anda ja korda teha. Iga risk suurendab omaniku tootluse ootust ehk üürihinda riigile kui rentnikule. </w:t>
      </w:r>
    </w:p>
    <w:p w:rsidR="004F5682" w:rsidRDefault="004F5682" w:rsidP="00351253">
      <w:pPr>
        <w:pStyle w:val="ListParagraph"/>
      </w:pPr>
      <w:r>
        <w:t>Samas linnas on veel vähemalt üks asutus, kes otsib pinnakasutusele lahendust ja on läbi käinud sama raja ja jõu</w:t>
      </w:r>
      <w:r w:rsidR="00A27F4D">
        <w:t>d</w:t>
      </w:r>
      <w:r>
        <w:t xml:space="preserve">nud samade takistusteni. </w:t>
      </w:r>
    </w:p>
    <w:p w:rsidR="004F5682" w:rsidRDefault="004F5682" w:rsidP="00351253">
      <w:pPr>
        <w:pStyle w:val="ListParagraph"/>
      </w:pPr>
      <w:r>
        <w:t xml:space="preserve">Kokkuvõtteks: Selline määramatu olukord ei ole jätkusuutlik, kaotajaks on kõik riigi osapooled – pole töökeskkonda, pole hoonet ja lihtne on teha süüdlaseks RKAS-i suutmatus samal ajal kui probleem on jätkuvas otsustamatuses. </w:t>
      </w:r>
    </w:p>
    <w:p w:rsidR="00F61C1E" w:rsidRDefault="00A26BE6" w:rsidP="00A26BE6">
      <w:pPr>
        <w:rPr>
          <w:color w:val="000000"/>
        </w:rPr>
      </w:pPr>
      <w:r>
        <w:rPr>
          <w:color w:val="000000"/>
        </w:rPr>
        <w:t xml:space="preserve">Kahjuks ei ole maavalitsuste huvi hooneid üle anda seni olnud kuigi suur. Arvestades Vabariigi Valitsuse tegevusprogrammis seatud eesmärke, tuleks seda protsessi kiirendada. </w:t>
      </w:r>
    </w:p>
    <w:p w:rsidR="00A26BE6" w:rsidRDefault="00A26BE6" w:rsidP="00A26BE6">
      <w:pPr>
        <w:rPr>
          <w:color w:val="000000"/>
        </w:rPr>
      </w:pPr>
      <w:r>
        <w:rPr>
          <w:color w:val="000000"/>
        </w:rPr>
        <w:t>Hetkeseis:</w:t>
      </w:r>
    </w:p>
    <w:p w:rsidR="00A26BE6" w:rsidRDefault="00A26BE6" w:rsidP="00F61C1E">
      <w:pPr>
        <w:pStyle w:val="ListParagraph"/>
        <w:spacing w:before="0"/>
      </w:pPr>
      <w:r>
        <w:t xml:space="preserve">Kogu vajaliku vara on RKAS-ile üle andnud </w:t>
      </w:r>
      <w:r w:rsidR="005B3156">
        <w:t xml:space="preserve">6 </w:t>
      </w:r>
      <w:r>
        <w:t xml:space="preserve">maavalitsust: Hiiu, </w:t>
      </w:r>
      <w:r w:rsidR="005B3156">
        <w:t xml:space="preserve">Ida-Viru, </w:t>
      </w:r>
      <w:r>
        <w:t xml:space="preserve">Jõgeva, Lääne-Viru, Rapla, Pärnu (allolevas tabelis </w:t>
      </w:r>
      <w:r w:rsidR="005B3156">
        <w:t>valgel taustal</w:t>
      </w:r>
      <w:r>
        <w:t>),</w:t>
      </w:r>
    </w:p>
    <w:p w:rsidR="00A26BE6" w:rsidRDefault="005B3156" w:rsidP="00A26BE6">
      <w:pPr>
        <w:pStyle w:val="ListParagraph"/>
      </w:pPr>
      <w:r>
        <w:t>Vajalikke büroohooneid annavad üle</w:t>
      </w:r>
      <w:r w:rsidR="00A26BE6">
        <w:t xml:space="preserve"> </w:t>
      </w:r>
      <w:r>
        <w:t>Järva,</w:t>
      </w:r>
      <w:r w:rsidR="003C3230">
        <w:t xml:space="preserve"> Põlva,</w:t>
      </w:r>
      <w:r>
        <w:t xml:space="preserve"> Saare, Valga ja Võru Maavalitsused</w:t>
      </w:r>
      <w:r w:rsidR="00A26BE6">
        <w:t xml:space="preserve"> (tabelis </w:t>
      </w:r>
      <w:r>
        <w:t>heledama sinise taustaga</w:t>
      </w:r>
      <w:r w:rsidR="00A26BE6">
        <w:t>).</w:t>
      </w:r>
    </w:p>
    <w:p w:rsidR="00A26BE6" w:rsidRDefault="00A26BE6" w:rsidP="00A26BE6">
      <w:pPr>
        <w:pStyle w:val="ListParagraph"/>
        <w:spacing w:after="0"/>
      </w:pPr>
      <w:r>
        <w:t xml:space="preserve">Ülejäänud </w:t>
      </w:r>
      <w:r w:rsidR="003C3230">
        <w:t>4</w:t>
      </w:r>
      <w:r w:rsidR="005B3156">
        <w:t xml:space="preserve"> </w:t>
      </w:r>
      <w:r w:rsidR="00225F8B">
        <w:t>maavalitsust soovivad valitseda</w:t>
      </w:r>
      <w:r>
        <w:t xml:space="preserve"> oma vara ise (tabelis </w:t>
      </w:r>
      <w:r w:rsidR="005B3156">
        <w:t>tumedama taustaga</w:t>
      </w:r>
      <w:r w:rsidR="00225F8B">
        <w:t>).</w:t>
      </w:r>
      <w:r>
        <w:t xml:space="preserve"> </w:t>
      </w:r>
    </w:p>
    <w:p w:rsidR="00A26BE6" w:rsidRDefault="00A26BE6" w:rsidP="00A26BE6">
      <w:pPr>
        <w:pStyle w:val="Caption"/>
      </w:pPr>
      <w:r>
        <w:t xml:space="preserve">Tabel </w:t>
      </w:r>
      <w:fldSimple w:instr=" SEQ Tabel \* ARABIC ">
        <w:r w:rsidR="00477322">
          <w:rPr>
            <w:noProof/>
          </w:rPr>
          <w:t>19</w:t>
        </w:r>
      </w:fldSimple>
      <w:r>
        <w:t>. Maavalitsuste hoonete korraldusmudelid</w:t>
      </w:r>
    </w:p>
    <w:p w:rsidR="003C3230" w:rsidRDefault="003C3230" w:rsidP="003C3230">
      <w:pPr>
        <w:spacing w:before="0" w:after="240"/>
        <w:rPr>
          <w:color w:val="000000"/>
        </w:rPr>
      </w:pPr>
      <w:r w:rsidRPr="003C3230">
        <w:rPr>
          <w:noProof/>
          <w:lang w:eastAsia="et-EE"/>
        </w:rPr>
        <w:drawing>
          <wp:inline distT="0" distB="0" distL="0" distR="0">
            <wp:extent cx="5731510" cy="3710511"/>
            <wp:effectExtent l="19050" t="0" r="254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731510" cy="3710511"/>
                    </a:xfrm>
                    <a:prstGeom prst="rect">
                      <a:avLst/>
                    </a:prstGeom>
                    <a:noFill/>
                    <a:ln w="9525">
                      <a:noFill/>
                      <a:miter lim="800000"/>
                      <a:headEnd/>
                      <a:tailEnd/>
                    </a:ln>
                  </pic:spPr>
                </pic:pic>
              </a:graphicData>
            </a:graphic>
          </wp:inline>
        </w:drawing>
      </w:r>
    </w:p>
    <w:p w:rsidR="00A26BE6" w:rsidRDefault="00A26BE6" w:rsidP="003C3230">
      <w:pPr>
        <w:spacing w:before="120"/>
        <w:rPr>
          <w:color w:val="000000"/>
        </w:rPr>
      </w:pPr>
      <w:r>
        <w:rPr>
          <w:color w:val="000000"/>
        </w:rPr>
        <w:t xml:space="preserve">Kokku on maavalitsustel RKAS-ile üle andmata ca </w:t>
      </w:r>
      <w:r w:rsidR="00225F8B">
        <w:rPr>
          <w:color w:val="000000"/>
        </w:rPr>
        <w:t>18</w:t>
      </w:r>
      <w:r>
        <w:rPr>
          <w:color w:val="000000"/>
        </w:rPr>
        <w:t> </w:t>
      </w:r>
      <w:r w:rsidR="00225F8B">
        <w:rPr>
          <w:color w:val="000000"/>
        </w:rPr>
        <w:t>000 m² büroosid, 14</w:t>
      </w:r>
      <w:r>
        <w:rPr>
          <w:color w:val="000000"/>
        </w:rPr>
        <w:t>00 m² abihooneid ja 1</w:t>
      </w:r>
      <w:r w:rsidR="00225F8B">
        <w:rPr>
          <w:color w:val="000000"/>
        </w:rPr>
        <w:t>4</w:t>
      </w:r>
      <w:r>
        <w:rPr>
          <w:color w:val="000000"/>
        </w:rPr>
        <w:t xml:space="preserve"> 000 m² eluotstarbelisi hooneid (Merivälja pansion, lastekodud, korterid jms). </w:t>
      </w:r>
    </w:p>
    <w:p w:rsidR="004F5682" w:rsidRDefault="004F5682" w:rsidP="004F5682">
      <w:pPr>
        <w:spacing w:before="120"/>
      </w:pPr>
      <w:r>
        <w:t xml:space="preserve">On ka </w:t>
      </w:r>
      <w:r w:rsidR="00A26BE6">
        <w:t>mõningaid</w:t>
      </w:r>
      <w:r>
        <w:t xml:space="preserve"> häid näiteid üksikute asutuste kaupa optimeerimisprojektide kohta, näiteks Maksu- ja Tolliameti töökeskkonna ümber korraldamine ja kolimine Tallinnas ühte hoonesse, kuid üldjuhul ühe asutuse või valitsemisala ulatuses efekti saavutamine ei ole võimalik. Pigem võib ühe valitsemisala poolt vaid endale lahenduste otsimine osutuda riigile tervikuna kahjulikuks. Näiteks kavandas Lääne maavalitsus aastaid tagasi Läänemaal riigimaja projekti, kuid see ei realiseerunud ja nurjumise üheks põhjuseks oli ebapiisav maht. Paralleelselt oli Põllumajandusministeeriumi valitsemisala otsustanud oma pinnavajadustele iseseisvalt lahenduse leida. </w:t>
      </w:r>
    </w:p>
    <w:p w:rsidR="004F5682" w:rsidRDefault="004F5682" w:rsidP="004F5682">
      <w:r>
        <w:rPr>
          <w:b/>
        </w:rPr>
        <w:t xml:space="preserve">Lahendus: </w:t>
      </w:r>
      <w:r w:rsidRPr="009107C9">
        <w:t>Jätkuv hoonete koondamine RKAS-i portfelli</w:t>
      </w:r>
      <w:r>
        <w:t>. E</w:t>
      </w:r>
      <w:r w:rsidRPr="009107C9">
        <w:t xml:space="preserve">smajärjekorras </w:t>
      </w:r>
      <w:r>
        <w:t>tuleks üle anda büroo</w:t>
      </w:r>
      <w:r w:rsidRPr="009107C9">
        <w:t>hooned</w:t>
      </w:r>
      <w:r w:rsidR="00175F5E">
        <w:t xml:space="preserve"> tõmbekeskustes</w:t>
      </w:r>
      <w:r>
        <w:t>, kus on võimalik luua valitsemisalade ülest sünergiat ja pinnakasutust optimeerida. Muude kasutusotstarvete puhul sõltub hoonete pinnakasutuse optimeerimine eelkõige valdkonna põhitegevuse optimeerimisest (</w:t>
      </w:r>
      <w:r w:rsidR="008D1E67">
        <w:t>nt HTM-i ja SiM-i portfelli optimeerimise kavad</w:t>
      </w:r>
      <w:r w:rsidR="004260E1">
        <w:t xml:space="preserve">, vt ka peatükk </w:t>
      </w:r>
      <w:r w:rsidR="00A85FDC">
        <w:fldChar w:fldCharType="begin"/>
      </w:r>
      <w:r w:rsidR="004260E1">
        <w:instrText xml:space="preserve"> REF _Ref424053118 \r \h </w:instrText>
      </w:r>
      <w:r w:rsidR="00A85FDC">
        <w:fldChar w:fldCharType="separate"/>
      </w:r>
      <w:r w:rsidR="00477322">
        <w:t>2.4</w:t>
      </w:r>
      <w:r w:rsidR="00A85FDC">
        <w:fldChar w:fldCharType="end"/>
      </w:r>
      <w:r>
        <w:t>). Riigiüleselt aitaks suuremat kokkuhoidu saavutada laiem vaade avalikule sektorile – kits</w:t>
      </w:r>
      <w:r w:rsidR="008D1E67">
        <w:t>a</w:t>
      </w:r>
      <w:r>
        <w:t>lt riigiasutuse asemel tuleks vajaduste analüüsi kaasata ka riigi ava</w:t>
      </w:r>
      <w:r w:rsidR="008D1E67">
        <w:t>lik</w:t>
      </w:r>
      <w:r>
        <w:t>- ja eraõiguslikud juriidilised isikud</w:t>
      </w:r>
      <w:r w:rsidR="008D1E67">
        <w:t xml:space="preserve"> ning</w:t>
      </w:r>
      <w:r>
        <w:t xml:space="preserve"> KOV-id. </w:t>
      </w:r>
    </w:p>
    <w:p w:rsidR="004F5682" w:rsidRDefault="004F5682" w:rsidP="004F5682">
      <w:pPr>
        <w:rPr>
          <w:color w:val="000000"/>
        </w:rPr>
      </w:pPr>
      <w:r>
        <w:rPr>
          <w:color w:val="000000"/>
        </w:rPr>
        <w:t xml:space="preserve">Lisaks kulude </w:t>
      </w:r>
      <w:r w:rsidRPr="005A72BB">
        <w:rPr>
          <w:color w:val="000000"/>
        </w:rPr>
        <w:t xml:space="preserve">kokkuhoiule </w:t>
      </w:r>
      <w:r w:rsidRPr="005A72BB">
        <w:rPr>
          <w:bCs/>
          <w:color w:val="000000"/>
        </w:rPr>
        <w:t xml:space="preserve">toetab </w:t>
      </w:r>
      <w:r w:rsidR="00175F5E">
        <w:rPr>
          <w:bCs/>
          <w:color w:val="000000"/>
        </w:rPr>
        <w:t>büroo</w:t>
      </w:r>
      <w:r w:rsidRPr="005A72BB">
        <w:rPr>
          <w:bCs/>
          <w:color w:val="000000"/>
        </w:rPr>
        <w:t>hoonete tsentraliseerimine avalike teenuste planeerimist ja ümber korraldamist riigis</w:t>
      </w:r>
      <w:r>
        <w:rPr>
          <w:color w:val="000000"/>
        </w:rPr>
        <w:t xml:space="preserve"> ning valitsuse eesmärki viia autonoomselt toimivad ja keskvalitsusega nõrgalt seotud avaliku võimu asutused pealinnast välja. Tekib reaalne võimalus hakata kavandama riigimaju selle kõige täpsemas mõttes, võimalus alustada riigimaja </w:t>
      </w:r>
      <w:r>
        <w:rPr>
          <w:color w:val="000000"/>
          <w:u w:val="single"/>
        </w:rPr>
        <w:t>riigi</w:t>
      </w:r>
      <w:r>
        <w:rPr>
          <w:color w:val="000000"/>
        </w:rPr>
        <w:t xml:space="preserve"> planeerimisest, mitte </w:t>
      </w:r>
      <w:r>
        <w:rPr>
          <w:color w:val="000000"/>
          <w:u w:val="single"/>
        </w:rPr>
        <w:t>maja</w:t>
      </w:r>
      <w:r>
        <w:rPr>
          <w:color w:val="000000"/>
        </w:rPr>
        <w:t xml:space="preserve"> planeerimisest, nagu see seni on olnud. </w:t>
      </w:r>
    </w:p>
    <w:p w:rsidR="00175F5E" w:rsidRDefault="004F5682" w:rsidP="00175F5E">
      <w:pPr>
        <w:spacing w:before="120" w:after="80"/>
        <w:rPr>
          <w:color w:val="000000"/>
        </w:rPr>
      </w:pPr>
      <w:r>
        <w:rPr>
          <w:b/>
          <w:bCs/>
          <w:color w:val="000000"/>
          <w:u w:val="single"/>
        </w:rPr>
        <w:t>Ettepanek:</w:t>
      </w:r>
      <w:r>
        <w:rPr>
          <w:color w:val="000000"/>
        </w:rPr>
        <w:t xml:space="preserve"> Kohustada kõiki </w:t>
      </w:r>
      <w:r w:rsidR="00175F5E">
        <w:rPr>
          <w:color w:val="000000"/>
        </w:rPr>
        <w:t xml:space="preserve">valitsejaid (sh </w:t>
      </w:r>
      <w:r>
        <w:rPr>
          <w:color w:val="000000"/>
        </w:rPr>
        <w:t>maavalitsusi</w:t>
      </w:r>
      <w:r w:rsidR="00175F5E">
        <w:rPr>
          <w:color w:val="000000"/>
        </w:rPr>
        <w:t>)</w:t>
      </w:r>
      <w:r>
        <w:rPr>
          <w:color w:val="000000"/>
        </w:rPr>
        <w:t xml:space="preserve"> alustama koheselt oma büroo- ja </w:t>
      </w:r>
      <w:r w:rsidR="00175F5E">
        <w:rPr>
          <w:color w:val="000000"/>
        </w:rPr>
        <w:t xml:space="preserve">nende juurde kuuluvate </w:t>
      </w:r>
      <w:r>
        <w:rPr>
          <w:color w:val="000000"/>
        </w:rPr>
        <w:t>abihoonete üle andmisega RKAS-</w:t>
      </w:r>
      <w:r w:rsidR="00A26BE6">
        <w:rPr>
          <w:color w:val="000000"/>
        </w:rPr>
        <w:t>i</w:t>
      </w:r>
      <w:r>
        <w:rPr>
          <w:color w:val="000000"/>
        </w:rPr>
        <w:t xml:space="preserve">le. Sel juhul oleks </w:t>
      </w:r>
      <w:r w:rsidR="00615AA6">
        <w:rPr>
          <w:color w:val="000000"/>
        </w:rPr>
        <w:t xml:space="preserve">võimalik bürookomplekside </w:t>
      </w:r>
      <w:r>
        <w:rPr>
          <w:color w:val="000000"/>
        </w:rPr>
        <w:t xml:space="preserve">üle andmine lõpule viia 2016. aasta </w:t>
      </w:r>
      <w:r w:rsidR="00175F5E">
        <w:rPr>
          <w:color w:val="000000"/>
        </w:rPr>
        <w:t>lõpuks</w:t>
      </w:r>
      <w:r>
        <w:rPr>
          <w:color w:val="000000"/>
        </w:rPr>
        <w:t xml:space="preserve">. </w:t>
      </w:r>
    </w:p>
    <w:p w:rsidR="004F5682" w:rsidRPr="00ED24B2" w:rsidRDefault="00175F5E" w:rsidP="00175F5E">
      <w:pPr>
        <w:spacing w:before="120" w:after="80"/>
      </w:pPr>
      <w:r>
        <w:rPr>
          <w:color w:val="000000"/>
        </w:rPr>
        <w:t xml:space="preserve">Ülejäänud hoonete üleandmise tegevuskava koostada 2016.aasta jooksul rahastamiskava detailanalüüsi tulemuste põhjal. </w:t>
      </w:r>
      <w:r w:rsidR="004F5682">
        <w:rPr>
          <w:color w:val="000000"/>
        </w:rPr>
        <w:t xml:space="preserve">Eluotstarbeliste hoonete puhul tuleb detailsemalt analüüsida, milline on </w:t>
      </w:r>
      <w:r>
        <w:rPr>
          <w:color w:val="000000"/>
        </w:rPr>
        <w:t>nende seos riigi põhitegevusega</w:t>
      </w:r>
      <w:r w:rsidR="004F5682">
        <w:rPr>
          <w:color w:val="000000"/>
        </w:rPr>
        <w:t>.</w:t>
      </w:r>
      <w:r w:rsidR="004F5682" w:rsidRPr="00ED24B2">
        <w:t xml:space="preserve"> </w:t>
      </w:r>
    </w:p>
    <w:p w:rsidR="004F5682" w:rsidRDefault="004F5682" w:rsidP="004F5682">
      <w:pPr>
        <w:pStyle w:val="Pealkiri2"/>
      </w:pPr>
      <w:bookmarkStart w:id="386" w:name="_Ref424053118"/>
      <w:bookmarkStart w:id="387" w:name="_Toc433980735"/>
      <w:r>
        <w:t>Riigile vajalike hoonete tõhus korrashoid ja arendamine</w:t>
      </w:r>
      <w:bookmarkEnd w:id="386"/>
      <w:bookmarkEnd w:id="387"/>
    </w:p>
    <w:p w:rsidR="004F5682" w:rsidRDefault="004F5682" w:rsidP="004F5682">
      <w:pPr>
        <w:spacing w:before="240"/>
      </w:pPr>
      <w:r w:rsidRPr="0039679C">
        <w:rPr>
          <w:b/>
        </w:rPr>
        <w:t>Alus:</w:t>
      </w:r>
      <w:r>
        <w:t xml:space="preserve"> Riigi kinnisvarategevuse strateegia I ja II peaeesmärk, mille kohaselt on riigile vajalik kinnisvara sotsiaalselt, ökoloogiliselt, ruumikujunduslikult ja majanduslikult parimal viisil arendatud tänapäevaste nõuetega määratud tasemele ning riigi funktsioonide täitmiseks vajalik kinnisvara vastab kaasaegsetele standarditele, haldamine ja korrashoid on korraldatud majanduslikult efektiivseimal moel.</w:t>
      </w:r>
    </w:p>
    <w:p w:rsidR="004F5682" w:rsidRDefault="004F5682" w:rsidP="004F5682">
      <w:pPr>
        <w:spacing w:before="240"/>
      </w:pPr>
      <w:r w:rsidRPr="0039679C">
        <w:rPr>
          <w:b/>
        </w:rPr>
        <w:t>Täitmine:</w:t>
      </w:r>
      <w:r>
        <w:t xml:space="preserve"> I ja II peaeesmärgi täitjaks on </w:t>
      </w:r>
      <w:r w:rsidR="007022D9">
        <w:t xml:space="preserve">vastavalt riigi kinnisvarastrateegiale </w:t>
      </w:r>
      <w:r>
        <w:t xml:space="preserve">RKAS. Riigi kinnisvarategevuse strateegia täitmisest on pikem ülevaade esitatud eelmises koondaruandes. RKAS-i tegevuse aruanne on </w:t>
      </w:r>
      <w:r w:rsidR="00ED24B2">
        <w:t>esitatud käesoleva aruande</w:t>
      </w:r>
      <w:r w:rsidR="003A5C7A">
        <w:t xml:space="preserve"> lisana (</w:t>
      </w:r>
      <w:r w:rsidR="00ED24B2">
        <w:t xml:space="preserve"> </w:t>
      </w:r>
      <w:r w:rsidR="00A85FDC">
        <w:fldChar w:fldCharType="begin"/>
      </w:r>
      <w:r w:rsidR="00ED24B2">
        <w:instrText xml:space="preserve"> REF _Ref427305385 \h </w:instrText>
      </w:r>
      <w:r w:rsidR="00A85FDC">
        <w:fldChar w:fldCharType="separate"/>
      </w:r>
      <w:r w:rsidR="00477322">
        <w:t>Lisa 3. Riigi Kinnisvara AS-i tegevusaruanne 2013-2014</w:t>
      </w:r>
      <w:r w:rsidR="00A85FDC">
        <w:fldChar w:fldCharType="end"/>
      </w:r>
      <w:r w:rsidR="003A5C7A">
        <w:t>)</w:t>
      </w:r>
      <w:r>
        <w:t>.</w:t>
      </w:r>
    </w:p>
    <w:p w:rsidR="007022D9" w:rsidRPr="00ED24B2" w:rsidRDefault="007022D9" w:rsidP="007022D9">
      <w:r w:rsidRPr="00ED24B2">
        <w:t xml:space="preserve">Riigi omandis olevate hoonete korrashoiu tõhususe kohta kindlustunne puudub. Põhjalikumalt sai seda analüüsitud 2008.-2009. aastatel läbi viidud riigi kinnisvarainventuuris, ei ole põhjust arvata, et olukord on muutunud paremuse poole. </w:t>
      </w:r>
    </w:p>
    <w:p w:rsidR="007022D9" w:rsidRPr="00ED24B2" w:rsidRDefault="007022D9" w:rsidP="007022D9">
      <w:r w:rsidRPr="00ED24B2">
        <w:t xml:space="preserve">Üheks korrashoiu kvaliteeti iseloomustavaks näitajaks on andmete olemasolu ja kvaliteet, mida analüüsiti eelnevates peatükkides. </w:t>
      </w:r>
    </w:p>
    <w:p w:rsidR="007022D9" w:rsidRPr="00ED24B2" w:rsidRDefault="007022D9" w:rsidP="007022D9">
      <w:r w:rsidRPr="00ED24B2">
        <w:t xml:space="preserve">Teiseks näitajaks </w:t>
      </w:r>
      <w:r w:rsidR="00ED24B2" w:rsidRPr="00ED24B2">
        <w:t xml:space="preserve">on </w:t>
      </w:r>
      <w:r w:rsidRPr="00ED24B2">
        <w:t xml:space="preserve">hoonete korrashoidu puudutava dokumentatsiooni olemasolu. Riigi kinnisvararegistris ei ole vastavat (seni vabatahtlikku) andmemoodulit </w:t>
      </w:r>
      <w:r w:rsidR="007D6217" w:rsidRPr="00ED24B2">
        <w:t xml:space="preserve">täidetud. 2014. aastal läbi viidud andmekorje käigus ilmnes, et hoonete seisukorra hindamine on riigivara valitsejatele keerukas, kuna alusinfo puudub. </w:t>
      </w:r>
    </w:p>
    <w:p w:rsidR="007D6217" w:rsidRPr="00ED24B2" w:rsidRDefault="007D6217" w:rsidP="007D6217">
      <w:r w:rsidRPr="00ED24B2">
        <w:t>Kolmandaks korrashoiu kvaliteeti ja tõhusust iseloomustavaks näitajaks on haldurite pädevus. 2014. aastal läbi viidud andmekorje käigus küsiti muu hulgas ka kutsetunnistuste olemasolu halduritel ja ilmnes, et mitte ühegi riigi omandis (v.a Kaitseministeerium ja RMK) oleva hoone halduril ei ole asjakohast k</w:t>
      </w:r>
      <w:r w:rsidR="008147DB" w:rsidRPr="00ED24B2">
        <w:t>innisvara korrashoiu pädevust tõ</w:t>
      </w:r>
      <w:r w:rsidRPr="00ED24B2">
        <w:t xml:space="preserve">endavat kutsetunnistust. </w:t>
      </w:r>
    </w:p>
    <w:p w:rsidR="008147DB" w:rsidRPr="00ED24B2" w:rsidRDefault="008147DB" w:rsidP="007D6217">
      <w:r w:rsidRPr="00ED24B2">
        <w:rPr>
          <w:b/>
        </w:rPr>
        <w:t>Probleem</w:t>
      </w:r>
      <w:r w:rsidRPr="00ED24B2">
        <w:t>: Riigi omandis olevate hoonete korrashoiu kvaliteet ei ilmuta paranemise märke, valitsejate huvi panustada korrashoiu</w:t>
      </w:r>
      <w:r w:rsidR="00C178AF" w:rsidRPr="00ED24B2">
        <w:t>tegevustesse näib olevat tagasihoidlik.</w:t>
      </w:r>
      <w:r w:rsidR="00655E30">
        <w:t xml:space="preserve"> </w:t>
      </w:r>
    </w:p>
    <w:p w:rsidR="008147DB" w:rsidRPr="00ED24B2" w:rsidRDefault="008147DB" w:rsidP="007D6217">
      <w:r w:rsidRPr="00ED24B2">
        <w:rPr>
          <w:b/>
        </w:rPr>
        <w:t>Lahendus:</w:t>
      </w:r>
      <w:r w:rsidRPr="00ED24B2">
        <w:t xml:space="preserve"> Muuta riigi hoonete haldamisel kohustus</w:t>
      </w:r>
      <w:r w:rsidR="00503D45" w:rsidRPr="00ED24B2">
        <w:t>likuks</w:t>
      </w:r>
      <w:r w:rsidRPr="00ED24B2">
        <w:t xml:space="preserve"> korrashoiu dokumentatsiooni registreeritus riigi kinnisvararegistris ja kinnisvara korrashoiu kutsetunnistuse olemasolu hoonete eest vastutavatel halduritel. </w:t>
      </w:r>
    </w:p>
    <w:p w:rsidR="004F5682" w:rsidRDefault="007D6217" w:rsidP="004F5682">
      <w:pPr>
        <w:spacing w:before="240"/>
      </w:pPr>
      <w:r>
        <w:t>Üheks r</w:t>
      </w:r>
      <w:r w:rsidR="004F5682">
        <w:t>iigile vajalike hoonete tõhus</w:t>
      </w:r>
      <w:r>
        <w:t>a</w:t>
      </w:r>
      <w:r w:rsidR="004F5682">
        <w:t xml:space="preserve"> arendami</w:t>
      </w:r>
      <w:r>
        <w:t>s</w:t>
      </w:r>
      <w:r w:rsidR="004F5682">
        <w:t>e ja korrashoi</w:t>
      </w:r>
      <w:r w:rsidR="00ED24B2">
        <w:t>u eelduseks on</w:t>
      </w:r>
      <w:r w:rsidR="004F5682">
        <w:t xml:space="preserve"> strateegilise vaate </w:t>
      </w:r>
      <w:r>
        <w:t xml:space="preserve">olemasolu </w:t>
      </w:r>
      <w:r w:rsidR="004F5682">
        <w:t>lähtudes valdkondlikest vajadustest, et määrata kindlaks vajalikud varad ja välistada investeeringud ning kulud varadesse, mis on kavas kasutusest välja jätta. Alles valdkondlike prioriteetide seadmise järel saab hakata planeerima hoonete korrashoidu ja arendusvajadusi, et suunata investeeringute ja remon</w:t>
      </w:r>
      <w:r w:rsidR="00182DD1">
        <w:t>d</w:t>
      </w:r>
      <w:r w:rsidR="004F5682">
        <w:t xml:space="preserve">irahad pikaajaliselt riigi kasutusse jäävatele objektidele. </w:t>
      </w:r>
    </w:p>
    <w:p w:rsidR="004F5682" w:rsidRDefault="004F5682" w:rsidP="004F5682">
      <w:pPr>
        <w:spacing w:before="240"/>
      </w:pPr>
      <w:r>
        <w:t>Siinkohal on eeskujulik</w:t>
      </w:r>
      <w:r w:rsidR="00182DD1">
        <w:t>u</w:t>
      </w:r>
      <w:r>
        <w:t xml:space="preserve">s algatuseks </w:t>
      </w:r>
      <w:r w:rsidRPr="000D7496">
        <w:rPr>
          <w:u w:val="single"/>
        </w:rPr>
        <w:t>Haridus- ja Teadusministeeriumi valminud kinnisvarategevuse strateegia</w:t>
      </w:r>
      <w:r>
        <w:t>, kus on kaardistatud vajalik haridustaristu. Kinnisvarastrateegia on osa elukestva õppe strateegiast, mis on haridusvaldkonna tähtsamaid arenguid suunav dokument, mis on aluseks riigi hariduseelarve valikutele aastatel 2014-2020. Elukestva õppe st</w:t>
      </w:r>
      <w:r w:rsidR="00182DD1">
        <w:t>r</w:t>
      </w:r>
      <w:r>
        <w:t>a</w:t>
      </w:r>
      <w:r w:rsidR="00182DD1">
        <w:t>t</w:t>
      </w:r>
      <w:r>
        <w:t>eegia põhjal töötatakse välja vajalike muutuste saavutamist toetavad programmid eraldi üldhariduse ning kutse- ja kõrghariduse kohta. Põhifookus eeloleval EL rahastamisperioodil on üldharidusel, kus kinnisvaraportfelli optimeerimise vajalikeks tegevusteks gümnaasiumivõrgu korrastamine ning investeeri</w:t>
      </w:r>
      <w:r w:rsidR="00182DD1">
        <w:t>n</w:t>
      </w:r>
      <w:r>
        <w:t>gute kava koostamine gümnaasiumite ja põhikoolide taristu nüüdis</w:t>
      </w:r>
      <w:r w:rsidR="00182DD1">
        <w:t>a</w:t>
      </w:r>
      <w:r>
        <w:t xml:space="preserve">jastamiseks ja </w:t>
      </w:r>
      <w:r w:rsidR="00182DD1">
        <w:t xml:space="preserve">pinnakasutuse optimeerimiseks. </w:t>
      </w:r>
      <w:r>
        <w:t xml:space="preserve">Kutsehariduse ja kõrghariduse taristu on suures osas korrastatud. </w:t>
      </w:r>
    </w:p>
    <w:p w:rsidR="004F5682" w:rsidRDefault="004F5682" w:rsidP="004F5682">
      <w:pPr>
        <w:spacing w:before="240"/>
      </w:pPr>
      <w:r>
        <w:t>Koolivõrgu optimeerimise vajadus tuleneb asjaolust, et Eesti tänane koolivõrk on üles ehitatud ajal, mil aastas sündis 21 000 last. Aastal 2013 sündis Eestis 13 500 last, aastaks 2040 langeb see näitaja prognoosi kohaselt 10 000-11 000 lapseni. Kooliealiste laste arv on viimase 16 aastaga vähenenud umbes 40% võrra ja väheneb veelgi.</w:t>
      </w:r>
    </w:p>
    <w:p w:rsidR="004F5682" w:rsidRDefault="004F5682" w:rsidP="004F5682">
      <w:pPr>
        <w:spacing w:before="240"/>
      </w:pPr>
      <w:r>
        <w:t>Strateegia hõlmab kogu riigi haridustaristut ilma koolieelsete lasteasutusteta suurusega 3,5 miljonit m</w:t>
      </w:r>
      <w:r w:rsidRPr="000D7496">
        <w:t>². S</w:t>
      </w:r>
      <w:r>
        <w:t>ellest riigi omandis on vaid 22% ehk 755 702 m</w:t>
      </w:r>
      <w:r w:rsidRPr="000D7496">
        <w:t xml:space="preserve">², millest enamik (690 752 </w:t>
      </w:r>
      <w:r>
        <w:t>m</w:t>
      </w:r>
      <w:r w:rsidRPr="000D7496">
        <w:t xml:space="preserve">²) </w:t>
      </w:r>
      <w:r w:rsidRPr="00044E9D">
        <w:t xml:space="preserve">on </w:t>
      </w:r>
      <w:r>
        <w:t>HTM</w:t>
      </w:r>
      <w:r w:rsidR="004260E1">
        <w:t>-i</w:t>
      </w:r>
      <w:r>
        <w:t xml:space="preserve"> valitsemisel (27 üldhariduskooli, 30 kutsekooli, 6 rakenduskõrgkooli, 8 muud teadusasutust). Lisaks </w:t>
      </w:r>
      <w:r w:rsidR="004260E1">
        <w:t>kuulvad haridustaristusse üks Ka</w:t>
      </w:r>
      <w:r>
        <w:t>M</w:t>
      </w:r>
      <w:r w:rsidR="004260E1">
        <w:t>-i ja üks Si</w:t>
      </w:r>
      <w:r>
        <w:t>M</w:t>
      </w:r>
      <w:r w:rsidR="004260E1">
        <w:t>-i</w:t>
      </w:r>
      <w:r>
        <w:t xml:space="preserve"> valitsemisel olev kool (Kaitseministeeriumi Ühendatud Õppeasutus ja Sisekait</w:t>
      </w:r>
      <w:r w:rsidR="004260E1">
        <w:t>s</w:t>
      </w:r>
      <w:r>
        <w:t>eakadeemia). HTM-i hinnangul on haridustaristut võimalik vähendada ca 15% võrra ehk 3,0 miljonile m</w:t>
      </w:r>
      <w:r>
        <w:rPr>
          <w:rFonts w:ascii="Times New Roman" w:hAnsi="Times New Roman"/>
        </w:rPr>
        <w:t>²</w:t>
      </w:r>
      <w:r w:rsidR="004260E1">
        <w:rPr>
          <w:rFonts w:ascii="Times New Roman" w:hAnsi="Times New Roman"/>
        </w:rPr>
        <w:t>-le</w:t>
      </w:r>
      <w:r>
        <w:rPr>
          <w:rFonts w:ascii="Times New Roman" w:hAnsi="Times New Roman"/>
        </w:rPr>
        <w:t xml:space="preserve">. </w:t>
      </w:r>
    </w:p>
    <w:p w:rsidR="004F5682" w:rsidRDefault="004F5682" w:rsidP="004F5682">
      <w:pPr>
        <w:spacing w:before="240"/>
      </w:pPr>
      <w:r>
        <w:t xml:space="preserve">Teiseks eeskujulikuks algatuseks on </w:t>
      </w:r>
      <w:r w:rsidRPr="000D7496">
        <w:rPr>
          <w:b/>
        </w:rPr>
        <w:t>Siseministeeriumi ja RKAS-i koostöös koostatud valitsemisala kinnisvaraportfelli optimeerimiskava ja arenduskava.</w:t>
      </w:r>
      <w:r>
        <w:t xml:space="preserve"> Siseministeeriumi hooned on jagatud piirkondlikult gruppidesse ning igas grupis esitatud valdkondlikku tähtsust ja ehitustehnilist seisukorda arvestades investeeringuvajaduste pingerida. RKAS on valitsemisala optimeerimis- ja arenduskavasid ette valmistamas veel Sotsiaal-, Keskkonna- ja Justii</w:t>
      </w:r>
      <w:r w:rsidR="004260E1">
        <w:t>t</w:t>
      </w:r>
      <w:r>
        <w:t>sministeeriumi valitsemisaladele.</w:t>
      </w:r>
    </w:p>
    <w:p w:rsidR="004F5682" w:rsidRDefault="004F5682" w:rsidP="004F5682">
      <w:pPr>
        <w:spacing w:before="240"/>
      </w:pPr>
      <w:r w:rsidRPr="00A23E2C">
        <w:rPr>
          <w:b/>
        </w:rPr>
        <w:t>Probleem</w:t>
      </w:r>
      <w:r>
        <w:t xml:space="preserve">: On väga positiivne, et kaks suurt valitsemisala lähenevad portfelli planeerimisele strateegiliselt. Probleemiks on, et nn „suur pilt“ puudub riigi kui terviku kohta ning lähenemine ei ole metoodiliselt ühtne. </w:t>
      </w:r>
    </w:p>
    <w:p w:rsidR="004F5682" w:rsidRDefault="004F5682" w:rsidP="004F5682">
      <w:pPr>
        <w:spacing w:before="240"/>
      </w:pPr>
      <w:r w:rsidRPr="00D712F8">
        <w:t>HTM-i kinnisvarastrateegia tugeva</w:t>
      </w:r>
      <w:r>
        <w:t>teks</w:t>
      </w:r>
      <w:r w:rsidRPr="00D712F8">
        <w:t xml:space="preserve"> kül</w:t>
      </w:r>
      <w:r>
        <w:t xml:space="preserve">gedeks </w:t>
      </w:r>
      <w:r w:rsidRPr="00D712F8">
        <w:t xml:space="preserve">on </w:t>
      </w:r>
      <w:r>
        <w:t xml:space="preserve">lähtumine </w:t>
      </w:r>
      <w:r w:rsidRPr="00D712F8">
        <w:t>valdkondlikest vajadustest, laiaulatuslikkus (analüüs hõlmab kogu valdkonna tarist</w:t>
      </w:r>
      <w:r>
        <w:t xml:space="preserve">ut </w:t>
      </w:r>
      <w:r w:rsidRPr="00D712F8">
        <w:t>sõltumata</w:t>
      </w:r>
      <w:r>
        <w:t xml:space="preserve"> omandivormist), pinnakasutuse analüüs (võrdlusn</w:t>
      </w:r>
      <w:r w:rsidR="00AF32D6">
        <w:t>äitajaks kulud õpilase kohta), loodud seos</w:t>
      </w:r>
      <w:r>
        <w:t xml:space="preserve">ed rahastamise võimalustega (allikatega). </w:t>
      </w:r>
    </w:p>
    <w:p w:rsidR="004F5682" w:rsidRDefault="00AF32D6" w:rsidP="004F5682">
      <w:pPr>
        <w:spacing w:before="240"/>
      </w:pPr>
      <w:r>
        <w:t>Si</w:t>
      </w:r>
      <w:r w:rsidR="004F5682">
        <w:t>M</w:t>
      </w:r>
      <w:r>
        <w:t>-i arenduskava</w:t>
      </w:r>
      <w:r w:rsidR="004F5682">
        <w:t xml:space="preserve"> tugevaks küljeks on detailne ehitustehniline analüüs ja vajaduste kaardistamine, kuid seosed valdkonnapoliitika ja rahastamise võimaluste kohta jäävad puudulikuks. </w:t>
      </w:r>
    </w:p>
    <w:p w:rsidR="004F5682" w:rsidRDefault="004F5682" w:rsidP="004F5682">
      <w:pPr>
        <w:spacing w:before="240"/>
      </w:pPr>
      <w:r w:rsidRPr="00A23E2C">
        <w:rPr>
          <w:b/>
        </w:rPr>
        <w:t>Lah</w:t>
      </w:r>
      <w:r>
        <w:rPr>
          <w:b/>
        </w:rPr>
        <w:t>e</w:t>
      </w:r>
      <w:r w:rsidRPr="00A23E2C">
        <w:rPr>
          <w:b/>
        </w:rPr>
        <w:t>ndus:</w:t>
      </w:r>
      <w:r>
        <w:t xml:space="preserve"> Luua valdkondlikud kinnisvarastrateegiad, mis oleksid vältimatuks eelduseks investeeringute rahastamise taotluste menetlemisel. Rahandusministeerium peab panustama metoodika ühtlustamisele koostades ühtsed nõuded seoste kohta valdkondlike ar</w:t>
      </w:r>
      <w:r w:rsidR="00AF32D6">
        <w:t>e</w:t>
      </w:r>
      <w:r>
        <w:t>ngukavadega (koostöös RM eelarveosakonnaga) ning luues ühtse riigi hoone andmemudeli (koostöös MKM-i ja RKAS-iga).</w:t>
      </w:r>
      <w:r w:rsidR="00655E30">
        <w:t xml:space="preserve"> </w:t>
      </w:r>
    </w:p>
    <w:p w:rsidR="004F5682" w:rsidRDefault="004F5682" w:rsidP="004F5682">
      <w:pPr>
        <w:pStyle w:val="Pealkiri2"/>
      </w:pPr>
      <w:r w:rsidDel="00C73519">
        <w:t xml:space="preserve"> </w:t>
      </w:r>
      <w:bookmarkStart w:id="388" w:name="_Toc433980736"/>
      <w:r>
        <w:t>Riigi kinnisvaraportfelli optimeerimine ja mittevajalike hoonete müük</w:t>
      </w:r>
      <w:bookmarkEnd w:id="388"/>
    </w:p>
    <w:p w:rsidR="004F5682" w:rsidRDefault="004F5682" w:rsidP="004F5682">
      <w:pPr>
        <w:spacing w:before="240"/>
      </w:pPr>
      <w:r w:rsidRPr="006A7B37">
        <w:rPr>
          <w:b/>
        </w:rPr>
        <w:t>Alus:</w:t>
      </w:r>
      <w:r>
        <w:t xml:space="preserve"> Riigi kinnisvarategevuse strateegia III peaeesmärk, mille kohaselt kasutuseta jäänud riigi kinnisvara suunatakse majanduskäibesse riigile kõige efektiivsemal moel, arvestades riigi kinnisvara arenduse pikaajalist perspektiivi.</w:t>
      </w:r>
    </w:p>
    <w:p w:rsidR="004F5682" w:rsidRDefault="004F5682" w:rsidP="004F5682">
      <w:r w:rsidRPr="006A7B37">
        <w:rPr>
          <w:b/>
        </w:rPr>
        <w:t>Täitmine:</w:t>
      </w:r>
      <w:r>
        <w:t xml:space="preserve"> Eelmises koondaruandes tõdesime, et riigile mittevajalik kinnisvara on RKAS-ile üle antud, kuid andmekorje käigus selgus veel ca 100 000 m</w:t>
      </w:r>
      <w:r>
        <w:rPr>
          <w:rFonts w:ascii="Times New Roman" w:hAnsi="Times New Roman"/>
        </w:rPr>
        <w:t>²</w:t>
      </w:r>
      <w:r>
        <w:t xml:space="preserve"> mittevajalikke omandis olevaid hooneid. Võib arvata, et hooneid jääb ka edaspidi põhitegevuse jaoks mittevajalikuks.</w:t>
      </w:r>
    </w:p>
    <w:p w:rsidR="004F5682" w:rsidRPr="00AC6978" w:rsidRDefault="009B1F17" w:rsidP="004F5682">
      <w:pPr>
        <w:rPr>
          <w:color w:val="000000"/>
        </w:rPr>
      </w:pPr>
      <w:r w:rsidRPr="009B1F17">
        <w:rPr>
          <w:b/>
        </w:rPr>
        <w:t>Mittevajalike varade realiseerimine:</w:t>
      </w:r>
      <w:r>
        <w:rPr>
          <w:color w:val="000000"/>
        </w:rPr>
        <w:t xml:space="preserve"> </w:t>
      </w:r>
      <w:r w:rsidR="004F5682" w:rsidRPr="00AC6978">
        <w:rPr>
          <w:color w:val="000000"/>
        </w:rPr>
        <w:t xml:space="preserve">2014. aasta lõpu seisuga oli RKAS-i müügiportfellis kokku 212 kinnisasja kokku hoonete pinnaga 159 200 m². Korterite osakaal kogu müügiportfellist moodustas 39% (tükiarvuliselt), samas kui soetusmaksumusest moodustasid need ca 13%. Valdav osa kortereid paikneb Eesti väikeasulates, kus korterite hinnad on madalad. </w:t>
      </w:r>
    </w:p>
    <w:p w:rsidR="004F5682" w:rsidRPr="00AC6978" w:rsidRDefault="004F5682" w:rsidP="004F5682">
      <w:pPr>
        <w:rPr>
          <w:color w:val="000000"/>
        </w:rPr>
      </w:pPr>
      <w:r w:rsidRPr="00AC6978">
        <w:rPr>
          <w:color w:val="000000"/>
        </w:rPr>
        <w:t>2013. – 2014. aastal oli RKAS-i prioriteediks realiseerida eelkõige müügiportfellis olevad korterid, vajalikku vara RKAS antud perioodil ei müünud. RKAS-i poolt 2013. ja 2014. aastal müüdud varade nime</w:t>
      </w:r>
      <w:r w:rsidR="00ED24B2">
        <w:rPr>
          <w:color w:val="000000"/>
        </w:rPr>
        <w:t xml:space="preserve">kiri on esitatud aruande </w:t>
      </w:r>
      <w:r w:rsidR="00A85FDC">
        <w:rPr>
          <w:color w:val="000000"/>
        </w:rPr>
        <w:fldChar w:fldCharType="begin"/>
      </w:r>
      <w:r w:rsidR="00ED24B2">
        <w:rPr>
          <w:color w:val="000000"/>
        </w:rPr>
        <w:instrText xml:space="preserve"> REF _Ref427305759 \h </w:instrText>
      </w:r>
      <w:r w:rsidR="00A85FDC">
        <w:rPr>
          <w:color w:val="000000"/>
        </w:rPr>
      </w:r>
      <w:r w:rsidR="00A85FDC">
        <w:rPr>
          <w:color w:val="000000"/>
        </w:rPr>
        <w:fldChar w:fldCharType="separate"/>
      </w:r>
      <w:r w:rsidR="00477322">
        <w:t>Lisa 3. Riigi Kinnisvara AS-i tegevusaruanne 2013-2014</w:t>
      </w:r>
      <w:r w:rsidR="00A85FDC">
        <w:rPr>
          <w:color w:val="000000"/>
        </w:rPr>
        <w:fldChar w:fldCharType="end"/>
      </w:r>
      <w:r w:rsidRPr="00AC6978">
        <w:rPr>
          <w:color w:val="000000"/>
        </w:rPr>
        <w:t xml:space="preserve">. Müügiportfellist annab ülevaate </w:t>
      </w:r>
      <w:fldSimple w:instr=" REF _Ref418014119 \h  \* MERGEFORMAT ">
        <w:r w:rsidR="00477322" w:rsidRPr="00477322">
          <w:rPr>
            <w:color w:val="000000"/>
          </w:rPr>
          <w:t>Tabel 20</w:t>
        </w:r>
      </w:fldSimple>
      <w:r w:rsidRPr="00AC6978">
        <w:rPr>
          <w:color w:val="000000"/>
        </w:rPr>
        <w:t>.</w:t>
      </w:r>
    </w:p>
    <w:p w:rsidR="004F5682" w:rsidRDefault="004F5682" w:rsidP="004F5682">
      <w:pPr>
        <w:pStyle w:val="Caption"/>
      </w:pPr>
      <w:bookmarkStart w:id="389" w:name="_Ref418014119"/>
      <w:r>
        <w:t xml:space="preserve">Tabel </w:t>
      </w:r>
      <w:r w:rsidR="00A85FDC">
        <w:fldChar w:fldCharType="begin"/>
      </w:r>
      <w:r>
        <w:instrText xml:space="preserve"> SEQ Tabel \* ARABIC </w:instrText>
      </w:r>
      <w:r w:rsidR="00A85FDC">
        <w:fldChar w:fldCharType="separate"/>
      </w:r>
      <w:r w:rsidR="00477322">
        <w:rPr>
          <w:noProof/>
        </w:rPr>
        <w:t>20</w:t>
      </w:r>
      <w:r w:rsidR="00A85FDC">
        <w:fldChar w:fldCharType="end"/>
      </w:r>
      <w:bookmarkEnd w:id="389"/>
      <w:r>
        <w:t>.</w:t>
      </w:r>
      <w:r w:rsidRPr="00227A36">
        <w:t xml:space="preserve"> </w:t>
      </w:r>
      <w:r>
        <w:t>RKAS-i müügiportfelli koondülevaade.</w:t>
      </w:r>
    </w:p>
    <w:tbl>
      <w:tblPr>
        <w:tblStyle w:val="GridTable1LightAccent1"/>
        <w:tblW w:w="0" w:type="auto"/>
        <w:tblLook w:val="04A0"/>
      </w:tblPr>
      <w:tblGrid>
        <w:gridCol w:w="764"/>
        <w:gridCol w:w="1457"/>
        <w:gridCol w:w="1418"/>
        <w:gridCol w:w="1257"/>
        <w:gridCol w:w="1582"/>
        <w:gridCol w:w="1297"/>
        <w:gridCol w:w="1467"/>
      </w:tblGrid>
      <w:tr w:rsidR="004F5682" w:rsidRPr="0045410F" w:rsidTr="00725BCB">
        <w:trPr>
          <w:cnfStyle w:val="100000000000"/>
        </w:trPr>
        <w:tc>
          <w:tcPr>
            <w:cnfStyle w:val="001000000000"/>
            <w:tcW w:w="764" w:type="dxa"/>
          </w:tcPr>
          <w:p w:rsidR="004F5682" w:rsidRPr="0045410F" w:rsidRDefault="004F5682" w:rsidP="004F1ED0">
            <w:pPr>
              <w:rPr>
                <w:color w:val="000000"/>
              </w:rPr>
            </w:pPr>
          </w:p>
        </w:tc>
        <w:tc>
          <w:tcPr>
            <w:tcW w:w="1457" w:type="dxa"/>
          </w:tcPr>
          <w:p w:rsidR="004F5682" w:rsidRPr="0045410F" w:rsidRDefault="004F5682" w:rsidP="004F1ED0">
            <w:pPr>
              <w:cnfStyle w:val="100000000000"/>
              <w:rPr>
                <w:color w:val="000000"/>
              </w:rPr>
            </w:pPr>
            <w:r w:rsidRPr="0045410F">
              <w:rPr>
                <w:color w:val="000000"/>
              </w:rPr>
              <w:t>Vara soetus-maksumus (mln, €)</w:t>
            </w:r>
          </w:p>
        </w:tc>
        <w:tc>
          <w:tcPr>
            <w:tcW w:w="1418" w:type="dxa"/>
          </w:tcPr>
          <w:p w:rsidR="004F5682" w:rsidRPr="0045410F" w:rsidRDefault="004F5682" w:rsidP="004F1ED0">
            <w:pPr>
              <w:cnfStyle w:val="100000000000"/>
              <w:rPr>
                <w:color w:val="000000"/>
              </w:rPr>
            </w:pPr>
            <w:r w:rsidRPr="0045410F">
              <w:rPr>
                <w:color w:val="000000"/>
              </w:rPr>
              <w:t>Kinnistute arv (tk)</w:t>
            </w:r>
          </w:p>
        </w:tc>
        <w:tc>
          <w:tcPr>
            <w:tcW w:w="1257" w:type="dxa"/>
          </w:tcPr>
          <w:p w:rsidR="004F5682" w:rsidRPr="0045410F" w:rsidRDefault="004F5682" w:rsidP="004F1ED0">
            <w:pPr>
              <w:cnfStyle w:val="100000000000"/>
              <w:rPr>
                <w:color w:val="000000"/>
              </w:rPr>
            </w:pPr>
            <w:r w:rsidRPr="0045410F">
              <w:rPr>
                <w:color w:val="000000"/>
              </w:rPr>
              <w:t>Suletud netopind (tuh, m²)</w:t>
            </w:r>
          </w:p>
        </w:tc>
        <w:tc>
          <w:tcPr>
            <w:tcW w:w="1582" w:type="dxa"/>
          </w:tcPr>
          <w:p w:rsidR="004F5682" w:rsidRPr="0045410F" w:rsidRDefault="004F5682" w:rsidP="004F1ED0">
            <w:pPr>
              <w:cnfStyle w:val="100000000000"/>
              <w:rPr>
                <w:color w:val="000000"/>
              </w:rPr>
            </w:pPr>
            <w:r w:rsidRPr="0045410F">
              <w:rPr>
                <w:color w:val="000000"/>
              </w:rPr>
              <w:t>Lisandunud pind (tuh, m²)</w:t>
            </w:r>
          </w:p>
        </w:tc>
        <w:tc>
          <w:tcPr>
            <w:tcW w:w="1297" w:type="dxa"/>
          </w:tcPr>
          <w:p w:rsidR="004F5682" w:rsidRPr="0045410F" w:rsidRDefault="004F5682" w:rsidP="004F1ED0">
            <w:pPr>
              <w:cnfStyle w:val="100000000000"/>
              <w:rPr>
                <w:color w:val="000000"/>
              </w:rPr>
            </w:pPr>
            <w:r w:rsidRPr="0045410F">
              <w:rPr>
                <w:color w:val="000000"/>
              </w:rPr>
              <w:t>Müüdud vara suletud netopind (tuh, m²)</w:t>
            </w:r>
          </w:p>
        </w:tc>
        <w:tc>
          <w:tcPr>
            <w:tcW w:w="1467" w:type="dxa"/>
          </w:tcPr>
          <w:p w:rsidR="004F5682" w:rsidRPr="0045410F" w:rsidRDefault="004F5682" w:rsidP="004F1ED0">
            <w:pPr>
              <w:cnfStyle w:val="100000000000"/>
              <w:rPr>
                <w:color w:val="000000"/>
              </w:rPr>
            </w:pPr>
            <w:r w:rsidRPr="0045410F">
              <w:rPr>
                <w:color w:val="000000"/>
              </w:rPr>
              <w:t>Müüdud vara müügihind (mln, €)</w:t>
            </w:r>
          </w:p>
        </w:tc>
      </w:tr>
      <w:tr w:rsidR="004F5682" w:rsidRPr="0045410F" w:rsidTr="00725BCB">
        <w:tc>
          <w:tcPr>
            <w:cnfStyle w:val="001000000000"/>
            <w:tcW w:w="764" w:type="dxa"/>
          </w:tcPr>
          <w:p w:rsidR="004F5682" w:rsidRPr="0045410F" w:rsidRDefault="004F5682" w:rsidP="004F1ED0">
            <w:pPr>
              <w:rPr>
                <w:color w:val="000000"/>
              </w:rPr>
            </w:pPr>
            <w:r w:rsidRPr="0045410F">
              <w:rPr>
                <w:color w:val="000000"/>
              </w:rPr>
              <w:t>2013</w:t>
            </w:r>
          </w:p>
        </w:tc>
        <w:tc>
          <w:tcPr>
            <w:tcW w:w="1457" w:type="dxa"/>
          </w:tcPr>
          <w:p w:rsidR="004F5682" w:rsidRPr="0045410F" w:rsidRDefault="004F5682" w:rsidP="004F1ED0">
            <w:pPr>
              <w:cnfStyle w:val="000000000000"/>
              <w:rPr>
                <w:color w:val="000000"/>
              </w:rPr>
            </w:pPr>
            <w:r w:rsidRPr="0045410F">
              <w:rPr>
                <w:color w:val="000000"/>
              </w:rPr>
              <w:t>12,4</w:t>
            </w:r>
          </w:p>
        </w:tc>
        <w:tc>
          <w:tcPr>
            <w:tcW w:w="1418" w:type="dxa"/>
          </w:tcPr>
          <w:p w:rsidR="004F5682" w:rsidRPr="0045410F" w:rsidRDefault="004F5682" w:rsidP="004F1ED0">
            <w:pPr>
              <w:cnfStyle w:val="000000000000"/>
              <w:rPr>
                <w:color w:val="000000"/>
              </w:rPr>
            </w:pPr>
            <w:r w:rsidRPr="0045410F">
              <w:rPr>
                <w:color w:val="000000"/>
              </w:rPr>
              <w:t>335</w:t>
            </w:r>
          </w:p>
        </w:tc>
        <w:tc>
          <w:tcPr>
            <w:tcW w:w="1257" w:type="dxa"/>
          </w:tcPr>
          <w:p w:rsidR="004F5682" w:rsidRPr="0045410F" w:rsidRDefault="004F5682" w:rsidP="004F1ED0">
            <w:pPr>
              <w:cnfStyle w:val="000000000000"/>
              <w:rPr>
                <w:color w:val="000000"/>
              </w:rPr>
            </w:pPr>
            <w:r w:rsidRPr="0045410F">
              <w:rPr>
                <w:color w:val="000000"/>
              </w:rPr>
              <w:t>154,2</w:t>
            </w:r>
          </w:p>
        </w:tc>
        <w:tc>
          <w:tcPr>
            <w:tcW w:w="1582" w:type="dxa"/>
          </w:tcPr>
          <w:p w:rsidR="004F5682" w:rsidRPr="0045410F" w:rsidRDefault="004F5682" w:rsidP="004F1ED0">
            <w:pPr>
              <w:cnfStyle w:val="000000000000"/>
              <w:rPr>
                <w:color w:val="000000"/>
              </w:rPr>
            </w:pPr>
            <w:r w:rsidRPr="0045410F">
              <w:rPr>
                <w:color w:val="000000"/>
              </w:rPr>
              <w:t>49,1</w:t>
            </w:r>
          </w:p>
        </w:tc>
        <w:tc>
          <w:tcPr>
            <w:tcW w:w="1297" w:type="dxa"/>
          </w:tcPr>
          <w:p w:rsidR="004F5682" w:rsidRPr="0045410F" w:rsidRDefault="004F5682" w:rsidP="004F1ED0">
            <w:pPr>
              <w:cnfStyle w:val="000000000000"/>
              <w:rPr>
                <w:color w:val="000000"/>
              </w:rPr>
            </w:pPr>
            <w:r w:rsidRPr="0045410F">
              <w:rPr>
                <w:color w:val="000000"/>
              </w:rPr>
              <w:t>55,5</w:t>
            </w:r>
          </w:p>
        </w:tc>
        <w:tc>
          <w:tcPr>
            <w:tcW w:w="1467" w:type="dxa"/>
          </w:tcPr>
          <w:p w:rsidR="004F5682" w:rsidRPr="0045410F" w:rsidRDefault="004F5682" w:rsidP="004F1ED0">
            <w:pPr>
              <w:cnfStyle w:val="000000000000"/>
              <w:rPr>
                <w:color w:val="000000"/>
              </w:rPr>
            </w:pPr>
            <w:r w:rsidRPr="0045410F">
              <w:rPr>
                <w:color w:val="000000"/>
              </w:rPr>
              <w:t>4,9</w:t>
            </w:r>
          </w:p>
        </w:tc>
      </w:tr>
      <w:tr w:rsidR="004F5682" w:rsidRPr="0045410F" w:rsidTr="00725BCB">
        <w:tc>
          <w:tcPr>
            <w:cnfStyle w:val="001000000000"/>
            <w:tcW w:w="764" w:type="dxa"/>
          </w:tcPr>
          <w:p w:rsidR="004F5682" w:rsidRPr="0045410F" w:rsidRDefault="004F5682" w:rsidP="004F1ED0">
            <w:pPr>
              <w:rPr>
                <w:color w:val="000000"/>
              </w:rPr>
            </w:pPr>
            <w:r w:rsidRPr="0045410F">
              <w:rPr>
                <w:color w:val="000000"/>
              </w:rPr>
              <w:t>2014</w:t>
            </w:r>
          </w:p>
        </w:tc>
        <w:tc>
          <w:tcPr>
            <w:tcW w:w="1457" w:type="dxa"/>
          </w:tcPr>
          <w:p w:rsidR="004F5682" w:rsidRPr="0045410F" w:rsidRDefault="004F5682" w:rsidP="004F1ED0">
            <w:pPr>
              <w:cnfStyle w:val="000000000000"/>
              <w:rPr>
                <w:color w:val="000000"/>
              </w:rPr>
            </w:pPr>
            <w:r w:rsidRPr="0045410F">
              <w:rPr>
                <w:color w:val="000000"/>
              </w:rPr>
              <w:t>12,6</w:t>
            </w:r>
          </w:p>
        </w:tc>
        <w:tc>
          <w:tcPr>
            <w:tcW w:w="1418" w:type="dxa"/>
          </w:tcPr>
          <w:p w:rsidR="004F5682" w:rsidRPr="0045410F" w:rsidRDefault="004F5682" w:rsidP="004F1ED0">
            <w:pPr>
              <w:cnfStyle w:val="000000000000"/>
              <w:rPr>
                <w:color w:val="000000"/>
              </w:rPr>
            </w:pPr>
            <w:r w:rsidRPr="0045410F">
              <w:rPr>
                <w:color w:val="000000"/>
              </w:rPr>
              <w:t>212</w:t>
            </w:r>
          </w:p>
        </w:tc>
        <w:tc>
          <w:tcPr>
            <w:tcW w:w="1257" w:type="dxa"/>
          </w:tcPr>
          <w:p w:rsidR="004F5682" w:rsidRPr="0045410F" w:rsidRDefault="004F5682" w:rsidP="004F1ED0">
            <w:pPr>
              <w:cnfStyle w:val="000000000000"/>
              <w:rPr>
                <w:color w:val="000000"/>
              </w:rPr>
            </w:pPr>
            <w:r w:rsidRPr="0045410F">
              <w:rPr>
                <w:color w:val="000000"/>
              </w:rPr>
              <w:t>159,2</w:t>
            </w:r>
          </w:p>
        </w:tc>
        <w:tc>
          <w:tcPr>
            <w:tcW w:w="1582" w:type="dxa"/>
          </w:tcPr>
          <w:p w:rsidR="004F5682" w:rsidRPr="0045410F" w:rsidRDefault="004F5682" w:rsidP="004F1ED0">
            <w:pPr>
              <w:cnfStyle w:val="000000000000"/>
              <w:rPr>
                <w:color w:val="000000"/>
              </w:rPr>
            </w:pPr>
            <w:r w:rsidRPr="0045410F">
              <w:rPr>
                <w:color w:val="000000"/>
              </w:rPr>
              <w:t>33,0</w:t>
            </w:r>
          </w:p>
        </w:tc>
        <w:tc>
          <w:tcPr>
            <w:tcW w:w="1297" w:type="dxa"/>
          </w:tcPr>
          <w:p w:rsidR="004F5682" w:rsidRPr="0045410F" w:rsidRDefault="004F5682" w:rsidP="004F1ED0">
            <w:pPr>
              <w:cnfStyle w:val="000000000000"/>
              <w:rPr>
                <w:color w:val="000000"/>
              </w:rPr>
            </w:pPr>
            <w:r w:rsidRPr="0045410F">
              <w:rPr>
                <w:color w:val="000000"/>
              </w:rPr>
              <w:t>28,4</w:t>
            </w:r>
          </w:p>
        </w:tc>
        <w:tc>
          <w:tcPr>
            <w:tcW w:w="1467" w:type="dxa"/>
          </w:tcPr>
          <w:p w:rsidR="004F5682" w:rsidRPr="0045410F" w:rsidRDefault="004F5682" w:rsidP="004F1ED0">
            <w:pPr>
              <w:cnfStyle w:val="000000000000"/>
              <w:rPr>
                <w:color w:val="000000"/>
              </w:rPr>
            </w:pPr>
            <w:r w:rsidRPr="0045410F">
              <w:rPr>
                <w:color w:val="000000"/>
              </w:rPr>
              <w:t>3,47</w:t>
            </w:r>
          </w:p>
        </w:tc>
      </w:tr>
    </w:tbl>
    <w:p w:rsidR="00725BCB" w:rsidRPr="004F296D" w:rsidRDefault="00725BCB" w:rsidP="00725BCB">
      <w:r>
        <w:t>Optimeerimine on r</w:t>
      </w:r>
      <w:r w:rsidRPr="004F296D">
        <w:t>iigi hoone</w:t>
      </w:r>
      <w:r>
        <w:t xml:space="preserve">statud kinnisvarareformi ja </w:t>
      </w:r>
      <w:r w:rsidRPr="004F296D">
        <w:t>investeeringuotsuste tegemi</w:t>
      </w:r>
      <w:r>
        <w:t>se üks sõlmküsimusi. Investeeringuotsuste tegemine eelarve</w:t>
      </w:r>
      <w:r w:rsidR="00313B01">
        <w:t>s peab</w:t>
      </w:r>
      <w:r>
        <w:t xml:space="preserve"> </w:t>
      </w:r>
      <w:r w:rsidRPr="004F296D">
        <w:t>lähtu</w:t>
      </w:r>
      <w:r w:rsidR="00313B01">
        <w:t>ma</w:t>
      </w:r>
      <w:r w:rsidRPr="004F296D">
        <w:t xml:space="preserve"> nn TOI-strateegiast, mis tähendab:</w:t>
      </w:r>
    </w:p>
    <w:p w:rsidR="00725BCB" w:rsidRPr="004F296D" w:rsidRDefault="00725BCB" w:rsidP="00725BCB">
      <w:pPr>
        <w:pStyle w:val="ListParagraph"/>
      </w:pPr>
      <w:r w:rsidRPr="004F296D">
        <w:t>T = Tsentraliseerimine – hooned ja neid puudutav informatsioon koondatakse RKAS</w:t>
      </w:r>
      <w:r>
        <w:t>-</w:t>
      </w:r>
      <w:r w:rsidRPr="004F296D">
        <w:t>i.</w:t>
      </w:r>
    </w:p>
    <w:p w:rsidR="00725BCB" w:rsidRDefault="00725BCB" w:rsidP="00725BCB">
      <w:pPr>
        <w:pStyle w:val="ListParagraph"/>
      </w:pPr>
      <w:r w:rsidRPr="004F296D">
        <w:t>O = Optimeerimine - optimeeritakse pinnakasutus, mille eelduseks on valdkondlikest arengukavadest tulenevate vajaduste täpsustamine ruume kasutavate asutuste poolt ja portfellis olevate hoonete analüüs RKAS-i poolt, tulemusena valmivad valitsemisalade optimeerimiskavad ja kinnisvaraportfelli arenduskavad, mis on aluseks investeeringute planeerimisel. Valitsemisalade ülene optimeerimise efekt on suurim büroode puhul, eelkõige</w:t>
      </w:r>
      <w:r>
        <w:t xml:space="preserve"> maakonna keskustes, kus on võimlaik luua sünergiat avalike teenuste pakkumises laiemalt teiste avaliku sektori üksustega.</w:t>
      </w:r>
    </w:p>
    <w:p w:rsidR="00725BCB" w:rsidRDefault="00725BCB" w:rsidP="00725BCB">
      <w:pPr>
        <w:pStyle w:val="ListParagraph"/>
      </w:pPr>
      <w:r>
        <w:t xml:space="preserve">I = Investeerimine - investeerimisotsuste tegemine lähtudes valitsemisalade valdkondlikust prioriteetsusest ja ehitustehnilisest kriitilisusest, aluseks valitsemisalade optimeerimiskavad ja kinnisvaraportfelli arenduskavad, rahastamisvõimaluste pikaajaline ja keskne planeerimine. </w:t>
      </w:r>
    </w:p>
    <w:p w:rsidR="00725BCB" w:rsidRDefault="00725BCB" w:rsidP="00725BCB">
      <w:pPr>
        <w:pStyle w:val="Loend1"/>
        <w:numPr>
          <w:ilvl w:val="0"/>
          <w:numId w:val="0"/>
        </w:numPr>
      </w:pPr>
      <w:r w:rsidRPr="00171A6F">
        <w:rPr>
          <w:noProof/>
          <w:lang w:eastAsia="et-EE"/>
        </w:rPr>
        <w:drawing>
          <wp:inline distT="0" distB="0" distL="0" distR="0">
            <wp:extent cx="5951444" cy="3250346"/>
            <wp:effectExtent l="19050" t="0" r="0" b="0"/>
            <wp:docPr id="4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5098052"/>
                      <a:chOff x="539552" y="1412776"/>
                      <a:chExt cx="8424936" cy="5098052"/>
                    </a:xfrm>
                  </a:grpSpPr>
                  <a:graphicFrame>
                    <a:nvGraphicFramePr>
                      <a:cNvPr id="4" name="Content Placeholder 3"/>
                      <a:cNvGraphicFramePr>
                        <a:graphicFrameLocks noGrp="1"/>
                      </a:cNvGraphicFramePr>
                    </a:nvGraphicFramePr>
                    <a:graphic>
                      <a:graphicData uri="http://schemas.openxmlformats.org/drawingml/2006/diagram">
                        <dgm:relIds xmlns:dgm="http://schemas.openxmlformats.org/drawingml/2006/diagram" xmlns:r="http://schemas.openxmlformats.org/officeDocument/2006/relationships" r:dm="rId44" r:lo="rId45" r:qs="rId46" r:cs="rId47"/>
                      </a:graphicData>
                    </a:graphic>
                    <a:xfrm>
                      <a:off x="539552" y="1412776"/>
                      <a:ext cx="8352928" cy="2736304"/>
                    </a:xfrm>
                  </a:graphicFrame>
                  <a:sp>
                    <a:nvSpPr>
                      <a:cNvPr id="5" name="Down Arrow 4"/>
                      <a:cNvSpPr/>
                    </a:nvSpPr>
                    <a:spPr>
                      <a:xfrm rot="10800000">
                        <a:off x="1547664" y="4077121"/>
                        <a:ext cx="484188" cy="977900"/>
                      </a:xfrm>
                      <a:prstGeom prst="downArrow">
                        <a:avLst/>
                      </a:prstGeom>
                      <a:solidFill>
                        <a:srgbClr val="FF0000"/>
                      </a:solidFill>
                    </a:spPr>
                    <a:txSp>
                      <a:txBody>
                        <a:bodyPr anchor="ctr"/>
                        <a:lstStyle>
                          <a:defPPr>
                            <a:defRPr lang="et-EE"/>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t-EE"/>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Box 8"/>
                      <a:cNvSpPr txBox="1">
                        <a:spLocks noChangeArrowheads="1"/>
                      </a:cNvSpPr>
                    </a:nvSpPr>
                    <a:spPr bwMode="auto">
                      <a:xfrm>
                        <a:off x="683568" y="5085184"/>
                        <a:ext cx="2232248" cy="830997"/>
                      </a:xfrm>
                      <a:prstGeom prst="rect">
                        <a:avLst/>
                      </a:prstGeom>
                      <a:noFill/>
                      <a:ln w="9525">
                        <a:noFill/>
                        <a:miter lim="800000"/>
                        <a:headEnd/>
                        <a:tailEnd/>
                      </a:ln>
                    </a:spPr>
                    <a:txSp>
                      <a:txBody>
                        <a:bodyPr wrap="square">
                          <a:spAutoFit/>
                        </a:bodyPr>
                        <a:lstStyle>
                          <a:defPPr>
                            <a:defRPr lang="et-EE"/>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buFont typeface="Arial" pitchFamily="34" charset="0"/>
                            <a:buChar char="•"/>
                          </a:pPr>
                          <a:r>
                            <a:rPr lang="et-EE" sz="1600" dirty="0" smtClean="0">
                              <a:solidFill>
                                <a:srgbClr val="FF0000"/>
                              </a:solidFill>
                              <a:latin typeface="Georgia" pitchFamily="18" charset="0"/>
                            </a:rPr>
                            <a:t> varade üleandmine  </a:t>
                          </a:r>
                        </a:p>
                        <a:p>
                          <a:pPr>
                            <a:buFont typeface="Arial" pitchFamily="34" charset="0"/>
                            <a:buChar char="•"/>
                          </a:pPr>
                          <a:r>
                            <a:rPr lang="et-EE" sz="1600" dirty="0" smtClean="0">
                              <a:solidFill>
                                <a:srgbClr val="FF0000"/>
                              </a:solidFill>
                              <a:latin typeface="Georgia" pitchFamily="18" charset="0"/>
                            </a:rPr>
                            <a:t> info ja aruandluse  parandamine</a:t>
                          </a:r>
                        </a:p>
                      </a:txBody>
                      <a:useSpRect/>
                    </a:txSp>
                  </a:sp>
                  <a:sp>
                    <a:nvSpPr>
                      <a:cNvPr id="8" name="Down Arrow 7"/>
                      <a:cNvSpPr/>
                    </a:nvSpPr>
                    <a:spPr>
                      <a:xfrm rot="10800000">
                        <a:off x="4499992" y="4005113"/>
                        <a:ext cx="484188" cy="977900"/>
                      </a:xfrm>
                      <a:prstGeom prst="downArrow">
                        <a:avLst/>
                      </a:prstGeom>
                      <a:solidFill>
                        <a:srgbClr val="FF0000"/>
                      </a:solidFill>
                    </a:spPr>
                    <a:txSp>
                      <a:txBody>
                        <a:bodyPr anchor="ctr"/>
                        <a:lstStyle>
                          <a:defPPr>
                            <a:defRPr lang="et-EE"/>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t-EE"/>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spLocks noChangeArrowheads="1"/>
                      </a:cNvSpPr>
                    </a:nvSpPr>
                    <a:spPr bwMode="auto">
                      <a:xfrm>
                        <a:off x="3635896" y="4941168"/>
                        <a:ext cx="2304256" cy="1569660"/>
                      </a:xfrm>
                      <a:prstGeom prst="rect">
                        <a:avLst/>
                      </a:prstGeom>
                      <a:noFill/>
                      <a:ln w="9525">
                        <a:noFill/>
                        <a:miter lim="800000"/>
                        <a:headEnd/>
                        <a:tailEnd/>
                      </a:ln>
                    </a:spPr>
                    <a:txSp>
                      <a:txBody>
                        <a:bodyPr wrap="square">
                          <a:spAutoFit/>
                        </a:bodyPr>
                        <a:lstStyle>
                          <a:defPPr>
                            <a:defRPr lang="et-EE"/>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buFont typeface="Arial" pitchFamily="34" charset="0"/>
                            <a:buChar char="•"/>
                          </a:pPr>
                          <a:r>
                            <a:rPr lang="et-EE" sz="1600" dirty="0" smtClean="0">
                              <a:solidFill>
                                <a:srgbClr val="FF0000"/>
                              </a:solidFill>
                              <a:latin typeface="Georgia" pitchFamily="18" charset="0"/>
                            </a:rPr>
                            <a:t> optimeerimiskavad</a:t>
                          </a:r>
                        </a:p>
                        <a:p>
                          <a:pPr>
                            <a:buFont typeface="Arial" pitchFamily="34" charset="0"/>
                            <a:buChar char="•"/>
                          </a:pPr>
                          <a:r>
                            <a:rPr lang="et-EE" sz="1600" dirty="0" smtClean="0">
                              <a:solidFill>
                                <a:srgbClr val="FF0000"/>
                              </a:solidFill>
                              <a:latin typeface="Georgia" pitchFamily="18" charset="0"/>
                            </a:rPr>
                            <a:t> büroo töökoha standard </a:t>
                          </a:r>
                        </a:p>
                        <a:p>
                          <a:pPr>
                            <a:buFont typeface="Arial" pitchFamily="34" charset="0"/>
                            <a:buChar char="•"/>
                          </a:pPr>
                          <a:r>
                            <a:rPr lang="et-EE" sz="1600" dirty="0" smtClean="0">
                              <a:solidFill>
                                <a:srgbClr val="FF0000"/>
                              </a:solidFill>
                              <a:latin typeface="Georgia" pitchFamily="18" charset="0"/>
                            </a:rPr>
                            <a:t> motivatsioonipakett </a:t>
                          </a:r>
                        </a:p>
                        <a:p>
                          <a:pPr>
                            <a:buFont typeface="Arial" pitchFamily="34" charset="0"/>
                            <a:buChar char="•"/>
                          </a:pPr>
                          <a:r>
                            <a:rPr lang="et-EE" sz="1600" dirty="0" smtClean="0">
                              <a:solidFill>
                                <a:srgbClr val="FF0000"/>
                              </a:solidFill>
                              <a:latin typeface="Georgia" pitchFamily="18" charset="0"/>
                            </a:rPr>
                            <a:t> keskne koordineerimine</a:t>
                          </a:r>
                        </a:p>
                      </a:txBody>
                      <a:useSpRect/>
                    </a:txSp>
                  </a:sp>
                  <a:sp>
                    <a:nvSpPr>
                      <a:cNvPr id="10" name="Down Arrow 9"/>
                      <a:cNvSpPr/>
                    </a:nvSpPr>
                    <a:spPr>
                      <a:xfrm rot="10800000">
                        <a:off x="7308304" y="4005064"/>
                        <a:ext cx="484188" cy="977900"/>
                      </a:xfrm>
                      <a:prstGeom prst="downArrow">
                        <a:avLst/>
                      </a:prstGeom>
                      <a:solidFill>
                        <a:srgbClr val="FF0000"/>
                      </a:solidFill>
                    </a:spPr>
                    <a:txSp>
                      <a:txBody>
                        <a:bodyPr anchor="ctr"/>
                        <a:lstStyle>
                          <a:defPPr>
                            <a:defRPr lang="et-EE"/>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endParaRPr lang="et-EE"/>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TextBox 10"/>
                      <a:cNvSpPr txBox="1">
                        <a:spLocks noChangeArrowheads="1"/>
                      </a:cNvSpPr>
                    </a:nvSpPr>
                    <a:spPr bwMode="auto">
                      <a:xfrm>
                        <a:off x="6732240" y="5013176"/>
                        <a:ext cx="2232248" cy="1077218"/>
                      </a:xfrm>
                      <a:prstGeom prst="rect">
                        <a:avLst/>
                      </a:prstGeom>
                      <a:noFill/>
                      <a:ln w="9525">
                        <a:noFill/>
                        <a:miter lim="800000"/>
                        <a:headEnd/>
                        <a:tailEnd/>
                      </a:ln>
                    </a:spPr>
                    <a:txSp>
                      <a:txBody>
                        <a:bodyPr wrap="square">
                          <a:spAutoFit/>
                        </a:bodyPr>
                        <a:lstStyle>
                          <a:defPPr>
                            <a:defRPr lang="et-EE"/>
                          </a:defPPr>
                          <a:lvl1pPr algn="l" rtl="0" fontAlgn="base">
                            <a:spcBef>
                              <a:spcPct val="0"/>
                            </a:spcBef>
                            <a:spcAft>
                              <a:spcPct val="0"/>
                            </a:spcAft>
                            <a:defRPr kern="1200">
                              <a:solidFill>
                                <a:schemeClr val="tx1"/>
                              </a:solidFill>
                              <a:latin typeface="Arial" pitchFamily="34" charset="0"/>
                              <a:ea typeface="+mn-ea"/>
                              <a:cs typeface="Arial" pitchFamily="34" charset="0"/>
                            </a:defRPr>
                          </a:lvl1pPr>
                          <a:lvl2pPr marL="457200" algn="l" rtl="0" fontAlgn="base">
                            <a:spcBef>
                              <a:spcPct val="0"/>
                            </a:spcBef>
                            <a:spcAft>
                              <a:spcPct val="0"/>
                            </a:spcAft>
                            <a:defRPr kern="1200">
                              <a:solidFill>
                                <a:schemeClr val="tx1"/>
                              </a:solidFill>
                              <a:latin typeface="Arial" pitchFamily="34" charset="0"/>
                              <a:ea typeface="+mn-ea"/>
                              <a:cs typeface="Arial" pitchFamily="34" charset="0"/>
                            </a:defRPr>
                          </a:lvl2pPr>
                          <a:lvl3pPr marL="914400" algn="l"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buFont typeface="Arial" pitchFamily="34" charset="0"/>
                            <a:buChar char="•"/>
                          </a:pPr>
                          <a:r>
                            <a:rPr lang="et-EE" sz="1600" dirty="0" smtClean="0">
                              <a:solidFill>
                                <a:srgbClr val="FF0000"/>
                              </a:solidFill>
                              <a:latin typeface="Georgia" pitchFamily="18" charset="0"/>
                            </a:rPr>
                            <a:t> põhjendatud eelarveotsused</a:t>
                          </a:r>
                        </a:p>
                        <a:p>
                          <a:endParaRPr lang="et-EE" sz="1600" dirty="0" smtClean="0">
                            <a:solidFill>
                              <a:srgbClr val="FF0000"/>
                            </a:solidFill>
                            <a:latin typeface="Georgia" pitchFamily="18" charset="0"/>
                          </a:endParaRPr>
                        </a:p>
                        <a:p>
                          <a:endParaRPr lang="et-EE" sz="1600" dirty="0" smtClean="0">
                            <a:solidFill>
                              <a:srgbClr val="FF0000"/>
                            </a:solidFill>
                            <a:latin typeface="Georgia" pitchFamily="18" charset="0"/>
                          </a:endParaRPr>
                        </a:p>
                      </a:txBody>
                      <a:useSpRect/>
                    </a:txSp>
                  </a:sp>
                </lc:lockedCanvas>
              </a:graphicData>
            </a:graphic>
          </wp:inline>
        </w:drawing>
      </w:r>
    </w:p>
    <w:p w:rsidR="00725BCB" w:rsidRDefault="00725BCB" w:rsidP="00501C45"/>
    <w:p w:rsidR="000E59B3" w:rsidRPr="008147DB" w:rsidRDefault="00725BCB" w:rsidP="00501C45">
      <w:r w:rsidRPr="008147DB">
        <w:rPr>
          <w:b/>
        </w:rPr>
        <w:t>Probleem:</w:t>
      </w:r>
      <w:r w:rsidRPr="008147DB">
        <w:t xml:space="preserve"> </w:t>
      </w:r>
      <w:r w:rsidR="000E59B3" w:rsidRPr="008147DB">
        <w:t xml:space="preserve">Optimeerimiseks vajalikud eeldused puuduvad: </w:t>
      </w:r>
    </w:p>
    <w:p w:rsidR="000E59B3" w:rsidRPr="008147DB" w:rsidRDefault="000E59B3" w:rsidP="00501C45">
      <w:r w:rsidRPr="008147DB">
        <w:t xml:space="preserve">Kuna </w:t>
      </w:r>
      <w:r w:rsidR="00725BCB" w:rsidRPr="008147DB">
        <w:t>T elluviimine ehk hoonete üleandmine ei ole realiseerunud ootuspäraselt, siis ei saa realiseerida</w:t>
      </w:r>
      <w:r w:rsidRPr="008147DB">
        <w:t xml:space="preserve"> </w:t>
      </w:r>
      <w:r w:rsidR="00725BCB" w:rsidRPr="008147DB">
        <w:t xml:space="preserve">ka O ega I. </w:t>
      </w:r>
    </w:p>
    <w:p w:rsidR="00725BCB" w:rsidRPr="008147DB" w:rsidRDefault="000E59B3" w:rsidP="00501C45">
      <w:r w:rsidRPr="008147DB">
        <w:t>O</w:t>
      </w:r>
      <w:r w:rsidR="00725BCB" w:rsidRPr="008147DB">
        <w:t>ptimeerimiskava</w:t>
      </w:r>
      <w:r w:rsidRPr="008147DB">
        <w:t xml:space="preserve">de koostamiseks on </w:t>
      </w:r>
      <w:r w:rsidR="00725BCB" w:rsidRPr="008147DB">
        <w:t xml:space="preserve">vaja kahte sisendit: </w:t>
      </w:r>
    </w:p>
    <w:p w:rsidR="00725BCB" w:rsidRPr="008147DB" w:rsidRDefault="000E59B3" w:rsidP="00501C45">
      <w:pPr>
        <w:pStyle w:val="Loend1"/>
      </w:pPr>
      <w:r w:rsidRPr="008147DB">
        <w:t>Ülevaade h</w:t>
      </w:r>
      <w:r w:rsidR="00725BCB" w:rsidRPr="008147DB">
        <w:t>oonete kasutamise vajadus</w:t>
      </w:r>
      <w:r w:rsidRPr="008147DB">
        <w:t>test, mis on koostatud l</w:t>
      </w:r>
      <w:r w:rsidR="00725BCB" w:rsidRPr="008147DB">
        <w:t xml:space="preserve">ähtudes </w:t>
      </w:r>
      <w:r w:rsidRPr="008147DB">
        <w:t xml:space="preserve">valdkondade ja </w:t>
      </w:r>
      <w:r w:rsidR="00725BCB" w:rsidRPr="008147DB">
        <w:t>asutuste strateegilistest</w:t>
      </w:r>
      <w:r w:rsidRPr="008147DB">
        <w:t xml:space="preserve"> vajadustest.</w:t>
      </w:r>
    </w:p>
    <w:p w:rsidR="00725BCB" w:rsidRPr="008147DB" w:rsidRDefault="000E59B3" w:rsidP="00501C45">
      <w:pPr>
        <w:pStyle w:val="Loend1"/>
      </w:pPr>
      <w:r w:rsidRPr="008147DB">
        <w:t xml:space="preserve">Ülevaade hoonetest nende tehnilisest seisundist, investeeringuvajadustest, kasutusest ja kuludest, mis on otstarbekas koostada andmete korrastamise käigus. </w:t>
      </w:r>
    </w:p>
    <w:p w:rsidR="00725BCB" w:rsidRPr="008147DB" w:rsidRDefault="00725BCB" w:rsidP="00725BCB">
      <w:r w:rsidRPr="008147DB">
        <w:rPr>
          <w:b/>
        </w:rPr>
        <w:t xml:space="preserve">Lahendus: </w:t>
      </w:r>
      <w:r w:rsidR="000E59B3" w:rsidRPr="008147DB">
        <w:t xml:space="preserve">Alustada optimeerimisega selliselt, et esimeses etapis optimeeritakse nende hoonete kasutus, kus on olemas riigiülene optimeerimise potentsiaal (eelkõige bürood). Valdkondlik optimeerimine </w:t>
      </w:r>
      <w:r w:rsidR="004D0BF3" w:rsidRPr="008147DB">
        <w:t xml:space="preserve">toimub vastavalt valdkonna strateegiate valmimisele ja kinnisvara kasutamise vajaduste kaardistamisele. </w:t>
      </w:r>
    </w:p>
    <w:p w:rsidR="004F5682" w:rsidRDefault="004F5682" w:rsidP="004F5682">
      <w:pPr>
        <w:pStyle w:val="Pealkiri2"/>
      </w:pPr>
      <w:bookmarkStart w:id="390" w:name="_Toc433980737"/>
      <w:r>
        <w:t>Riigi kinnisvaraportfelli juhtimissüsteemi loomine.</w:t>
      </w:r>
      <w:bookmarkEnd w:id="390"/>
    </w:p>
    <w:p w:rsidR="004F5682" w:rsidRDefault="004F5682" w:rsidP="004F5682">
      <w:pPr>
        <w:spacing w:before="240"/>
      </w:pPr>
      <w:r w:rsidRPr="006A7B37">
        <w:rPr>
          <w:b/>
        </w:rPr>
        <w:t>Alus:</w:t>
      </w:r>
      <w:r>
        <w:t xml:space="preserve"> Riigi kinnisvarategevuse strateegia IV peaeesmärk, millekohaselt riigi funktsioonide täitmiseks on loodud vajaliku kinnisvara arendustegevuse, haldamise ja korrashoiu kompleksne ja koordineeritud juhtimine ning selleks vajalikud organisatsioonilised alused, õiguslikud regulatsioonid, infosüsteemid ja motivatsioonimehhanismid.</w:t>
      </w:r>
    </w:p>
    <w:p w:rsidR="004B026D" w:rsidRDefault="004B026D" w:rsidP="004B026D">
      <w:r>
        <w:t xml:space="preserve">Riigi kinnisvarakeskkonna juhtimissüsteem on omavahel integreeritud </w:t>
      </w:r>
      <w:r w:rsidRPr="004B026D">
        <w:rPr>
          <w:b/>
        </w:rPr>
        <w:t>protsesside</w:t>
      </w:r>
      <w:r>
        <w:t xml:space="preserve"> ja </w:t>
      </w:r>
      <w:r w:rsidRPr="008147DB">
        <w:rPr>
          <w:b/>
        </w:rPr>
        <w:t>tööriistade</w:t>
      </w:r>
      <w:r>
        <w:t xml:space="preserve"> kogum mida asutus kasutab selleks, et: </w:t>
      </w:r>
    </w:p>
    <w:p w:rsidR="004B026D" w:rsidRDefault="004B026D" w:rsidP="002F4A30">
      <w:pPr>
        <w:pStyle w:val="ListParagraph"/>
        <w:numPr>
          <w:ilvl w:val="0"/>
          <w:numId w:val="33"/>
        </w:numPr>
        <w:spacing w:after="0"/>
        <w:contextualSpacing/>
      </w:pPr>
      <w:r>
        <w:t xml:space="preserve">Kujundada kinnisvarategevuste strateegia, </w:t>
      </w:r>
    </w:p>
    <w:p w:rsidR="004B026D" w:rsidRDefault="004B026D" w:rsidP="002F4A30">
      <w:pPr>
        <w:pStyle w:val="ListParagraph"/>
        <w:numPr>
          <w:ilvl w:val="0"/>
          <w:numId w:val="33"/>
        </w:numPr>
        <w:spacing w:after="0"/>
        <w:contextualSpacing/>
      </w:pPr>
      <w:r>
        <w:t>Luua kinnisvarategevuste strateegiast operatiivprotsesse (strateegilist vajaduste tõlkimine operatiivprotsessideks ja nende protsesside läbiviimine)</w:t>
      </w:r>
    </w:p>
    <w:p w:rsidR="004B026D" w:rsidRDefault="004B026D" w:rsidP="002F4A30">
      <w:pPr>
        <w:pStyle w:val="ListParagraph"/>
        <w:numPr>
          <w:ilvl w:val="0"/>
          <w:numId w:val="33"/>
        </w:numPr>
        <w:spacing w:after="0"/>
        <w:contextualSpacing/>
      </w:pPr>
      <w:r>
        <w:t>Tagada strateegia ja operatiivprotsesside kontrollimine ja nende pidev täiustamine</w:t>
      </w:r>
    </w:p>
    <w:p w:rsidR="004B026D" w:rsidRPr="00BD65AB" w:rsidRDefault="004D0BF3" w:rsidP="004D0BF3">
      <w:r w:rsidRPr="006A7B37">
        <w:rPr>
          <w:b/>
        </w:rPr>
        <w:t>Täitmine:</w:t>
      </w:r>
      <w:r>
        <w:rPr>
          <w:b/>
        </w:rPr>
        <w:t xml:space="preserve"> </w:t>
      </w:r>
      <w:r>
        <w:t>Loodud on:</w:t>
      </w:r>
    </w:p>
    <w:p w:rsidR="004B026D" w:rsidRDefault="004B026D" w:rsidP="002F4A30">
      <w:pPr>
        <w:pStyle w:val="ListParagraph"/>
        <w:numPr>
          <w:ilvl w:val="0"/>
          <w:numId w:val="34"/>
        </w:numPr>
        <w:spacing w:before="0" w:after="0"/>
        <w:ind w:left="1077" w:hanging="357"/>
        <w:contextualSpacing/>
      </w:pPr>
      <w:r>
        <w:t>Riigi kinnisvarategevuse strateegia</w:t>
      </w:r>
      <w:r w:rsidR="004D0BF3">
        <w:t>,</w:t>
      </w:r>
    </w:p>
    <w:p w:rsidR="004B026D" w:rsidRDefault="004D0BF3" w:rsidP="002F4A30">
      <w:pPr>
        <w:pStyle w:val="ListParagraph"/>
        <w:numPr>
          <w:ilvl w:val="0"/>
          <w:numId w:val="34"/>
        </w:numPr>
        <w:spacing w:after="0"/>
        <w:contextualSpacing/>
      </w:pPr>
      <w:r>
        <w:t>Õ</w:t>
      </w:r>
      <w:r w:rsidR="004B026D">
        <w:t>igusraamistik</w:t>
      </w:r>
      <w:r>
        <w:t xml:space="preserve"> (riigivaraseadus),</w:t>
      </w:r>
    </w:p>
    <w:p w:rsidR="004B026D" w:rsidRDefault="004B026D" w:rsidP="002F4A30">
      <w:pPr>
        <w:pStyle w:val="ListParagraph"/>
        <w:numPr>
          <w:ilvl w:val="0"/>
          <w:numId w:val="34"/>
        </w:numPr>
        <w:spacing w:after="0"/>
        <w:contextualSpacing/>
      </w:pPr>
      <w:r>
        <w:t>Kompetentsikeskus RKAS</w:t>
      </w:r>
      <w:r w:rsidR="004D0BF3">
        <w:t>,</w:t>
      </w:r>
    </w:p>
    <w:p w:rsidR="004B026D" w:rsidRDefault="004B026D" w:rsidP="002F4A30">
      <w:pPr>
        <w:pStyle w:val="ListParagraph"/>
        <w:numPr>
          <w:ilvl w:val="0"/>
          <w:numId w:val="34"/>
        </w:numPr>
        <w:spacing w:after="0"/>
        <w:contextualSpacing/>
      </w:pPr>
      <w:r>
        <w:t xml:space="preserve">Riigi kinnisvara register kui </w:t>
      </w:r>
      <w:r w:rsidR="004D0BF3">
        <w:t xml:space="preserve">varade infokogum ja </w:t>
      </w:r>
      <w:r>
        <w:t>menetluskeskkond</w:t>
      </w:r>
      <w:r w:rsidR="004D0BF3">
        <w:t>,</w:t>
      </w:r>
    </w:p>
    <w:p w:rsidR="004B026D" w:rsidRDefault="004B026D" w:rsidP="002F4A30">
      <w:pPr>
        <w:pStyle w:val="ListParagraph"/>
        <w:numPr>
          <w:ilvl w:val="0"/>
          <w:numId w:val="34"/>
        </w:numPr>
        <w:spacing w:after="0"/>
        <w:contextualSpacing/>
      </w:pPr>
      <w:r>
        <w:t>Tehtud inventuur riigi kinnisvarast (andmebaas ja investeeringute vajadus)</w:t>
      </w:r>
      <w:r w:rsidR="004D0BF3">
        <w:t>,</w:t>
      </w:r>
    </w:p>
    <w:p w:rsidR="004B026D" w:rsidRDefault="004B026D" w:rsidP="002F4A30">
      <w:pPr>
        <w:pStyle w:val="ListParagraph"/>
        <w:numPr>
          <w:ilvl w:val="0"/>
          <w:numId w:val="34"/>
        </w:numPr>
        <w:spacing w:after="0"/>
        <w:contextualSpacing/>
      </w:pPr>
      <w:r>
        <w:t>Normid (kvaliteedinorm</w:t>
      </w:r>
      <w:r w:rsidR="000F0978">
        <w:t>id, kulunorm, pinnanorm), mis oma</w:t>
      </w:r>
      <w:r>
        <w:t xml:space="preserve"> sisult on andmestandardid, mitte piirmäärad</w:t>
      </w:r>
      <w:r w:rsidR="004D0BF3">
        <w:t>,</w:t>
      </w:r>
    </w:p>
    <w:p w:rsidR="004B026D" w:rsidRDefault="004B026D" w:rsidP="002F4A30">
      <w:pPr>
        <w:pStyle w:val="ListParagraph"/>
        <w:numPr>
          <w:ilvl w:val="0"/>
          <w:numId w:val="34"/>
        </w:numPr>
        <w:spacing w:after="0"/>
        <w:contextualSpacing/>
      </w:pPr>
      <w:r>
        <w:t>Aruandluse raamkontseptsioon (objekti, asutuse, valitseja, RM tasandil)</w:t>
      </w:r>
      <w:r w:rsidR="004D0BF3">
        <w:t>,</w:t>
      </w:r>
    </w:p>
    <w:p w:rsidR="004B026D" w:rsidRDefault="004B026D" w:rsidP="002F4A30">
      <w:pPr>
        <w:pStyle w:val="ListParagraph"/>
        <w:numPr>
          <w:ilvl w:val="0"/>
          <w:numId w:val="34"/>
        </w:numPr>
        <w:spacing w:after="0"/>
        <w:contextualSpacing/>
      </w:pPr>
      <w:r>
        <w:t>Rahastamismudelid sh rahakäibe planeerimise tööriistad portfelli ja objekti tasandil</w:t>
      </w:r>
      <w:r w:rsidR="004D0BF3">
        <w:t>,</w:t>
      </w:r>
    </w:p>
    <w:p w:rsidR="004B026D" w:rsidRDefault="004B026D" w:rsidP="002F4A30">
      <w:pPr>
        <w:pStyle w:val="ListParagraph"/>
        <w:numPr>
          <w:ilvl w:val="0"/>
          <w:numId w:val="34"/>
        </w:numPr>
        <w:spacing w:after="0"/>
        <w:contextualSpacing/>
      </w:pPr>
      <w:r>
        <w:t>Üürilepingute regulatsioon (eri- ja üldotstarbeline)</w:t>
      </w:r>
      <w:r w:rsidR="004D0BF3">
        <w:t>,</w:t>
      </w:r>
    </w:p>
    <w:p w:rsidR="004B026D" w:rsidRDefault="004B026D" w:rsidP="002F4A30">
      <w:pPr>
        <w:pStyle w:val="ListParagraph"/>
        <w:numPr>
          <w:ilvl w:val="0"/>
          <w:numId w:val="34"/>
        </w:numPr>
        <w:spacing w:after="0"/>
        <w:contextualSpacing/>
      </w:pPr>
      <w:r>
        <w:t>Kinnisvarakeskkonna juhtimisprotsesside loetelu ja kirjeldused (53 protsessi)</w:t>
      </w:r>
      <w:r w:rsidR="004D0BF3">
        <w:t>,</w:t>
      </w:r>
    </w:p>
    <w:p w:rsidR="00860D37" w:rsidRDefault="00860D37" w:rsidP="002F4A30">
      <w:pPr>
        <w:pStyle w:val="ListParagraph"/>
        <w:numPr>
          <w:ilvl w:val="0"/>
          <w:numId w:val="34"/>
        </w:numPr>
        <w:spacing w:after="0"/>
        <w:contextualSpacing/>
      </w:pPr>
      <w:r>
        <w:t xml:space="preserve">Kompetentsimudel. </w:t>
      </w:r>
    </w:p>
    <w:p w:rsidR="000C3F50" w:rsidRPr="000C3F50" w:rsidRDefault="000C3F50" w:rsidP="000C3F50">
      <w:pPr>
        <w:rPr>
          <w:b/>
          <w:kern w:val="32"/>
        </w:rPr>
      </w:pPr>
      <w:r w:rsidRPr="000C3F50">
        <w:rPr>
          <w:b/>
        </w:rPr>
        <w:t xml:space="preserve">Tuleb </w:t>
      </w:r>
      <w:r w:rsidR="004D0BF3" w:rsidRPr="000C3F50">
        <w:rPr>
          <w:b/>
        </w:rPr>
        <w:t xml:space="preserve">tõdeda et terviklikku tulemust ei ole saavutatud. </w:t>
      </w:r>
      <w:r w:rsidRPr="000C3F50">
        <w:rPr>
          <w:b/>
        </w:rPr>
        <w:t xml:space="preserve">Eesmärk, milleni tuleb jõuda: </w:t>
      </w:r>
    </w:p>
    <w:p w:rsidR="000C3F50" w:rsidRDefault="000C3F50" w:rsidP="000C3F50">
      <w:pPr>
        <w:rPr>
          <w:kern w:val="32"/>
        </w:rPr>
      </w:pPr>
      <w:r>
        <w:rPr>
          <w:kern w:val="32"/>
        </w:rPr>
        <w:t xml:space="preserve">Hästi töötav kinnisvara juhtimisahel, kus on selged otsuste langetamise olulised mõõdikud. Kui on teada mõõdikud, mille alusel otsuseid langetatakse, saab välja töötada andmemudeli, mille alusel kogutud andmete analüüsi tulemusel otsustamiseks vajalikud võtmenäitajad sünnivad. </w:t>
      </w:r>
    </w:p>
    <w:p w:rsidR="000C3F50" w:rsidRDefault="000C3F50" w:rsidP="000C3F50">
      <w:pPr>
        <w:rPr>
          <w:kern w:val="32"/>
        </w:rPr>
      </w:pPr>
      <w:r w:rsidRPr="00EF4D8C">
        <w:rPr>
          <w:kern w:val="32"/>
        </w:rPr>
        <w:t xml:space="preserve">Mõõdikute vajadus selgub juhtimisprotsessidest vastavalt sellele, millises protsessis mis tasemel ja millise info alusel otsuseid langetatakse. </w:t>
      </w:r>
    </w:p>
    <w:p w:rsidR="000C3F50" w:rsidRDefault="000C3F50" w:rsidP="000C3F50">
      <w:pPr>
        <w:rPr>
          <w:kern w:val="32"/>
        </w:rPr>
      </w:pPr>
      <w:r w:rsidRPr="00647F70">
        <w:rPr>
          <w:kern w:val="32"/>
        </w:rPr>
        <w:t xml:space="preserve">Juhtida ei saa seda, mida ei mõõda. Seepärast </w:t>
      </w:r>
      <w:r w:rsidRPr="00884F33">
        <w:rPr>
          <w:kern w:val="32"/>
        </w:rPr>
        <w:t>liigub</w:t>
      </w:r>
      <w:r>
        <w:rPr>
          <w:kern w:val="32"/>
        </w:rPr>
        <w:t xml:space="preserve"> r</w:t>
      </w:r>
      <w:r w:rsidRPr="00884F33">
        <w:rPr>
          <w:kern w:val="32"/>
        </w:rPr>
        <w:t xml:space="preserve">iigi kinnisvarakeskkonna juhtimine tulemusaruandluse suunas, mille </w:t>
      </w:r>
      <w:r w:rsidRPr="00647F70">
        <w:rPr>
          <w:b/>
          <w:kern w:val="32"/>
        </w:rPr>
        <w:t>eesmärgiks on</w:t>
      </w:r>
      <w:r w:rsidRPr="00884F33">
        <w:rPr>
          <w:kern w:val="32"/>
        </w:rPr>
        <w:t xml:space="preserve"> </w:t>
      </w:r>
      <w:r w:rsidRPr="00647F70">
        <w:rPr>
          <w:b/>
          <w:kern w:val="32"/>
        </w:rPr>
        <w:t>mõõta</w:t>
      </w:r>
      <w:r w:rsidRPr="00884F33">
        <w:rPr>
          <w:kern w:val="32"/>
        </w:rPr>
        <w:t xml:space="preserve"> kinnisvara mõju organisatsiooni põhitegevusele ja anda informatsiooni kinnisvaraga seotud kulude optimeerimise võimaluste kohta tagades</w:t>
      </w:r>
      <w:r>
        <w:rPr>
          <w:kern w:val="32"/>
        </w:rPr>
        <w:t xml:space="preserve"> </w:t>
      </w:r>
      <w:r w:rsidRPr="00884F33">
        <w:rPr>
          <w:kern w:val="32"/>
        </w:rPr>
        <w:t xml:space="preserve">seejuures jätkusuutlikult kvaliteetne kinnisvarakeskkond. Vajalik on jälgida </w:t>
      </w:r>
      <w:r w:rsidRPr="00647F70">
        <w:rPr>
          <w:b/>
          <w:kern w:val="32"/>
        </w:rPr>
        <w:t>varade ülalpidamiskulusid</w:t>
      </w:r>
      <w:r w:rsidRPr="00884F33">
        <w:rPr>
          <w:kern w:val="32"/>
        </w:rPr>
        <w:t xml:space="preserve"> ning otsida kokkuhoiukohti, teostada pinnakasutuse analüüsi ja planeerida vajadusi. Investeeringud tuleb teha võimalikult efektiivselt ning kõige kriitilisematesse kohtadesse.</w:t>
      </w:r>
    </w:p>
    <w:p w:rsidR="000C3F50" w:rsidRDefault="000C3F50" w:rsidP="000C3F50">
      <w:pPr>
        <w:rPr>
          <w:kern w:val="32"/>
        </w:rPr>
      </w:pPr>
      <w:r w:rsidRPr="00884F33">
        <w:rPr>
          <w:kern w:val="32"/>
        </w:rPr>
        <w:t xml:space="preserve"> </w:t>
      </w:r>
    </w:p>
    <w:p w:rsidR="000C3F50" w:rsidRDefault="000C3F50" w:rsidP="000C3F50">
      <w:pPr>
        <w:rPr>
          <w:kern w:val="32"/>
        </w:rPr>
      </w:pPr>
      <w:r>
        <w:rPr>
          <w:noProof/>
          <w:kern w:val="32"/>
          <w:lang w:eastAsia="et-EE"/>
        </w:rPr>
        <w:drawing>
          <wp:inline distT="0" distB="0" distL="0" distR="0">
            <wp:extent cx="2811614" cy="2631882"/>
            <wp:effectExtent l="19050" t="0" r="26836" b="0"/>
            <wp:docPr id="49"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0C3F50" w:rsidRPr="00884F33" w:rsidRDefault="000C3F50" w:rsidP="000C3F50">
      <w:pPr>
        <w:rPr>
          <w:kern w:val="32"/>
        </w:rPr>
      </w:pPr>
      <w:r>
        <w:rPr>
          <w:kern w:val="32"/>
        </w:rPr>
        <w:t>O</w:t>
      </w:r>
      <w:r w:rsidRPr="00647F70">
        <w:rPr>
          <w:kern w:val="32"/>
        </w:rPr>
        <w:t xml:space="preserve">tsuste langetamiseks on vaja infot, milline on hetkeseis, kus ollakse võrdluses eesmärkidega, kas trend on paremuse või halvemuse poole. </w:t>
      </w:r>
      <w:r w:rsidRPr="00884F33">
        <w:rPr>
          <w:kern w:val="32"/>
        </w:rPr>
        <w:t xml:space="preserve">Ühtsetel alustel koondatud informatsioon annab aluse võrdlusanalüüsiks, et toetada tehtavaid otsuseid. </w:t>
      </w:r>
      <w:r>
        <w:rPr>
          <w:kern w:val="32"/>
        </w:rPr>
        <w:t xml:space="preserve">Andmete puudumisel ei suudeta seada prioriteete ega jälgida eesmärkide täitmist. </w:t>
      </w:r>
      <w:r w:rsidRPr="00884F33">
        <w:rPr>
          <w:kern w:val="32"/>
        </w:rPr>
        <w:t xml:space="preserve">Tulemusaruandlus loob võimaluse riigivara valitsejale planeerida kinnisvarakasutust, võrrelda oma vara teiste sarnaste varadega ning tuvastada kulude kokkuhoiukohti. Riigi tasandil on koondinfo vajalik riigi eelarve planeerimisel (nii lühikeses, keskpikas kui pikas perspektiivis) ja kinnisvarastrateegia kujundamisel. </w:t>
      </w:r>
      <w:r>
        <w:rPr>
          <w:kern w:val="32"/>
        </w:rPr>
        <w:t>Neis protsessides tuleb teha valikuid ja langetada otsuseid, mis omakorda eeldab piisava hulga adekvaatse ja võrreldava info olemasolu.</w:t>
      </w:r>
    </w:p>
    <w:p w:rsidR="000C3F50" w:rsidRDefault="000C3F50" w:rsidP="000C3F50">
      <w:pPr>
        <w:rPr>
          <w:kern w:val="32"/>
        </w:rPr>
      </w:pPr>
      <w:r w:rsidRPr="00D656C8">
        <w:rPr>
          <w:kern w:val="32"/>
        </w:rPr>
        <w:t>Edukate juhtimisotsuste tegemiseks</w:t>
      </w:r>
      <w:r>
        <w:rPr>
          <w:kern w:val="32"/>
        </w:rPr>
        <w:t xml:space="preserve"> on</w:t>
      </w:r>
      <w:r w:rsidRPr="00D656C8">
        <w:rPr>
          <w:kern w:val="32"/>
        </w:rPr>
        <w:t xml:space="preserve"> vaja kvaliteetset ja ajakohast infot.</w:t>
      </w:r>
      <w:r>
        <w:rPr>
          <w:kern w:val="32"/>
        </w:rPr>
        <w:t xml:space="preserve"> </w:t>
      </w:r>
    </w:p>
    <w:p w:rsidR="004D0BF3" w:rsidRDefault="004D0BF3" w:rsidP="004D0BF3">
      <w:r>
        <w:t>Peamised lahendam</w:t>
      </w:r>
      <w:r w:rsidR="000C3F50">
        <w:t xml:space="preserve">ist vajavad </w:t>
      </w:r>
      <w:r>
        <w:t xml:space="preserve">probleemid </w:t>
      </w:r>
      <w:r w:rsidR="000C3F50">
        <w:t>tervikliku juhtimissüsteemi loomisel</w:t>
      </w:r>
      <w:r>
        <w:t xml:space="preserve">: </w:t>
      </w:r>
    </w:p>
    <w:p w:rsidR="004B026D" w:rsidRPr="00860D37" w:rsidRDefault="000C3F50" w:rsidP="002F4A30">
      <w:pPr>
        <w:pStyle w:val="ListParagraph"/>
        <w:numPr>
          <w:ilvl w:val="0"/>
          <w:numId w:val="39"/>
        </w:numPr>
      </w:pPr>
      <w:r>
        <w:t>S</w:t>
      </w:r>
      <w:r w:rsidR="001A3759" w:rsidRPr="00860D37">
        <w:t>tandardse</w:t>
      </w:r>
      <w:r>
        <w:t xml:space="preserve">te </w:t>
      </w:r>
      <w:r w:rsidR="001A3759" w:rsidRPr="00860D37">
        <w:t>kinnisvara juhtimisprotsessid</w:t>
      </w:r>
      <w:r>
        <w:t>e rakendamine.</w:t>
      </w:r>
    </w:p>
    <w:p w:rsidR="004D0BF3" w:rsidRPr="00860D37" w:rsidRDefault="000C3F50" w:rsidP="002F4A30">
      <w:pPr>
        <w:pStyle w:val="ListParagraph"/>
        <w:numPr>
          <w:ilvl w:val="0"/>
          <w:numId w:val="39"/>
        </w:numPr>
        <w:rPr>
          <w:kern w:val="32"/>
        </w:rPr>
      </w:pPr>
      <w:r>
        <w:t>K</w:t>
      </w:r>
      <w:r w:rsidR="004D0BF3" w:rsidRPr="00860D37">
        <w:t>innisvarakulude rahastamise põhimõt</w:t>
      </w:r>
      <w:r>
        <w:t>ete loomine</w:t>
      </w:r>
      <w:r w:rsidR="009B0611">
        <w:t xml:space="preserve"> ja rakendamine</w:t>
      </w:r>
      <w:r w:rsidR="00860D37">
        <w:t>.</w:t>
      </w:r>
    </w:p>
    <w:p w:rsidR="00860D37" w:rsidRPr="00860D37" w:rsidRDefault="00860D37" w:rsidP="002F4A30">
      <w:pPr>
        <w:pStyle w:val="ListParagraph"/>
        <w:numPr>
          <w:ilvl w:val="0"/>
          <w:numId w:val="39"/>
        </w:numPr>
        <w:rPr>
          <w:kern w:val="32"/>
        </w:rPr>
      </w:pPr>
      <w:r w:rsidRPr="00860D37">
        <w:rPr>
          <w:kern w:val="32"/>
        </w:rPr>
        <w:t xml:space="preserve">Kinnisvara </w:t>
      </w:r>
      <w:r w:rsidR="009B0611">
        <w:rPr>
          <w:kern w:val="32"/>
        </w:rPr>
        <w:t>juhtimis</w:t>
      </w:r>
      <w:r w:rsidRPr="00860D37">
        <w:rPr>
          <w:kern w:val="32"/>
        </w:rPr>
        <w:t>info</w:t>
      </w:r>
      <w:r w:rsidR="009B0611">
        <w:rPr>
          <w:kern w:val="32"/>
        </w:rPr>
        <w:t xml:space="preserve"> </w:t>
      </w:r>
      <w:r w:rsidR="000C3F50">
        <w:rPr>
          <w:kern w:val="32"/>
        </w:rPr>
        <w:t>ja in</w:t>
      </w:r>
      <w:r w:rsidRPr="00860D37">
        <w:rPr>
          <w:kern w:val="32"/>
        </w:rPr>
        <w:t>fohaldus</w:t>
      </w:r>
      <w:r w:rsidR="000C3F50">
        <w:rPr>
          <w:kern w:val="32"/>
        </w:rPr>
        <w:t>e parendamine.</w:t>
      </w:r>
    </w:p>
    <w:p w:rsidR="004D0BF3" w:rsidRPr="004D0BF3" w:rsidRDefault="004D0BF3" w:rsidP="004D0BF3">
      <w:pPr>
        <w:pStyle w:val="Pealkiri3"/>
      </w:pPr>
      <w:bookmarkStart w:id="391" w:name="_Toc433980738"/>
      <w:r w:rsidRPr="004D0BF3">
        <w:t>Standardse</w:t>
      </w:r>
      <w:r>
        <w:t xml:space="preserve">te </w:t>
      </w:r>
      <w:r w:rsidRPr="004D0BF3">
        <w:t>kinnisvara juhtimisprotsessid</w:t>
      </w:r>
      <w:r>
        <w:t>e rakendamine</w:t>
      </w:r>
      <w:bookmarkEnd w:id="391"/>
      <w:r w:rsidR="00655E30">
        <w:t xml:space="preserve"> </w:t>
      </w:r>
    </w:p>
    <w:p w:rsidR="004D0BF3" w:rsidRDefault="004D0BF3" w:rsidP="004D0BF3">
      <w:pPr>
        <w:autoSpaceDE w:val="0"/>
        <w:autoSpaceDN w:val="0"/>
        <w:adjustRightInd w:val="0"/>
      </w:pPr>
      <w:r>
        <w:t xml:space="preserve">Kinnisvarastrateegia kontseptsiooni kohaselt minnakse üle kinnisvara detsentraliseeritud valitsemiselt uuele terviklikule juhtimissüsteemile. Tervikliku kinnisvarakorralduse eesmärk on saavutada senisest kooskõlastatum kinnisvarakeskkonna arendus ja korrashoid, mastaabiefekt, majanduslikult põhjendatud otsuste tegemine ressursside piiratuse tingimustes, riigieelarveliste vahendite ja võõrkapitali optimaalne kaasamine ning õiguste ja vastutuse tasakaalustatus. </w:t>
      </w:r>
    </w:p>
    <w:p w:rsidR="004D0BF3" w:rsidRDefault="004D0BF3" w:rsidP="004D0BF3">
      <w:r w:rsidRPr="00171A6F">
        <w:t>Riigi kinnisvarategevuse peamised subjektid riigi</w:t>
      </w:r>
      <w:r>
        <w:t xml:space="preserve"> kinnisvarategevuse strateegia järgi on: Rahandusministeerium, riigiasutused (riigivara valitsejad) ja RKAS. Lühidalt nende rollist: </w:t>
      </w:r>
    </w:p>
    <w:p w:rsidR="004D0BF3" w:rsidRDefault="004D0BF3" w:rsidP="004D0BF3">
      <w:pPr>
        <w:pStyle w:val="ListParagraph"/>
      </w:pPr>
      <w:r w:rsidRPr="003A1431">
        <w:rPr>
          <w:b/>
        </w:rPr>
        <w:t>Riigiasutuste</w:t>
      </w:r>
      <w:r>
        <w:t xml:space="preserve"> kui kinnisvara kasutajate </w:t>
      </w:r>
      <w:r w:rsidRPr="003A1431">
        <w:rPr>
          <w:b/>
        </w:rPr>
        <w:t>vastutusala</w:t>
      </w:r>
      <w:r>
        <w:t>: oma kinnisvarategevuse tõhususe tagamine, varade sihipärane kasutamine, kinnisvarakeskkonna arenguvajaduste planeerimine, kinnisvarainfo kogumine, säilitamine, edastamine, regulatsioonide järgimine, aruandlus.</w:t>
      </w:r>
    </w:p>
    <w:p w:rsidR="004D0BF3" w:rsidRDefault="004D0BF3" w:rsidP="004D0BF3">
      <w:pPr>
        <w:pStyle w:val="ListParagraph"/>
      </w:pPr>
      <w:r w:rsidRPr="003A1431">
        <w:rPr>
          <w:b/>
        </w:rPr>
        <w:t>RKAS-i</w:t>
      </w:r>
      <w:r>
        <w:t xml:space="preserve"> kui kinnisvara omaniku ja kompetentsikeskuse </w:t>
      </w:r>
      <w:r w:rsidRPr="003A1431">
        <w:rPr>
          <w:b/>
        </w:rPr>
        <w:t>vastutusala</w:t>
      </w:r>
      <w:r>
        <w:t xml:space="preserve">: varade tõhusa omandamise, haldamise, võõrandamise ja korrashoiu korraldamine, riigi kinnisvarategevuse kompetentsi koondamine, kasutajate nõustamine, kinnisvarakeskkonna analüüs, standardite ja normatiivide väljatöötamine ja esitamine rahandusministeeriumile, pikaajalise rahastamiskava </w:t>
      </w:r>
      <w:r w:rsidRPr="002B12B1">
        <w:t>koostamine eelarvestrateegia ja eelarveprojekti jaoks ning selle esitamine rahandusministeeriumile.</w:t>
      </w:r>
    </w:p>
    <w:p w:rsidR="004D0BF3" w:rsidRDefault="004D0BF3" w:rsidP="004D0BF3">
      <w:pPr>
        <w:pStyle w:val="ListParagraph"/>
      </w:pPr>
      <w:r w:rsidRPr="003A1431">
        <w:rPr>
          <w:b/>
        </w:rPr>
        <w:t>Rahandusministeeriumi vastutusala</w:t>
      </w:r>
      <w:r>
        <w:t>: poliitika kujundamine, süsteemi arendamine, loomine ja toimimise tagamine, õigusliku raamistiku ja infosüsteemide loomine, RKAS-i üle järelevalve teostamine.</w:t>
      </w:r>
    </w:p>
    <w:p w:rsidR="004D0BF3" w:rsidRPr="00720B39" w:rsidRDefault="004D0BF3" w:rsidP="004D0BF3">
      <w:pPr>
        <w:jc w:val="left"/>
      </w:pPr>
      <w:r w:rsidRPr="00720B39">
        <w:rPr>
          <w:b/>
        </w:rPr>
        <w:t>Hetkeolukord:</w:t>
      </w:r>
      <w:r w:rsidRPr="00720B39">
        <w:t xml:space="preserve"> </w:t>
      </w:r>
    </w:p>
    <w:p w:rsidR="004D0BF3" w:rsidRPr="00720B39" w:rsidRDefault="0070627E" w:rsidP="002F4A30">
      <w:pPr>
        <w:numPr>
          <w:ilvl w:val="0"/>
          <w:numId w:val="15"/>
        </w:numPr>
        <w:spacing w:before="0"/>
      </w:pPr>
      <w:r>
        <w:t>3/5</w:t>
      </w:r>
      <w:r w:rsidR="004D0BF3" w:rsidRPr="00720B39">
        <w:t xml:space="preserve"> riigi kasutuse hoonetest on jätkuvalt riigi omandis (</w:t>
      </w:r>
      <w:r w:rsidR="00A85FDC">
        <w:fldChar w:fldCharType="begin"/>
      </w:r>
      <w:r>
        <w:instrText xml:space="preserve"> REF _Ref417653499 \h </w:instrText>
      </w:r>
      <w:r w:rsidR="00A85FDC">
        <w:fldChar w:fldCharType="separate"/>
      </w:r>
      <w:r w:rsidR="00477322">
        <w:t xml:space="preserve">Joonis </w:t>
      </w:r>
      <w:r w:rsidR="00477322">
        <w:rPr>
          <w:noProof/>
        </w:rPr>
        <w:t>2</w:t>
      </w:r>
      <w:r w:rsidR="00A85FDC">
        <w:fldChar w:fldCharType="end"/>
      </w:r>
      <w:r>
        <w:t>, peatükk 1.1.1</w:t>
      </w:r>
      <w:r w:rsidR="004D0BF3" w:rsidRPr="00720B39">
        <w:t>) ja nende haldamise ja korrashoiu kompetentsi ei ole koondatud RKAS-i.</w:t>
      </w:r>
      <w:r w:rsidR="00655E30">
        <w:t xml:space="preserve"> </w:t>
      </w:r>
    </w:p>
    <w:p w:rsidR="004D0BF3" w:rsidRPr="00720B39" w:rsidRDefault="004D0BF3" w:rsidP="002F4A30">
      <w:pPr>
        <w:numPr>
          <w:ilvl w:val="0"/>
          <w:numId w:val="15"/>
        </w:numPr>
        <w:spacing w:before="0"/>
      </w:pPr>
      <w:r w:rsidRPr="00720B39">
        <w:t>Osapoolte õigused, kohustused ja vastutus vajavad täpsustamist</w:t>
      </w:r>
      <w:r w:rsidR="00860D37">
        <w:t>, eelkõige uute pindade kasutamiseks võtmise ja investeeringuotsuste tegemisel</w:t>
      </w:r>
      <w:r w:rsidRPr="00720B39">
        <w:t xml:space="preserve">. </w:t>
      </w:r>
    </w:p>
    <w:p w:rsidR="004D0BF3" w:rsidRPr="00720B39" w:rsidRDefault="004D0BF3" w:rsidP="002F4A30">
      <w:pPr>
        <w:numPr>
          <w:ilvl w:val="0"/>
          <w:numId w:val="15"/>
        </w:numPr>
        <w:spacing w:before="0"/>
        <w:rPr>
          <w:rFonts w:cs="Arial"/>
          <w:bCs/>
          <w:kern w:val="32"/>
        </w:rPr>
      </w:pPr>
      <w:r w:rsidRPr="00720B39">
        <w:t>RKAS-i ei ole nimetatud riigile kinnisvarateenuste pakkujaks ja tema roll kinnisva</w:t>
      </w:r>
      <w:r>
        <w:t>ra</w:t>
      </w:r>
      <w:r w:rsidRPr="00720B39">
        <w:t xml:space="preserve">poliitikas ei ole piisavalt </w:t>
      </w:r>
      <w:r w:rsidRPr="00720B39">
        <w:rPr>
          <w:rFonts w:cs="Arial"/>
          <w:bCs/>
          <w:kern w:val="32"/>
        </w:rPr>
        <w:t xml:space="preserve">selgelt määratletud. </w:t>
      </w:r>
      <w:r w:rsidRPr="00687D86">
        <w:rPr>
          <w:rFonts w:cs="Arial"/>
          <w:bCs/>
          <w:kern w:val="32"/>
        </w:rPr>
        <w:t>RKAS-i poolt pakutavad teenused ja hinnastamine vajavad selgemaid reegleid.</w:t>
      </w:r>
    </w:p>
    <w:p w:rsidR="004D0BF3" w:rsidRPr="00720B39" w:rsidRDefault="004D0BF3" w:rsidP="002F4A30">
      <w:pPr>
        <w:numPr>
          <w:ilvl w:val="0"/>
          <w:numId w:val="15"/>
        </w:numPr>
        <w:spacing w:before="0"/>
        <w:rPr>
          <w:rFonts w:cs="Arial"/>
          <w:bCs/>
          <w:kern w:val="32"/>
        </w:rPr>
      </w:pPr>
      <w:r w:rsidRPr="00720B39">
        <w:rPr>
          <w:rFonts w:cs="Arial"/>
          <w:bCs/>
          <w:kern w:val="32"/>
        </w:rPr>
        <w:t>Riik RKAS-i osaluste valitsejana (omanikuna) on seadnud RKAS-ile eesmärgi</w:t>
      </w:r>
      <w:r w:rsidR="00655E30">
        <w:rPr>
          <w:rFonts w:cs="Arial"/>
          <w:bCs/>
          <w:kern w:val="32"/>
        </w:rPr>
        <w:t xml:space="preserve"> </w:t>
      </w:r>
      <w:r w:rsidRPr="00720B39">
        <w:rPr>
          <w:rFonts w:cs="Arial"/>
          <w:bCs/>
          <w:kern w:val="32"/>
        </w:rPr>
        <w:t>maksimeerida kasum ja tagada kliendi rahulolu, kuid see ei motiveeri RKAS-i riigi kinnisvarakulusid kokku hoidma.</w:t>
      </w:r>
    </w:p>
    <w:p w:rsidR="004D0BF3" w:rsidRPr="00720B39" w:rsidRDefault="004D0BF3" w:rsidP="002F4A30">
      <w:pPr>
        <w:numPr>
          <w:ilvl w:val="0"/>
          <w:numId w:val="15"/>
        </w:numPr>
        <w:spacing w:before="0"/>
        <w:rPr>
          <w:rFonts w:cs="Arial"/>
          <w:bCs/>
          <w:kern w:val="32"/>
        </w:rPr>
      </w:pPr>
      <w:r w:rsidRPr="00720B39">
        <w:rPr>
          <w:rFonts w:cs="Arial"/>
          <w:bCs/>
          <w:kern w:val="32"/>
        </w:rPr>
        <w:t xml:space="preserve">Valitsejate pädevusus ja motivatsioon varade kasutamise </w:t>
      </w:r>
      <w:r w:rsidRPr="00720B39">
        <w:t>tõhususe tagamisel, varad</w:t>
      </w:r>
      <w:r w:rsidR="0070627E">
        <w:t>e sihipärasel</w:t>
      </w:r>
      <w:r w:rsidRPr="00720B39">
        <w:t xml:space="preserve"> kasutamisel, kinnisvarakeskkonna arenguvajaduste planeerimisel </w:t>
      </w:r>
      <w:r>
        <w:t xml:space="preserve">on ebaühtlane ja </w:t>
      </w:r>
      <w:r w:rsidRPr="00720B39">
        <w:t>vaja</w:t>
      </w:r>
      <w:r>
        <w:t>b</w:t>
      </w:r>
      <w:r w:rsidRPr="00720B39">
        <w:t xml:space="preserve"> tõstmist. Enamik riigivara valitsejaid ei ole suutnud hoida Intelligentese tellija kompetentsi ja olla RKAS-</w:t>
      </w:r>
      <w:r w:rsidR="00FA7076">
        <w:t>i</w:t>
      </w:r>
      <w:r w:rsidRPr="00720B39">
        <w:t>le samaväärseks partneriks.</w:t>
      </w:r>
    </w:p>
    <w:p w:rsidR="005973C2" w:rsidRDefault="004D0BF3" w:rsidP="002F4A30">
      <w:pPr>
        <w:numPr>
          <w:ilvl w:val="0"/>
          <w:numId w:val="15"/>
        </w:numPr>
        <w:spacing w:before="0"/>
        <w:rPr>
          <w:rFonts w:cs="Arial"/>
          <w:bCs/>
          <w:kern w:val="32"/>
        </w:rPr>
      </w:pPr>
      <w:r w:rsidRPr="00720B39">
        <w:rPr>
          <w:rFonts w:cs="Arial"/>
          <w:bCs/>
          <w:kern w:val="32"/>
        </w:rPr>
        <w:t xml:space="preserve">Rahandusministeerium ei ole suutnud täita riigi kinnisvarategevuse strateegia tegevuskavas seatud tähtaegu </w:t>
      </w:r>
      <w:r w:rsidR="0070627E">
        <w:rPr>
          <w:rFonts w:cs="Arial"/>
          <w:bCs/>
          <w:kern w:val="32"/>
        </w:rPr>
        <w:t>ega</w:t>
      </w:r>
      <w:r w:rsidRPr="00720B39">
        <w:rPr>
          <w:rFonts w:cs="Arial"/>
          <w:bCs/>
          <w:kern w:val="32"/>
        </w:rPr>
        <w:t xml:space="preserve"> täita oma rolli keskse koordinaatorina.</w:t>
      </w:r>
    </w:p>
    <w:p w:rsidR="005973C2" w:rsidRPr="005973C2" w:rsidRDefault="005973C2" w:rsidP="002F4A30">
      <w:pPr>
        <w:numPr>
          <w:ilvl w:val="0"/>
          <w:numId w:val="15"/>
        </w:numPr>
        <w:spacing w:before="0"/>
        <w:rPr>
          <w:rFonts w:cs="Arial"/>
          <w:bCs/>
          <w:kern w:val="32"/>
        </w:rPr>
      </w:pPr>
      <w:r w:rsidRPr="00BD65AB">
        <w:t xml:space="preserve">Valdavalt on välja kujunenud </w:t>
      </w:r>
      <w:r>
        <w:t xml:space="preserve">ja riigivaraseadus on toetanud </w:t>
      </w:r>
      <w:r w:rsidRPr="00BD65AB">
        <w:t>praktika</w:t>
      </w:r>
      <w:r>
        <w:t>t</w:t>
      </w:r>
      <w:r w:rsidRPr="00BD65AB">
        <w:t>, kus asutused on valdava osa kinnisvarakeskkonna juhtimisprotsessidest ise kujundanud ning millega saavutatav kasu (protsesside tõhusus, seotus tsentraalsete IT lahendustega jne) on jäänud</w:t>
      </w:r>
      <w:r>
        <w:t xml:space="preserve"> ebaselgeks või</w:t>
      </w:r>
      <w:r w:rsidRPr="00BD65AB">
        <w:t xml:space="preserve"> tagasihoidlikuks.</w:t>
      </w:r>
    </w:p>
    <w:p w:rsidR="005973C2" w:rsidRDefault="005973C2" w:rsidP="005973C2">
      <w:r w:rsidRPr="001A3759">
        <w:rPr>
          <w:rFonts w:cs="Arial"/>
          <w:b/>
          <w:bCs/>
          <w:kern w:val="32"/>
          <w:szCs w:val="24"/>
        </w:rPr>
        <w:t xml:space="preserve">Lahendus: </w:t>
      </w:r>
      <w:r w:rsidRPr="003345FE">
        <w:rPr>
          <w:rFonts w:cs="Arial"/>
          <w:bCs/>
          <w:kern w:val="32"/>
          <w:szCs w:val="24"/>
        </w:rPr>
        <w:t>Kinnisvarakeskkonna standardprotsesside rakendamine</w:t>
      </w:r>
      <w:r>
        <w:rPr>
          <w:rFonts w:cs="Arial"/>
          <w:bCs/>
          <w:kern w:val="32"/>
          <w:szCs w:val="24"/>
        </w:rPr>
        <w:t xml:space="preserve"> kõikides valitsemisalades. </w:t>
      </w:r>
      <w:r>
        <w:t>Standardprotsesside juurutamine on kogu juhtimissüsteemi aluseks ka võimaldab muuta kogu riigi juhtimissüsteemi tõhusamaks.</w:t>
      </w:r>
    </w:p>
    <w:p w:rsidR="005973C2" w:rsidRDefault="005973C2" w:rsidP="005973C2">
      <w:r w:rsidRPr="00BD65AB">
        <w:t>TTÜ majandusdoktor Heino Levand on kirjeldanud juhtimissüsteemi vajalikkust ja kasulikkust järgmise mõtte ja näitega “</w:t>
      </w:r>
      <w:r w:rsidRPr="001A3759">
        <w:rPr>
          <w:i/>
        </w:rPr>
        <w:t>Organisatsiooni tegevuse tulemused sõltuvad otsustavalt organisatsiooni juhtimisest ja protsesside korraldamisest, see aga omakorda organisatsiooni juhtimissüsteemist. Igaüks teab, et väärt juht ei suuda autot hästi juhtida, kui auto juhtimissüsteem on korrast ära. Ka organisatsiooni ei suuda keegi korralikult juhtida ja kvaliteetset tulemust tagada, kui juhtimissüsteem on puudulik</w:t>
      </w:r>
      <w:r w:rsidRPr="00BD65AB">
        <w:t>” Üldju</w:t>
      </w:r>
      <w:r w:rsidR="006E2944">
        <w:t>hul tulenevad kaod, raiskamised ja</w:t>
      </w:r>
      <w:r w:rsidRPr="00BD65AB">
        <w:t xml:space="preserve"> madal kvaliteet tõrgetest j</w:t>
      </w:r>
      <w:r w:rsidR="006E2944">
        <w:t>uhtimissüsteemis, mitte juhtide või</w:t>
      </w:r>
      <w:r w:rsidRPr="00BD65AB">
        <w:t xml:space="preserve"> töötajate võim</w:t>
      </w:r>
      <w:r w:rsidR="006E2944">
        <w:t>e</w:t>
      </w:r>
      <w:r w:rsidRPr="00BD65AB">
        <w:t>kuse</w:t>
      </w:r>
      <w:r w:rsidR="006E2944">
        <w:t xml:space="preserve"> või</w:t>
      </w:r>
      <w:r w:rsidRPr="00BD65AB">
        <w:t xml:space="preserve"> pingutuste puudumisest.</w:t>
      </w:r>
    </w:p>
    <w:p w:rsidR="005973C2" w:rsidRPr="00BD65AB" w:rsidRDefault="005973C2" w:rsidP="005973C2">
      <w:r w:rsidRPr="00BD65AB">
        <w:t xml:space="preserve">Sõltumata asutuses kasutatavast kinnisvarakorralduse mudelist (RKAS-i kui strateegilise partneriga või ilma) vajab asutus hästi korraldatud protsesse ja erialast kompetentsi selleks, et planeerida oma kinnisvarakeskkonna vajadusi põhitegevuste elluviimiseks ning tagada selle saavutamine. Need on tegevused, mida ei saa delegeerida kolmandatele osapooltele. </w:t>
      </w:r>
    </w:p>
    <w:p w:rsidR="00860D37" w:rsidRDefault="005973C2" w:rsidP="005973C2">
      <w:r>
        <w:t>Riigi kinnisvarajuhtimise s</w:t>
      </w:r>
      <w:r w:rsidR="004D0BF3">
        <w:t>tandardprotsesside kirjeldamisega määratle</w:t>
      </w:r>
      <w:r>
        <w:t xml:space="preserve">takse </w:t>
      </w:r>
      <w:r w:rsidR="004D0BF3">
        <w:t xml:space="preserve">osapoolte õigused, kohustused ja vastutus täpsemalt kui seda on seni tehtud strateegiadokumendis ja riigivaraseaduses. </w:t>
      </w:r>
      <w:r w:rsidR="00860D37">
        <w:t>Eeltööd selleks on tehtud (loodud kinnisvarakeskkonna juhtimisprotsesside loetelu ja kirjeldused (53 protsessi)), kuid vajalik oleks jõuda järgmise tulemusteni:</w:t>
      </w:r>
    </w:p>
    <w:p w:rsidR="00860D37" w:rsidRDefault="00860D37" w:rsidP="002F4A30">
      <w:pPr>
        <w:pStyle w:val="ListParagraph"/>
        <w:numPr>
          <w:ilvl w:val="0"/>
          <w:numId w:val="40"/>
        </w:numPr>
        <w:jc w:val="left"/>
        <w:rPr>
          <w:rFonts w:cs="Arial"/>
          <w:bCs/>
          <w:kern w:val="32"/>
        </w:rPr>
      </w:pPr>
      <w:r w:rsidRPr="00860D37">
        <w:rPr>
          <w:rFonts w:cs="Arial"/>
          <w:bCs/>
          <w:kern w:val="32"/>
        </w:rPr>
        <w:t>Standardprotsessid on määratletud,</w:t>
      </w:r>
      <w:r w:rsidR="00655E30">
        <w:rPr>
          <w:rFonts w:cs="Arial"/>
          <w:bCs/>
          <w:kern w:val="32"/>
        </w:rPr>
        <w:t xml:space="preserve"> </w:t>
      </w:r>
      <w:r w:rsidRPr="00860D37">
        <w:rPr>
          <w:rFonts w:cs="Arial"/>
          <w:bCs/>
          <w:kern w:val="32"/>
        </w:rPr>
        <w:t>kirjeldatud ja testitud, välja on selgitatud vajalikud muudatused õigusaktides ja</w:t>
      </w:r>
      <w:r w:rsidR="00655E30">
        <w:rPr>
          <w:rFonts w:cs="Arial"/>
          <w:bCs/>
          <w:kern w:val="32"/>
        </w:rPr>
        <w:t xml:space="preserve"> </w:t>
      </w:r>
      <w:r w:rsidRPr="00860D37">
        <w:rPr>
          <w:rFonts w:cs="Arial"/>
          <w:bCs/>
          <w:kern w:val="32"/>
        </w:rPr>
        <w:t xml:space="preserve">infosüsteemides, koostatud rakenduskava protsesside juurutamiseks ja tegevuste ümberkorraldamiseks teistes valitsemisalades. </w:t>
      </w:r>
    </w:p>
    <w:p w:rsidR="00860D37" w:rsidRDefault="00860D37" w:rsidP="002F4A30">
      <w:pPr>
        <w:pStyle w:val="ListParagraph"/>
        <w:numPr>
          <w:ilvl w:val="0"/>
          <w:numId w:val="40"/>
        </w:numPr>
        <w:jc w:val="left"/>
        <w:rPr>
          <w:rFonts w:cs="Arial"/>
          <w:bCs/>
          <w:kern w:val="32"/>
        </w:rPr>
      </w:pPr>
      <w:r>
        <w:rPr>
          <w:rFonts w:cs="Arial"/>
          <w:bCs/>
          <w:kern w:val="32"/>
        </w:rPr>
        <w:t>Viia sisse vajalikud muudatused õigusaktides (eelkõige riigivaraseaduses).</w:t>
      </w:r>
    </w:p>
    <w:p w:rsidR="00860D37" w:rsidRDefault="00860D37" w:rsidP="002F4A30">
      <w:pPr>
        <w:pStyle w:val="ListParagraph"/>
        <w:numPr>
          <w:ilvl w:val="0"/>
          <w:numId w:val="40"/>
        </w:numPr>
        <w:jc w:val="left"/>
        <w:rPr>
          <w:rFonts w:cs="Arial"/>
          <w:bCs/>
          <w:kern w:val="32"/>
        </w:rPr>
      </w:pPr>
      <w:r>
        <w:rPr>
          <w:rFonts w:cs="Arial"/>
          <w:bCs/>
          <w:kern w:val="32"/>
        </w:rPr>
        <w:t>Viia läbi vajalikud arendused infosüsteemides (eelkõige riigi kinnisvararegistris).</w:t>
      </w:r>
    </w:p>
    <w:p w:rsidR="00860D37" w:rsidRDefault="00860D37" w:rsidP="002F4A30">
      <w:pPr>
        <w:pStyle w:val="ListParagraph"/>
        <w:numPr>
          <w:ilvl w:val="0"/>
          <w:numId w:val="40"/>
        </w:numPr>
        <w:jc w:val="left"/>
      </w:pPr>
      <w:r w:rsidRPr="00860D37">
        <w:rPr>
          <w:rFonts w:cs="Arial"/>
          <w:bCs/>
          <w:kern w:val="32"/>
        </w:rPr>
        <w:t>Kõikides valitsemisalades on rakendatud standardsed protsessid (rahandusministeeriumi koordineerimisel).</w:t>
      </w:r>
    </w:p>
    <w:p w:rsidR="004F5682" w:rsidRDefault="004D0BF3" w:rsidP="004F5682">
      <w:pPr>
        <w:pStyle w:val="Pealkiri3"/>
      </w:pPr>
      <w:bookmarkStart w:id="392" w:name="_Ref427308791"/>
      <w:bookmarkStart w:id="393" w:name="_Toc433980739"/>
      <w:r>
        <w:t>K</w:t>
      </w:r>
      <w:r w:rsidR="009B0611">
        <w:t>innisvarakulude rahastamise põhimõtete loomine ja rakendamine</w:t>
      </w:r>
      <w:bookmarkEnd w:id="392"/>
      <w:bookmarkEnd w:id="393"/>
      <w:r w:rsidR="009B0611">
        <w:t xml:space="preserve"> </w:t>
      </w:r>
    </w:p>
    <w:p w:rsidR="00F1140A" w:rsidRDefault="004D0BF3" w:rsidP="004D0BF3">
      <w:pPr>
        <w:autoSpaceDE w:val="0"/>
        <w:autoSpaceDN w:val="0"/>
      </w:pPr>
      <w:r w:rsidRPr="00936000">
        <w:t>Kavandatud oli</w:t>
      </w:r>
      <w:r w:rsidR="00F1140A">
        <w:t>:</w:t>
      </w:r>
    </w:p>
    <w:p w:rsidR="004D0BF3" w:rsidRDefault="00F1140A" w:rsidP="002F4A30">
      <w:pPr>
        <w:pStyle w:val="ListParagraph"/>
        <w:numPr>
          <w:ilvl w:val="0"/>
          <w:numId w:val="41"/>
        </w:numPr>
        <w:autoSpaceDE w:val="0"/>
        <w:autoSpaceDN w:val="0"/>
        <w:spacing w:before="0" w:after="0"/>
      </w:pPr>
      <w:r>
        <w:t>K</w:t>
      </w:r>
      <w:r w:rsidR="004D0BF3" w:rsidRPr="00936000">
        <w:t xml:space="preserve">innisvaraga seotud eelarvekulude planeerimine toimub normatiivide alusel, kulud on stabiilsed. </w:t>
      </w:r>
    </w:p>
    <w:p w:rsidR="004D0BF3" w:rsidRDefault="004D0BF3" w:rsidP="002F4A30">
      <w:pPr>
        <w:pStyle w:val="ListParagraph"/>
        <w:numPr>
          <w:ilvl w:val="0"/>
          <w:numId w:val="41"/>
        </w:numPr>
        <w:spacing w:before="0" w:after="0"/>
      </w:pPr>
      <w:r>
        <w:t xml:space="preserve">Rahaliste vahendite planeerimine riigiasutuste pinnavajadustest lähtuvateks rendimakseteks ning RKAS-i poolt teostatavate investeeringute planeerimine toimub iga-aastaselt tavapärase </w:t>
      </w:r>
      <w:r w:rsidRPr="00737EDC">
        <w:t>riigi eelarvestrateegia ja riigieelarve protsessi raames lähtuvalt riiklikest prioriteetidest</w:t>
      </w:r>
      <w:r>
        <w:t xml:space="preserve">. </w:t>
      </w:r>
    </w:p>
    <w:p w:rsidR="004D0BF3" w:rsidRDefault="004D0BF3" w:rsidP="002F4A30">
      <w:pPr>
        <w:pStyle w:val="ListParagraph"/>
        <w:numPr>
          <w:ilvl w:val="0"/>
          <w:numId w:val="41"/>
        </w:numPr>
        <w:spacing w:before="0" w:after="0"/>
      </w:pPr>
      <w:r>
        <w:t>Uute objektide ehitamiseks ja rekonstrueerimiseks (parendusinvesteeringud) koonda</w:t>
      </w:r>
      <w:r w:rsidR="00F1140A">
        <w:t>b</w:t>
      </w:r>
      <w:r>
        <w:t xml:space="preserve"> RKAS riigiasutuste taotlused, hindab kinnisvara kompetentsikeskusena kulude vajalikkust (s.h ajakriitilisust kinnisvara säilimise, kasutusohutuse jms aspektist) ning eeldatavat suurust ja esitab oma ettepanekud Vabariigi Valitsusele, kes kinnitab investeeringute nimekirja objektide kaupa. </w:t>
      </w:r>
    </w:p>
    <w:p w:rsidR="004D0BF3" w:rsidRDefault="004D0BF3" w:rsidP="002F4A30">
      <w:pPr>
        <w:pStyle w:val="ListParagraph"/>
        <w:numPr>
          <w:ilvl w:val="0"/>
          <w:numId w:val="41"/>
        </w:numPr>
        <w:spacing w:before="0" w:after="0"/>
      </w:pPr>
      <w:r>
        <w:t xml:space="preserve">Remontide (korrashoiuinvesteeringute) planeerimine toimub RKAS-i poolt arvestades objektide tehnilist seisukorda. Vabariigi Valitsus kinnitab kulude mahud. </w:t>
      </w:r>
    </w:p>
    <w:p w:rsidR="004D0BF3" w:rsidRPr="006B4BD8" w:rsidRDefault="004D0BF3" w:rsidP="002F4A30">
      <w:pPr>
        <w:pStyle w:val="ListParagraph"/>
        <w:numPr>
          <w:ilvl w:val="0"/>
          <w:numId w:val="41"/>
        </w:numPr>
        <w:spacing w:before="0" w:after="0"/>
      </w:pPr>
      <w:r w:rsidRPr="006B4BD8">
        <w:t xml:space="preserve">Kinnisvara korrashoiu tegevusi tehakse vastavalt tegelikele vajadustele, investeeringute mahtudest sõltub järgnevate perioodide üürimakse. Varade kvaliteet on stabiilne. </w:t>
      </w:r>
    </w:p>
    <w:p w:rsidR="004D0BF3" w:rsidRDefault="004D0BF3" w:rsidP="002F4A30">
      <w:pPr>
        <w:pStyle w:val="ListParagraph"/>
        <w:numPr>
          <w:ilvl w:val="0"/>
          <w:numId w:val="41"/>
        </w:numPr>
        <w:autoSpaceDE w:val="0"/>
        <w:autoSpaceDN w:val="0"/>
        <w:spacing w:before="0" w:after="0"/>
      </w:pPr>
      <w:r>
        <w:t>Kinnisvarateenuste tellimine toimub riigi kompetentsikeskuse</w:t>
      </w:r>
      <w:r w:rsidR="00655E30">
        <w:t xml:space="preserve"> </w:t>
      </w:r>
      <w:r>
        <w:t xml:space="preserve">kaudu, kes pakub teenuseid ise või korraldab hankeid, riigiasutused on vabastatud kinnisvara haldamisega seotud probleemidest. </w:t>
      </w:r>
    </w:p>
    <w:p w:rsidR="004D0BF3" w:rsidRDefault="004D0BF3" w:rsidP="002F4A30">
      <w:pPr>
        <w:pStyle w:val="ListParagraph"/>
        <w:numPr>
          <w:ilvl w:val="0"/>
          <w:numId w:val="41"/>
        </w:numPr>
        <w:autoSpaceDE w:val="0"/>
        <w:autoSpaceDN w:val="0"/>
        <w:spacing w:before="0" w:after="0"/>
      </w:pPr>
      <w:r>
        <w:t xml:space="preserve">Rahandusministeeriumil on riigi kinnisvararegistri kaudu tsentraalne ja pidevalt aktuaalne ülevaade objektide kasutusest, kinnisvara kompetentsikeskusel on ülevaade varade investeeringuvajadusest. Ühtsed reeglid tagavad parema võrreldavuse teiste riigi objektidega ja teiste (vabaturu) objektidega. </w:t>
      </w:r>
    </w:p>
    <w:p w:rsidR="00F1140A" w:rsidRDefault="00F1140A" w:rsidP="002F4A30">
      <w:pPr>
        <w:pStyle w:val="ListParagraph"/>
        <w:numPr>
          <w:ilvl w:val="0"/>
          <w:numId w:val="41"/>
        </w:numPr>
        <w:autoSpaceDE w:val="0"/>
        <w:autoSpaceDN w:val="0"/>
        <w:spacing w:before="0" w:after="0"/>
      </w:pPr>
      <w:r>
        <w:t xml:space="preserve">Strateegia näeb ette ülemineku üürimudelile: riigiasutused kasutavad vara üürilepingute alusel, mis sisaldab ka tasu korrashoiuteenuste eest, üürimise tüüplepingud on kehtestatud valitsuse määrusega, seetõttu on üüriläbirääkimised vähem aega nõudvad. </w:t>
      </w:r>
    </w:p>
    <w:p w:rsidR="00F1140A" w:rsidRDefault="00F1140A" w:rsidP="00F1140A">
      <w:pPr>
        <w:spacing w:before="0"/>
        <w:rPr>
          <w:b/>
        </w:rPr>
      </w:pPr>
    </w:p>
    <w:p w:rsidR="004D0BF3" w:rsidRDefault="004D0BF3" w:rsidP="00F1140A">
      <w:pPr>
        <w:spacing w:before="0"/>
        <w:rPr>
          <w:b/>
        </w:rPr>
      </w:pPr>
      <w:r w:rsidRPr="009E5D56">
        <w:rPr>
          <w:b/>
        </w:rPr>
        <w:t xml:space="preserve">Hetkeolukord: </w:t>
      </w:r>
    </w:p>
    <w:p w:rsidR="004D0BF3" w:rsidRDefault="004D0BF3" w:rsidP="004D0BF3">
      <w:pPr>
        <w:spacing w:before="240"/>
      </w:pPr>
      <w:r>
        <w:t xml:space="preserve">Normatiivid ehk andmestandardid on välja töötatud, kuid normatiivid kui kulude piirmäärad puuduvad, kuna alusinfo </w:t>
      </w:r>
      <w:r w:rsidR="00F1140A">
        <w:t xml:space="preserve">(võrdlusinfo) </w:t>
      </w:r>
      <w:r>
        <w:t>piirmäärade kehtestamiseks on ebapiisav</w:t>
      </w:r>
      <w:r w:rsidR="00F1140A">
        <w:t xml:space="preserve"> ja infosüsteemid ei toeta piirmääradele vastavuse seiret</w:t>
      </w:r>
      <w:r>
        <w:t xml:space="preserve">. </w:t>
      </w:r>
    </w:p>
    <w:p w:rsidR="00F1140A" w:rsidRDefault="00F1140A" w:rsidP="00F1140A">
      <w:r>
        <w:t>K</w:t>
      </w:r>
      <w:r w:rsidRPr="00471809">
        <w:t>ehti</w:t>
      </w:r>
      <w:r>
        <w:t>v</w:t>
      </w:r>
      <w:r w:rsidRPr="00471809">
        <w:t xml:space="preserve"> nn üürimäärus</w:t>
      </w:r>
      <w:r>
        <w:t xml:space="preserve"> (riigivaraseaduse § 91 lg 1 alusel Vabariigi Valitusse poolt 30.09.2013 vastu võetud „Hoonestatud kinnisvara riigile kasutamiseks andmise lepingute üldtingimused ja üürihinna kujunemise alused“, sellele eelnev määrus võeti vastu 2 aastat varem)</w:t>
      </w:r>
      <w:r w:rsidRPr="00471809">
        <w:t xml:space="preserve"> loob alused üürihinna kujundamiseks ja üürilepingute sõlmimiseks</w:t>
      </w:r>
      <w:r>
        <w:t xml:space="preserve">. Regulatsiooniga </w:t>
      </w:r>
      <w:r w:rsidRPr="00471809">
        <w:t>standardiseeri</w:t>
      </w:r>
      <w:r>
        <w:t xml:space="preserve">takse </w:t>
      </w:r>
      <w:r w:rsidRPr="00471809">
        <w:t>tüüptingimused, kuid jä</w:t>
      </w:r>
      <w:r>
        <w:t xml:space="preserve">etakse </w:t>
      </w:r>
      <w:r w:rsidRPr="00471809">
        <w:t xml:space="preserve">võimalus leppida kokku ja läbi rääkida eritingimustes. </w:t>
      </w:r>
    </w:p>
    <w:p w:rsidR="004D0BF3" w:rsidRDefault="004D0BF3" w:rsidP="004D0BF3">
      <w:pPr>
        <w:spacing w:before="240"/>
      </w:pPr>
      <w:r w:rsidRPr="009B2B61">
        <w:rPr>
          <w:b/>
        </w:rPr>
        <w:t>Probleem 1.</w:t>
      </w:r>
      <w:r>
        <w:t xml:space="preserve"> Alates 2014. aastast hakati piirmäärasid rakendama RKAS</w:t>
      </w:r>
      <w:r w:rsidR="00FA7076">
        <w:t>-i</w:t>
      </w:r>
      <w:r>
        <w:t xml:space="preserve">le üle antud varade remondikomponendi määramisel, kuid tulenevalt remondifondi kasutamise reeglitest tekitas see probleemi. </w:t>
      </w:r>
      <w:r w:rsidRPr="00961849">
        <w:t>Riigi hoonefond on suures remondivõlas ning paljude hoonete puhul on majanduslikult otstarbekam remontimise asemel hoone rekonstrueerida</w:t>
      </w:r>
      <w:r>
        <w:t xml:space="preserve">, millega oleks </w:t>
      </w:r>
      <w:r w:rsidRPr="00961849">
        <w:t>võimalik saavutada lisaks seisukorra paranemisele ka funktsionaalne kvaliteedi tõus</w:t>
      </w:r>
      <w:r>
        <w:t>, kui mille puhul on tegemist investeeringuga eelarveprotsessi käsitluses. Sisuliselt tähendab see, et remondirahasid on justkui eraldatud, kuid nende kasutamine remondiks ei ole otstarbekas, kuid rekonstrueerimiseks neid rahasid kasutada ei tohi.</w:t>
      </w:r>
    </w:p>
    <w:p w:rsidR="004D0BF3" w:rsidRDefault="004D0BF3" w:rsidP="004D0BF3">
      <w:pPr>
        <w:spacing w:before="240"/>
      </w:pPr>
      <w:r w:rsidRPr="009B2B61">
        <w:rPr>
          <w:b/>
        </w:rPr>
        <w:t>Lahendus</w:t>
      </w:r>
      <w:r>
        <w:rPr>
          <w:b/>
        </w:rPr>
        <w:t xml:space="preserve"> 1</w:t>
      </w:r>
      <w:r w:rsidRPr="009B2B61">
        <w:rPr>
          <w:b/>
        </w:rPr>
        <w:t>:</w:t>
      </w:r>
      <w:r>
        <w:t xml:space="preserve"> </w:t>
      </w:r>
      <w:r w:rsidRPr="00961849">
        <w:t>Rahandusministeerium koos RKAS-iga on 2015.aastal välja töötamas remondifondi kasutamise kriteeriume, mille alusel oleks võimalik remondirahasid osaliselt kasutada ka rekonstrueerimisel.</w:t>
      </w:r>
    </w:p>
    <w:p w:rsidR="004D0BF3" w:rsidRDefault="004D0BF3" w:rsidP="004D0BF3">
      <w:r w:rsidRPr="009B2B61">
        <w:rPr>
          <w:b/>
        </w:rPr>
        <w:t>Probleem 2.</w:t>
      </w:r>
      <w:r>
        <w:t xml:space="preserve"> </w:t>
      </w:r>
      <w:r w:rsidRPr="00720B39">
        <w:t>Riigi kinnisvarakulude rahastamise põhimõtted ning kinnisvarakulude aruandluse ja analüüsi protsessid on puudulikud ja puudulikult kommunikeeritud erinevate osapoolte vahel.</w:t>
      </w:r>
      <w:r w:rsidRPr="006B4BD8">
        <w:t xml:space="preserve"> </w:t>
      </w:r>
    </w:p>
    <w:p w:rsidR="004D0BF3" w:rsidRDefault="004D0BF3" w:rsidP="004D0BF3">
      <w:r w:rsidRPr="009B2B61">
        <w:rPr>
          <w:b/>
        </w:rPr>
        <w:t>Lahendus</w:t>
      </w:r>
      <w:r>
        <w:rPr>
          <w:b/>
        </w:rPr>
        <w:t xml:space="preserve"> 2</w:t>
      </w:r>
      <w:r w:rsidRPr="009B2B61">
        <w:rPr>
          <w:b/>
        </w:rPr>
        <w:t>.</w:t>
      </w:r>
      <w:r>
        <w:t xml:space="preserve"> Kinnisvara rahastamise aluspõhimõtete ja eelarveprotsessi selge kirjeldamine.</w:t>
      </w:r>
    </w:p>
    <w:p w:rsidR="004D0BF3" w:rsidRPr="006652C3" w:rsidRDefault="004D0BF3" w:rsidP="002F4A30">
      <w:pPr>
        <w:pStyle w:val="ListParagraph"/>
        <w:numPr>
          <w:ilvl w:val="0"/>
          <w:numId w:val="20"/>
        </w:numPr>
      </w:pPr>
      <w:r w:rsidRPr="006B4BD8">
        <w:t xml:space="preserve">2014. aastal rakendas Rahandusministeerium investeeringuotsuste langetamisel kolme-etapilist lähenemist, kus esmalt otsustatakse loa andmine investeerimisprojekti ettevalmistamiseks. Ettevalmistamise protsessis selgitatakse välja ruumivajadus. Teine samm on projekteerimise loa andmine. Projekteerimisetapi käigus </w:t>
      </w:r>
      <w:r w:rsidRPr="00961849">
        <w:t xml:space="preserve">täpsustuvad vajadused, etapi väljundiks on </w:t>
      </w:r>
      <w:r w:rsidR="001D5E1C">
        <w:t>põhi</w:t>
      </w:r>
      <w:r w:rsidRPr="00961849">
        <w:t xml:space="preserve">projekt koos ehituskalkulatsiooniga. Seejärel alles </w:t>
      </w:r>
      <w:r w:rsidRPr="006652C3">
        <w:t>teeb valitsus ehitus- ja finantseerimisotsuse.</w:t>
      </w:r>
    </w:p>
    <w:p w:rsidR="006652C3" w:rsidRPr="006652C3" w:rsidRDefault="004D0BF3" w:rsidP="002F4A30">
      <w:pPr>
        <w:pStyle w:val="ListParagraph"/>
        <w:numPr>
          <w:ilvl w:val="0"/>
          <w:numId w:val="20"/>
        </w:numPr>
        <w:jc w:val="left"/>
      </w:pPr>
      <w:r w:rsidRPr="006652C3">
        <w:t xml:space="preserve">Veel 2015. aastal </w:t>
      </w:r>
      <w:r w:rsidR="006652C3" w:rsidRPr="006652C3">
        <w:t xml:space="preserve">on võimalik </w:t>
      </w:r>
      <w:r w:rsidRPr="006652C3">
        <w:t>teha kiirparendused praeguses süsteemis:</w:t>
      </w:r>
      <w:r w:rsidR="00655E30">
        <w:t xml:space="preserve"> </w:t>
      </w:r>
      <w:r w:rsidRPr="006652C3">
        <w:t>Kirjeldada ja valitsejatele teatavaks teha riigi kinnisvara rahastamise põhimõtted ning kinnisvarakulude aruandluse ja analüüsi protsess riigieelarve strateegias (RES 2017-2020) ja riigieelarves (RE), eraldi investeeringute, rendimaksete ja remontide kohta.</w:t>
      </w:r>
      <w:r w:rsidR="00655E30">
        <w:t xml:space="preserve"> </w:t>
      </w:r>
    </w:p>
    <w:p w:rsidR="006652C3" w:rsidRPr="006652C3" w:rsidRDefault="004D0BF3" w:rsidP="002F4A30">
      <w:pPr>
        <w:pStyle w:val="ListParagraph"/>
        <w:numPr>
          <w:ilvl w:val="0"/>
          <w:numId w:val="20"/>
        </w:numPr>
      </w:pPr>
      <w:r w:rsidRPr="006652C3">
        <w:t>Algatada riigi kinnisvara rahastamise strateegia koostamine koos motivatsioonimehhanismidega riigivara valitsejatele ja RKAS-</w:t>
      </w:r>
      <w:r w:rsidR="00FA7076">
        <w:t>i</w:t>
      </w:r>
      <w:r w:rsidRPr="006652C3">
        <w:t xml:space="preserve">le, mis arvestab praktikas kujunenud uut olukorda ja pikaajalisest eelarvest tulenevaid võimalusi, sh valitsussektori tasakaalupiiranguid. Strateegia väljatöötamisel tuleb kaaluda mh strateegia ulatuse laiendamist riigieelarvest rahastatavate juriidiliste isikute hoonetele ning rajatistele ja hoonestamata kinnisvarale. </w:t>
      </w:r>
    </w:p>
    <w:p w:rsidR="006652C3" w:rsidRPr="006652C3" w:rsidRDefault="006652C3" w:rsidP="002F4A30">
      <w:pPr>
        <w:pStyle w:val="ListParagraph"/>
        <w:numPr>
          <w:ilvl w:val="0"/>
          <w:numId w:val="20"/>
        </w:numPr>
        <w:jc w:val="left"/>
        <w:rPr>
          <w:rFonts w:cs="Arial"/>
          <w:bCs/>
          <w:kern w:val="32"/>
        </w:rPr>
      </w:pPr>
      <w:r w:rsidRPr="006652C3">
        <w:t xml:space="preserve">Eesmärgiks on, et riigil tekiks pikaajaline rahastamiskava, mis on koostatud lähtudes riigi poolt võetud kohustustest (üürilepingute jt teenuslepingute alusinfo), mida täpsustatakse igal aastal enne RES ja RE protsessi (lepingute muudatused ja nende põhjendatus). </w:t>
      </w:r>
    </w:p>
    <w:p w:rsidR="004D0BF3" w:rsidRDefault="004D0BF3" w:rsidP="00D64E04">
      <w:pPr>
        <w:rPr>
          <w:noProof/>
          <w:szCs w:val="21"/>
        </w:rPr>
      </w:pPr>
      <w:r w:rsidRPr="006652C3">
        <w:rPr>
          <w:b/>
        </w:rPr>
        <w:t>Probleem 3:</w:t>
      </w:r>
      <w:r w:rsidRPr="006652C3">
        <w:t xml:space="preserve"> Infosüsteemid ei toeta kinnisvara</w:t>
      </w:r>
      <w:r>
        <w:t xml:space="preserve"> eelarveprotsessi. </w:t>
      </w:r>
      <w:r w:rsidRPr="006B4BD8">
        <w:t>Riigi kinnisva</w:t>
      </w:r>
      <w:r w:rsidRPr="00BB0123">
        <w:rPr>
          <w:noProof/>
          <w:szCs w:val="21"/>
        </w:rPr>
        <w:t xml:space="preserve">raregister töötab, kuid vajab olulisi edasiarendusi, </w:t>
      </w:r>
      <w:r>
        <w:rPr>
          <w:noProof/>
          <w:szCs w:val="21"/>
        </w:rPr>
        <w:t xml:space="preserve">kuna </w:t>
      </w:r>
      <w:r w:rsidRPr="00BB0123">
        <w:rPr>
          <w:noProof/>
          <w:szCs w:val="21"/>
        </w:rPr>
        <w:t>ei toeta</w:t>
      </w:r>
      <w:r>
        <w:rPr>
          <w:noProof/>
          <w:szCs w:val="21"/>
        </w:rPr>
        <w:t xml:space="preserve"> riigi kinnisvarakulude ja ruumikasutuse analüüsi. </w:t>
      </w:r>
    </w:p>
    <w:p w:rsidR="004D0BF3" w:rsidRDefault="004D0BF3" w:rsidP="00D64E04">
      <w:r w:rsidRPr="009B2B61">
        <w:rPr>
          <w:b/>
          <w:noProof/>
          <w:szCs w:val="21"/>
        </w:rPr>
        <w:t xml:space="preserve">Lahendus 3: </w:t>
      </w:r>
      <w:r>
        <w:t>Infosüsteemid ja infohaldus laiemalt vajavad olulist edasiarendust ja liides</w:t>
      </w:r>
      <w:r w:rsidR="00FA7076">
        <w:t xml:space="preserve">tamist (vt detailsemalt ptk </w:t>
      </w:r>
      <w:r w:rsidR="00A85FDC">
        <w:fldChar w:fldCharType="begin"/>
      </w:r>
      <w:r w:rsidR="00FA7076">
        <w:instrText xml:space="preserve"> REF _Ref427308558 \r \h </w:instrText>
      </w:r>
      <w:r w:rsidR="00A85FDC">
        <w:fldChar w:fldCharType="separate"/>
      </w:r>
      <w:r w:rsidR="00477322">
        <w:t>2.6.3</w:t>
      </w:r>
      <w:r w:rsidR="00A85FDC">
        <w:fldChar w:fldCharType="end"/>
      </w:r>
      <w:r>
        <w:t>).</w:t>
      </w:r>
      <w:r w:rsidR="006652C3" w:rsidRPr="006652C3">
        <w:t xml:space="preserve"> Esimesel võimalusel tuleb </w:t>
      </w:r>
      <w:r w:rsidR="006652C3" w:rsidRPr="006652C3">
        <w:rPr>
          <w:rFonts w:cs="Arial"/>
          <w:bCs/>
          <w:kern w:val="32"/>
          <w:szCs w:val="24"/>
        </w:rPr>
        <w:t>riigi üürikulude planeerimine</w:t>
      </w:r>
      <w:r w:rsidR="006652C3">
        <w:rPr>
          <w:rFonts w:cs="Arial"/>
          <w:bCs/>
          <w:kern w:val="32"/>
          <w:szCs w:val="24"/>
        </w:rPr>
        <w:t xml:space="preserve"> </w:t>
      </w:r>
      <w:r w:rsidR="006652C3" w:rsidRPr="006652C3">
        <w:rPr>
          <w:rFonts w:cs="Arial"/>
          <w:bCs/>
          <w:kern w:val="32"/>
        </w:rPr>
        <w:t xml:space="preserve">viia ühtsesse andmekeskkonda (riigi </w:t>
      </w:r>
      <w:r w:rsidR="006652C3" w:rsidRPr="006652C3">
        <w:rPr>
          <w:rFonts w:cs="Arial"/>
          <w:bCs/>
          <w:kern w:val="32"/>
          <w:szCs w:val="24"/>
        </w:rPr>
        <w:t>kinnisvararegistris</w:t>
      </w:r>
      <w:r w:rsidR="006652C3" w:rsidRPr="006652C3">
        <w:rPr>
          <w:rFonts w:cs="Arial"/>
          <w:bCs/>
          <w:kern w:val="32"/>
        </w:rPr>
        <w:t>se).</w:t>
      </w:r>
    </w:p>
    <w:p w:rsidR="00F1140A" w:rsidRDefault="00F1140A" w:rsidP="00D64E04">
      <w:r w:rsidRPr="002F0C2F">
        <w:rPr>
          <w:b/>
        </w:rPr>
        <w:t>Probleem 4:</w:t>
      </w:r>
      <w:r w:rsidRPr="002F0C2F">
        <w:t xml:space="preserve"> Üüriregulatsiooni paindlikkus ja pooltele loodud võimalus lepingu detailides</w:t>
      </w:r>
      <w:r w:rsidRPr="00471809">
        <w:t xml:space="preserve"> läbi rääkida</w:t>
      </w:r>
      <w:r>
        <w:t xml:space="preserve"> on saanud kitsaskohaks riigi vaates: </w:t>
      </w:r>
    </w:p>
    <w:p w:rsidR="00F1140A" w:rsidRDefault="00F1140A" w:rsidP="00F1140A">
      <w:r>
        <w:t xml:space="preserve">Paindlik regulatsioon on loodud „intelligentsele tellijale“, </w:t>
      </w:r>
      <w:r w:rsidRPr="00471809">
        <w:t xml:space="preserve">enamus valitsejatest </w:t>
      </w:r>
      <w:r w:rsidR="002F0C2F">
        <w:t xml:space="preserve">seda rolli kahjuks </w:t>
      </w:r>
      <w:r w:rsidR="00D64E04">
        <w:t xml:space="preserve">alati </w:t>
      </w:r>
      <w:r w:rsidR="002F0C2F">
        <w:t xml:space="preserve">välja </w:t>
      </w:r>
      <w:r w:rsidR="00D64E04">
        <w:t xml:space="preserve">ei kanna </w:t>
      </w:r>
      <w:r w:rsidR="002F0C2F">
        <w:t xml:space="preserve">kas </w:t>
      </w:r>
      <w:r w:rsidRPr="00471809">
        <w:t>ressursi</w:t>
      </w:r>
      <w:r w:rsidR="002F0C2F">
        <w:t xml:space="preserve"> või </w:t>
      </w:r>
      <w:r w:rsidRPr="00471809">
        <w:t>kompetentsi puudusel</w:t>
      </w:r>
      <w:r>
        <w:t>, või teadmatusest, et neil on võimalus läbi rääkida</w:t>
      </w:r>
      <w:r w:rsidRPr="00471809">
        <w:t xml:space="preserve">. </w:t>
      </w:r>
      <w:r>
        <w:t xml:space="preserve">Välja on </w:t>
      </w:r>
      <w:r w:rsidRPr="00471809">
        <w:t xml:space="preserve">tulnud ilmekaid näiteid, kus üürnik ei ole mõistnud sõlmitud üürilepingu teenuste ja tingimuste sisu, RKAS-i kui üürileandja selgitused teenuste hinnamuutuste kohta ei ole olnud piisavad. See viitab üüriregulatsiooni lihtsustamise ja standardiseerimise vajadusele, vähemalt siseteenuste osas (st lepingutes RKAS-iga). </w:t>
      </w:r>
    </w:p>
    <w:p w:rsidR="00F1140A" w:rsidRDefault="00D64E04" w:rsidP="00F1140A">
      <w:r w:rsidRPr="005973C2">
        <w:t>Paindlik regulatsioon muudab keerukaks e</w:t>
      </w:r>
      <w:r w:rsidR="00F1140A" w:rsidRPr="005973C2">
        <w:t>elarvekulude planeerimise. Jättes kõrvalteenuste</w:t>
      </w:r>
      <w:r w:rsidR="00F1140A">
        <w:t xml:space="preserve"> kokkulepped lahtiseks ja sidudes need </w:t>
      </w:r>
      <w:r>
        <w:t xml:space="preserve">tegeliku tarbimise mahtudega, </w:t>
      </w:r>
      <w:r w:rsidR="00F1140A">
        <w:t xml:space="preserve">hangete tulemustega või elukalliduse tõusuga </w:t>
      </w:r>
      <w:r>
        <w:t xml:space="preserve">ei taga tegevuskulude stabiilsuse eesmärki. </w:t>
      </w:r>
      <w:r w:rsidR="00F1140A">
        <w:t xml:space="preserve">Eelarve stabiilsuse huvides oleks lahenduseks enamiku teenuste käsitlemine üüriteenusena, millega kaasneb oluliselt väiksem hinnamuutuse võimalus, kuid </w:t>
      </w:r>
      <w:r>
        <w:t>suunates</w:t>
      </w:r>
      <w:r w:rsidR="00F1140A">
        <w:t xml:space="preserve"> riskid üüri</w:t>
      </w:r>
      <w:r>
        <w:t xml:space="preserve">leandjale tõstab see üürihinda ja on võib olla riigile kallim. </w:t>
      </w:r>
    </w:p>
    <w:p w:rsidR="00F1140A" w:rsidRDefault="00F1140A" w:rsidP="00F1140A">
      <w:r w:rsidRPr="00471809">
        <w:t xml:space="preserve">Üürilepingute suurem standardiseeritus on ka väliriikides kasvav trend sisesuhetes. Samuti on välisriikides selgeks suundumuseks erasektoriga lepingute suurem koondatus kompetentsikeskusesse. </w:t>
      </w:r>
    </w:p>
    <w:p w:rsidR="00471809" w:rsidRDefault="00471809" w:rsidP="002701A0">
      <w:r>
        <w:rPr>
          <w:b/>
        </w:rPr>
        <w:t>Lahendus</w:t>
      </w:r>
      <w:r w:rsidR="002F0C2F">
        <w:rPr>
          <w:b/>
        </w:rPr>
        <w:t xml:space="preserve"> 4</w:t>
      </w:r>
      <w:r w:rsidRPr="00720B39">
        <w:rPr>
          <w:b/>
        </w:rPr>
        <w:t>:</w:t>
      </w:r>
      <w:r w:rsidRPr="00720B39">
        <w:t xml:space="preserve"> </w:t>
      </w:r>
      <w:r w:rsidR="00B0729B">
        <w:t>Analüüsida üüriregulatsioon</w:t>
      </w:r>
      <w:r w:rsidR="002F0C2F">
        <w:t>i muutmise vajadust ja ulatust, luua lihtsam ja standardsem regulatsioon vähemalt sisetehingutes.</w:t>
      </w:r>
      <w:r w:rsidR="00D64E04">
        <w:t xml:space="preserve"> </w:t>
      </w:r>
      <w:r w:rsidR="002F0C2F">
        <w:t>Teiseks meetmeks on kompetentsi kasvatamine koolitustega, seda on ka kasutatud: nii 2014.</w:t>
      </w:r>
      <w:r w:rsidR="00655E30">
        <w:t xml:space="preserve"> </w:t>
      </w:r>
      <w:r w:rsidR="002F0C2F">
        <w:t>kui 2015. aastal on toimunud mitmeid üürilepingute sõlmimise kompetentsi tõstvat koolitust, mille tagasiside on olnud väga positiivne.</w:t>
      </w:r>
      <w:r w:rsidR="00655E30">
        <w:t xml:space="preserve"> </w:t>
      </w:r>
    </w:p>
    <w:p w:rsidR="002701A0" w:rsidRDefault="002701A0" w:rsidP="002701A0">
      <w:r w:rsidRPr="002701A0">
        <w:rPr>
          <w:b/>
        </w:rPr>
        <w:t>Probleem 5:</w:t>
      </w:r>
      <w:r>
        <w:t xml:space="preserve"> Puudu on kolmandik kuni pool vajalikust rahastamismahust. Kogukulud ruutmeetri kohta (sisaldab kõiki kulukomponente, st kapitali-, remondi- ja teenuste kulusid, ilma käibemaksuta, et oleks võrreldav turuga):</w:t>
      </w:r>
    </w:p>
    <w:p w:rsidR="002701A0" w:rsidRDefault="002701A0" w:rsidP="002F4A30">
      <w:pPr>
        <w:pStyle w:val="ListParagraph"/>
        <w:numPr>
          <w:ilvl w:val="0"/>
          <w:numId w:val="43"/>
        </w:numPr>
        <w:spacing w:before="0" w:after="0"/>
      </w:pPr>
      <w:r>
        <w:t xml:space="preserve">Piisavaks kulutasemeks riigi kinnisvaraportfelli ülalpidamiseks säästlikul majandamisel võib pidada keskmiselt 100-120 eurot/m²/aastas ehk 8,3-10 eurot/m²/kuus (arvestades erinevaid kasutusotstarbeid). </w:t>
      </w:r>
    </w:p>
    <w:p w:rsidR="002701A0" w:rsidRDefault="002701A0" w:rsidP="002F4A30">
      <w:pPr>
        <w:pStyle w:val="ListParagraph"/>
        <w:numPr>
          <w:ilvl w:val="0"/>
          <w:numId w:val="43"/>
        </w:numPr>
        <w:spacing w:before="0" w:after="0"/>
      </w:pPr>
      <w:r>
        <w:t>Uuele rahastamismudelile üle läinud kinnisvara ehk RKAS-ile makstavate rendimaksete kulud 2014. aastal olid keskmiselt 111 eurot/m²/aastas ehk 9,3 eurot/m²/kuus. See sisaldab nii seniste kuludega üle tulnud hooneid kui uute investeeringutega hooneid.</w:t>
      </w:r>
    </w:p>
    <w:p w:rsidR="002701A0" w:rsidRDefault="002701A0" w:rsidP="002F4A30">
      <w:pPr>
        <w:pStyle w:val="ListParagraph"/>
        <w:numPr>
          <w:ilvl w:val="0"/>
          <w:numId w:val="43"/>
        </w:numPr>
        <w:spacing w:before="0" w:after="0"/>
      </w:pPr>
      <w:r>
        <w:t>Kogu riigiasutuste hoonete portfelli kulud on keskmiselt 68 eurot/m²/aastas ehk 5,7 eurot/m²/kuus.</w:t>
      </w:r>
    </w:p>
    <w:p w:rsidR="002701A0" w:rsidRDefault="002701A0" w:rsidP="002701A0">
      <w:r w:rsidRPr="002701A0">
        <w:rPr>
          <w:b/>
        </w:rPr>
        <w:t xml:space="preserve">Lahendus 5: </w:t>
      </w:r>
      <w:r>
        <w:t>Kuna rahastamismahtude oluline kasvata</w:t>
      </w:r>
      <w:r>
        <w:rPr>
          <w:color w:val="000000"/>
        </w:rPr>
        <w:t xml:space="preserve">mine on vähetõenäoline, siis on vajalik kasutatava pinna oluline vähendamine - optimeerimine, senisest säästlikumate lahenduste kasutamine ja väga täpsed investeerimisotsused. </w:t>
      </w:r>
    </w:p>
    <w:p w:rsidR="00354B1D" w:rsidRDefault="00354B1D" w:rsidP="00354B1D">
      <w:pPr>
        <w:pStyle w:val="Caption"/>
        <w:spacing w:before="120"/>
      </w:pPr>
      <w:r>
        <w:t xml:space="preserve">Joonis </w:t>
      </w:r>
      <w:fldSimple w:instr=" SEQ Joonis \* ARABIC ">
        <w:r w:rsidR="00477322">
          <w:rPr>
            <w:noProof/>
          </w:rPr>
          <w:t>24</w:t>
        </w:r>
      </w:fldSimple>
      <w:r>
        <w:t>. Kinnisvarareformi tegevustega jätkamine</w:t>
      </w:r>
      <w:r w:rsidR="002C7292">
        <w:t xml:space="preserve"> lähtudes TOI strateegiast</w:t>
      </w:r>
    </w:p>
    <w:p w:rsidR="00354B1D" w:rsidRDefault="00354B1D" w:rsidP="00354B1D">
      <w:pPr>
        <w:keepNext/>
        <w:spacing w:before="0"/>
        <w:jc w:val="left"/>
      </w:pPr>
      <w:r>
        <w:rPr>
          <w:noProof/>
          <w:lang w:eastAsia="et-EE"/>
        </w:rPr>
        <w:drawing>
          <wp:inline distT="0" distB="0" distL="0" distR="0">
            <wp:extent cx="5539068" cy="3621320"/>
            <wp:effectExtent l="19050" t="0" r="4482" b="0"/>
            <wp:docPr id="52" name="Picture 51" descr="VEr P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 PIlt.png"/>
                    <pic:cNvPicPr/>
                  </pic:nvPicPr>
                  <pic:blipFill>
                    <a:blip r:embed="rId54" cstate="print"/>
                    <a:stretch>
                      <a:fillRect/>
                    </a:stretch>
                  </pic:blipFill>
                  <pic:spPr>
                    <a:xfrm>
                      <a:off x="0" y="0"/>
                      <a:ext cx="5539068" cy="3621320"/>
                    </a:xfrm>
                    <a:prstGeom prst="rect">
                      <a:avLst/>
                    </a:prstGeom>
                  </pic:spPr>
                </pic:pic>
              </a:graphicData>
            </a:graphic>
          </wp:inline>
        </w:drawing>
      </w:r>
    </w:p>
    <w:p w:rsidR="00860D37" w:rsidRPr="004D0BF3" w:rsidRDefault="00860D37" w:rsidP="00860D37">
      <w:pPr>
        <w:pStyle w:val="Pealkiri3"/>
      </w:pPr>
      <w:bookmarkStart w:id="394" w:name="_Ref427308558"/>
      <w:bookmarkStart w:id="395" w:name="_Toc433980740"/>
      <w:bookmarkEnd w:id="339"/>
      <w:r w:rsidRPr="004D0BF3">
        <w:t>Kinnisvara juhtimisinfo ja infohalduse par</w:t>
      </w:r>
      <w:r w:rsidR="009B0611">
        <w:t>e</w:t>
      </w:r>
      <w:r w:rsidRPr="004D0BF3">
        <w:t>ndamine</w:t>
      </w:r>
      <w:bookmarkEnd w:id="394"/>
      <w:bookmarkEnd w:id="395"/>
      <w:r w:rsidRPr="004D0BF3">
        <w:t xml:space="preserve"> </w:t>
      </w:r>
    </w:p>
    <w:p w:rsidR="007A6C74" w:rsidRPr="007A6C74" w:rsidRDefault="007A6C74" w:rsidP="007A6C74">
      <w:pPr>
        <w:rPr>
          <w:kern w:val="32"/>
        </w:rPr>
      </w:pPr>
      <w:r w:rsidRPr="007A6C74">
        <w:rPr>
          <w:kern w:val="32"/>
        </w:rPr>
        <w:t xml:space="preserve">Juhtimisotsusteks vajaliku info koondamiseks on juba neli aastat töös olnud riigi kinnisvararegister, mis alusandmetena kasutab ehitisregistri, maakatastri ja kinnistusraamatu andmeid. </w:t>
      </w:r>
    </w:p>
    <w:p w:rsidR="007A6C74" w:rsidRPr="007A6C74" w:rsidRDefault="007A6C74" w:rsidP="007A6C74">
      <w:pPr>
        <w:rPr>
          <w:kern w:val="32"/>
        </w:rPr>
      </w:pPr>
      <w:r w:rsidRPr="007A6C74">
        <w:rPr>
          <w:kern w:val="32"/>
        </w:rPr>
        <w:t xml:space="preserve">Riigi kinnisvararegistris oleks vajalik omada infot ka vara kasutuse, kulude, seisukorra ja investeeringuvajaduse kohta. Lisandväärtusena peaks kinnisvararegistrist tulema aruandlus, mis toetab vajalike otsuste langetamist. </w:t>
      </w:r>
    </w:p>
    <w:p w:rsidR="007A6C74" w:rsidRDefault="007A6C74" w:rsidP="007A6C74">
      <w:r w:rsidRPr="007A6C74">
        <w:rPr>
          <w:kern w:val="32"/>
        </w:rPr>
        <w:t>Täna on RKVR-is olevad hoonete andmed ebaühtlase ja paljuski puuduliku kvaliteediga. Kuna andmete sisestamine registrisse on ebamugav ja aeganõudev, siis jätavad varavalitsejad selle sageli poolikuks. Seega nõuab andmete kvaliteedi tõstmine ühest küljest registriarendusi ja täpsemaid metoodikaid. Teisest küljest saab halb andmekvaliteet alguse juba alusandmetena kasutatavast Ehitisregistrist. Märkimisväärne osa riigile kuuluvatest hoonetest ei ole üldse registrisse kantud.</w:t>
      </w:r>
      <w:r>
        <w:rPr>
          <w:kern w:val="32"/>
        </w:rPr>
        <w:t xml:space="preserve"> </w:t>
      </w:r>
      <w:r w:rsidR="005973C2">
        <w:t xml:space="preserve">Peatükk </w:t>
      </w:r>
      <w:r w:rsidR="00A85FDC">
        <w:fldChar w:fldCharType="begin"/>
      </w:r>
      <w:r w:rsidR="00B361D1">
        <w:instrText xml:space="preserve"> REF _Ref427305990 \r \h </w:instrText>
      </w:r>
      <w:r w:rsidR="00A85FDC">
        <w:fldChar w:fldCharType="separate"/>
      </w:r>
      <w:r w:rsidR="00477322">
        <w:t>2.1</w:t>
      </w:r>
      <w:r w:rsidR="00A85FDC">
        <w:fldChar w:fldCharType="end"/>
      </w:r>
      <w:r w:rsidR="00B361D1">
        <w:t xml:space="preserve"> </w:t>
      </w:r>
      <w:r w:rsidR="005973C2">
        <w:t>käsitles hoonete andmete korrastamisega seonduvaid probleeme riigivaraseaduse ja ehi</w:t>
      </w:r>
      <w:r w:rsidR="000F0978">
        <w:t xml:space="preserve">tusseaduse nõuete täitmise osas. </w:t>
      </w:r>
      <w:r w:rsidR="005973C2">
        <w:t xml:space="preserve"> </w:t>
      </w:r>
      <w:r w:rsidR="000F0978">
        <w:t xml:space="preserve">Riigi omandis olevate hoonete </w:t>
      </w:r>
      <w:r w:rsidR="005973C2">
        <w:t xml:space="preserve"> kohta on koostatud ja esitatakse käesoleva aruandega ka tegevuskava (</w:t>
      </w:r>
      <w:r w:rsidR="00B361D1">
        <w:t xml:space="preserve">käesoleva aruande </w:t>
      </w:r>
      <w:r w:rsidR="00A85FDC">
        <w:fldChar w:fldCharType="begin"/>
      </w:r>
      <w:r w:rsidR="00B361D1">
        <w:instrText xml:space="preserve"> REF _Ref427306035 \h </w:instrText>
      </w:r>
      <w:r w:rsidR="00A85FDC">
        <w:fldChar w:fldCharType="separate"/>
      </w:r>
      <w:r w:rsidR="00477322">
        <w:rPr>
          <w:kern w:val="32"/>
        </w:rPr>
        <w:t>Lisa 4. Andmete korrastamise tegevuskava</w:t>
      </w:r>
      <w:r w:rsidR="00A85FDC">
        <w:fldChar w:fldCharType="end"/>
      </w:r>
      <w:r w:rsidR="005973C2" w:rsidRPr="00B361D1">
        <w:t>)</w:t>
      </w:r>
      <w:r w:rsidR="005973C2">
        <w:t xml:space="preserve"> hoonete andmete korrastamiseks, </w:t>
      </w:r>
      <w:r>
        <w:t>mille t</w:t>
      </w:r>
      <w:r>
        <w:rPr>
          <w:rFonts w:cs="Arial"/>
          <w:bCs/>
          <w:kern w:val="32"/>
        </w:rPr>
        <w:t>ulemus ei taga veel hoonestatud kinnisvara juhtimiseks vajaliku info olemasolu.</w:t>
      </w:r>
    </w:p>
    <w:p w:rsidR="005973C2" w:rsidRPr="00927E04" w:rsidRDefault="007A6C74" w:rsidP="007A6C74">
      <w:r w:rsidRPr="00927E04">
        <w:t xml:space="preserve">Viidatud tegevuskava alusel on võimalik korrastada </w:t>
      </w:r>
      <w:r w:rsidR="000F0978">
        <w:t xml:space="preserve">riigi omandis olevate </w:t>
      </w:r>
      <w:r w:rsidRPr="00927E04">
        <w:t>hoonete pinnaandmed ja luua eeldused edasiseks andmete kogumisek</w:t>
      </w:r>
      <w:r w:rsidR="00927E04">
        <w:t>s ja andmemudeli rakendamiseks, kuid jätkuvalt jäävad probleemideks:</w:t>
      </w:r>
    </w:p>
    <w:p w:rsidR="005973C2" w:rsidRDefault="005973C2" w:rsidP="002F4A30">
      <w:pPr>
        <w:pStyle w:val="Loend1"/>
        <w:numPr>
          <w:ilvl w:val="0"/>
          <w:numId w:val="42"/>
        </w:numPr>
      </w:pPr>
      <w:r w:rsidRPr="00487EC2">
        <w:rPr>
          <w:u w:val="single"/>
        </w:rPr>
        <w:t>Kuluandmete puudulikkus</w:t>
      </w:r>
      <w:r>
        <w:rPr>
          <w:u w:val="single"/>
        </w:rPr>
        <w:t xml:space="preserve">. </w:t>
      </w:r>
      <w:r w:rsidRPr="00487EC2">
        <w:t>Riigi kinnisvara</w:t>
      </w:r>
      <w:r>
        <w:t>register peab arvestus</w:t>
      </w:r>
      <w:r w:rsidR="000F0978">
        <w:t>t</w:t>
      </w:r>
      <w:r>
        <w:t xml:space="preserve"> lepingute ja nendega võetud kohustuste kohta, riigi finantsjuhtimise infosüsteem jälgib, et igal väljamaksel oleks väljamakses alus. </w:t>
      </w:r>
      <w:r w:rsidRPr="00487EC2">
        <w:t xml:space="preserve">Võrreldes </w:t>
      </w:r>
      <w:r>
        <w:t>RKVR andmeid (sõlmitud l</w:t>
      </w:r>
      <w:r w:rsidR="00B361D1">
        <w:t xml:space="preserve">epingutega võetud kohustused) </w:t>
      </w:r>
      <w:r>
        <w:t>saldoandmike andmetega (RKAS-</w:t>
      </w:r>
      <w:r w:rsidR="00B361D1">
        <w:t>i</w:t>
      </w:r>
      <w:r>
        <w:t>le tehtud väljamaksed) ja RKAS-i poolt esitatud eelarveprognoosides esitatud andmetega on vahed miljonites. Ainus võimalus lepingute haldus</w:t>
      </w:r>
      <w:r w:rsidR="00B361D1">
        <w:t>t</w:t>
      </w:r>
      <w:r>
        <w:t xml:space="preserve"> parandada on infosüsteemid omavahel suhtlema saada.</w:t>
      </w:r>
      <w:r w:rsidR="00655E30">
        <w:t xml:space="preserve"> </w:t>
      </w:r>
    </w:p>
    <w:p w:rsidR="005973C2" w:rsidRPr="007274CE" w:rsidRDefault="005973C2" w:rsidP="002F4A30">
      <w:pPr>
        <w:pStyle w:val="Loend1"/>
        <w:numPr>
          <w:ilvl w:val="0"/>
          <w:numId w:val="42"/>
        </w:numPr>
      </w:pPr>
      <w:r w:rsidRPr="00487EC2">
        <w:rPr>
          <w:u w:val="single"/>
        </w:rPr>
        <w:t>Ruumide kasutamise info puudumine.</w:t>
      </w:r>
      <w:r>
        <w:t xml:space="preserve"> Ruumide kasutamise andmed on vajalikud </w:t>
      </w:r>
      <w:r w:rsidRPr="007274CE">
        <w:t>nii strateegilisel tasemel (puuduvad seosed valdkondade arengukavadega) kui operatiivtasemel (ruumide kasutamisega seotud info, sh seos töökohtadega, mis võimaldaks hinnata pindade kasutusintensiivsust). Riigi finantsjuhtimise infosüsteemis toimub küll varade kaardistamine ja sidumine ruumide ja töötajatega, kuid tänane tehniline platvorm ei võimalda seda infot siduda RKVR andmetega, kus puudub ruumi tasand. Samal ajal on RKAS-</w:t>
      </w:r>
      <w:r w:rsidR="00B361D1">
        <w:t>i</w:t>
      </w:r>
      <w:r w:rsidRPr="007274CE">
        <w:t xml:space="preserve">l valmisolek arendada oma infosüsteeme tuginedes kaasaegsetele tehnoloogiatele ja rahvusvahelisele parimale praktikale. </w:t>
      </w:r>
      <w:r>
        <w:t xml:space="preserve">Ruumide kasutamise info puudumine on takistuseks optimeerimiskavade koostamisele. </w:t>
      </w:r>
    </w:p>
    <w:p w:rsidR="007022D9" w:rsidRPr="00B361D1" w:rsidRDefault="00927E04" w:rsidP="002F4A30">
      <w:pPr>
        <w:pStyle w:val="ListParagraph"/>
        <w:numPr>
          <w:ilvl w:val="0"/>
          <w:numId w:val="42"/>
        </w:numPr>
        <w:rPr>
          <w:rFonts w:cs="Arial"/>
          <w:bCs/>
          <w:kern w:val="32"/>
        </w:rPr>
      </w:pPr>
      <w:r w:rsidRPr="00B361D1">
        <w:rPr>
          <w:rFonts w:cs="Arial"/>
          <w:bCs/>
          <w:kern w:val="32"/>
          <w:u w:val="single"/>
        </w:rPr>
        <w:t>H</w:t>
      </w:r>
      <w:r w:rsidR="007022D9" w:rsidRPr="00B361D1">
        <w:rPr>
          <w:rFonts w:cs="Arial"/>
          <w:bCs/>
          <w:kern w:val="32"/>
          <w:u w:val="single"/>
        </w:rPr>
        <w:t>oone tehnilise</w:t>
      </w:r>
      <w:r w:rsidRPr="00B361D1">
        <w:rPr>
          <w:rFonts w:cs="Arial"/>
          <w:bCs/>
          <w:kern w:val="32"/>
          <w:u w:val="single"/>
        </w:rPr>
        <w:t xml:space="preserve"> </w:t>
      </w:r>
      <w:r w:rsidR="007022D9" w:rsidRPr="00B361D1">
        <w:rPr>
          <w:rFonts w:cs="Arial"/>
          <w:bCs/>
          <w:kern w:val="32"/>
          <w:u w:val="single"/>
        </w:rPr>
        <w:t>seisundi</w:t>
      </w:r>
      <w:r w:rsidRPr="00B361D1">
        <w:rPr>
          <w:rFonts w:cs="Arial"/>
          <w:bCs/>
          <w:kern w:val="32"/>
          <w:u w:val="single"/>
        </w:rPr>
        <w:t xml:space="preserve"> </w:t>
      </w:r>
      <w:r w:rsidR="007022D9" w:rsidRPr="00B361D1">
        <w:rPr>
          <w:rFonts w:cs="Arial"/>
          <w:bCs/>
          <w:kern w:val="32"/>
          <w:u w:val="single"/>
        </w:rPr>
        <w:t>ja investeeringuvajaduse</w:t>
      </w:r>
      <w:r w:rsidRPr="00B361D1">
        <w:rPr>
          <w:rFonts w:cs="Arial"/>
          <w:bCs/>
          <w:kern w:val="32"/>
          <w:u w:val="single"/>
        </w:rPr>
        <w:t xml:space="preserve"> info puudumine</w:t>
      </w:r>
      <w:r w:rsidR="007022D9" w:rsidRPr="00B361D1">
        <w:rPr>
          <w:rFonts w:cs="Arial"/>
          <w:bCs/>
          <w:kern w:val="32"/>
        </w:rPr>
        <w:t>. Selle info omamine on hoone omaniku kohustus</w:t>
      </w:r>
      <w:r w:rsidRPr="00B361D1">
        <w:rPr>
          <w:rFonts w:cs="Arial"/>
          <w:bCs/>
          <w:kern w:val="32"/>
        </w:rPr>
        <w:t>, seda kogutakse tavapärase haldamistegevuse käigus</w:t>
      </w:r>
      <w:r w:rsidR="007022D9" w:rsidRPr="00B361D1">
        <w:rPr>
          <w:rFonts w:cs="Arial"/>
          <w:bCs/>
          <w:kern w:val="32"/>
        </w:rPr>
        <w:t xml:space="preserve">. RKAS kui kompetentsikeskus sellist infot enda omandis hoonete kohta kogub, riigi omandis ja haldamisel olevate hoonete vastav info on väga ebaühtlase kvaliteediga. </w:t>
      </w:r>
    </w:p>
    <w:p w:rsidR="005973C2" w:rsidRDefault="005973C2" w:rsidP="005973C2">
      <w:r>
        <w:t xml:space="preserve">Sellest tulenevalt on andmete korrastamine jagatud tinglikult kaheks etapiks: </w:t>
      </w:r>
    </w:p>
    <w:p w:rsidR="005973C2" w:rsidRDefault="005973C2" w:rsidP="005973C2">
      <w:pPr>
        <w:rPr>
          <w:rFonts w:cs="Arial"/>
          <w:bCs/>
          <w:kern w:val="32"/>
        </w:rPr>
      </w:pPr>
      <w:r w:rsidRPr="003F7BFF">
        <w:rPr>
          <w:rFonts w:cs="Arial"/>
          <w:bCs/>
          <w:kern w:val="32"/>
          <w:u w:val="single"/>
        </w:rPr>
        <w:t>Andmete korrastamise I etapp</w:t>
      </w:r>
      <w:r>
        <w:rPr>
          <w:rFonts w:cs="Arial"/>
          <w:bCs/>
          <w:kern w:val="32"/>
        </w:rPr>
        <w:t xml:space="preserve">: </w:t>
      </w:r>
      <w:r w:rsidR="000F0978">
        <w:rPr>
          <w:rFonts w:cs="Arial"/>
          <w:bCs/>
          <w:kern w:val="32"/>
        </w:rPr>
        <w:t>riigi omandis olevate hoonete p</w:t>
      </w:r>
      <w:r w:rsidRPr="009C0278">
        <w:rPr>
          <w:rFonts w:cs="Arial"/>
          <w:bCs/>
          <w:kern w:val="32"/>
        </w:rPr>
        <w:t>innaandmete ja energiatarbimise andmete korrastamine</w:t>
      </w:r>
      <w:r>
        <w:rPr>
          <w:rFonts w:cs="Arial"/>
          <w:bCs/>
          <w:kern w:val="32"/>
        </w:rPr>
        <w:t>, mille tegevuskava esitatakse käesoleva koondaruandega</w:t>
      </w:r>
      <w:r w:rsidR="00B361D1">
        <w:rPr>
          <w:rFonts w:cs="Arial"/>
          <w:bCs/>
          <w:kern w:val="32"/>
        </w:rPr>
        <w:t xml:space="preserve"> (</w:t>
      </w:r>
      <w:r w:rsidR="00A85FDC">
        <w:rPr>
          <w:rFonts w:cs="Arial"/>
          <w:bCs/>
          <w:kern w:val="32"/>
        </w:rPr>
        <w:fldChar w:fldCharType="begin"/>
      </w:r>
      <w:r w:rsidR="00B361D1">
        <w:rPr>
          <w:rFonts w:cs="Arial"/>
          <w:bCs/>
          <w:kern w:val="32"/>
        </w:rPr>
        <w:instrText xml:space="preserve"> REF _Ref427306035 \h </w:instrText>
      </w:r>
      <w:r w:rsidR="00A85FDC">
        <w:rPr>
          <w:rFonts w:cs="Arial"/>
          <w:bCs/>
          <w:kern w:val="32"/>
        </w:rPr>
      </w:r>
      <w:r w:rsidR="00A85FDC">
        <w:rPr>
          <w:rFonts w:cs="Arial"/>
          <w:bCs/>
          <w:kern w:val="32"/>
        </w:rPr>
        <w:fldChar w:fldCharType="separate"/>
      </w:r>
      <w:r w:rsidR="00477322">
        <w:rPr>
          <w:kern w:val="32"/>
        </w:rPr>
        <w:t>Lisa 4. Andmete korrastamise tegevuskava</w:t>
      </w:r>
      <w:r w:rsidR="00A85FDC">
        <w:rPr>
          <w:rFonts w:cs="Arial"/>
          <w:bCs/>
          <w:kern w:val="32"/>
        </w:rPr>
        <w:fldChar w:fldCharType="end"/>
      </w:r>
      <w:r w:rsidR="00B361D1">
        <w:rPr>
          <w:rFonts w:cs="Arial"/>
          <w:bCs/>
          <w:kern w:val="32"/>
        </w:rPr>
        <w:t>)</w:t>
      </w:r>
      <w:r>
        <w:rPr>
          <w:rFonts w:cs="Arial"/>
          <w:bCs/>
          <w:kern w:val="32"/>
        </w:rPr>
        <w:t>.</w:t>
      </w:r>
    </w:p>
    <w:p w:rsidR="005973C2" w:rsidRDefault="005973C2" w:rsidP="005973C2">
      <w:pPr>
        <w:rPr>
          <w:rFonts w:cs="Arial"/>
          <w:bCs/>
          <w:kern w:val="32"/>
        </w:rPr>
      </w:pPr>
      <w:r w:rsidRPr="003F7BFF">
        <w:rPr>
          <w:rFonts w:cs="Arial"/>
          <w:bCs/>
          <w:kern w:val="32"/>
          <w:u w:val="single"/>
        </w:rPr>
        <w:t>Andmete korrastamise II etapp</w:t>
      </w:r>
      <w:r>
        <w:rPr>
          <w:rFonts w:cs="Arial"/>
          <w:bCs/>
          <w:kern w:val="32"/>
        </w:rPr>
        <w:t>: K</w:t>
      </w:r>
      <w:r w:rsidRPr="009C0278">
        <w:rPr>
          <w:rFonts w:cs="Arial"/>
          <w:bCs/>
          <w:kern w:val="32"/>
        </w:rPr>
        <w:t>asutus- ja kuluandmete korrastamine</w:t>
      </w:r>
      <w:r>
        <w:rPr>
          <w:rFonts w:cs="Arial"/>
          <w:bCs/>
          <w:kern w:val="32"/>
        </w:rPr>
        <w:t>, mille eelduseks on I etapi läbiviimine ehk kaasaegsete mõõdistusjooniste olemasolu iga hoone kohta, mis võimaldab ruumiinfo loomist ning uue hoone andmemudeli loomist.</w:t>
      </w:r>
    </w:p>
    <w:p w:rsidR="005973C2" w:rsidRDefault="005973C2" w:rsidP="005973C2">
      <w:pPr>
        <w:rPr>
          <w:rFonts w:cs="Arial"/>
          <w:bCs/>
          <w:kern w:val="32"/>
        </w:rPr>
      </w:pPr>
      <w:r>
        <w:rPr>
          <w:rFonts w:cs="Arial"/>
          <w:bCs/>
          <w:kern w:val="32"/>
        </w:rPr>
        <w:t xml:space="preserve">Mõlema etapiga on võimalik lõpptulemuseni (kõikide riigiasutuste hoonete kohta on olemas mõõdistusjoonised, energiamärgised, korrastatud andmed registrites ning ka kasutus- ja kuluinfo) jõuda 2020. aastaks. </w:t>
      </w:r>
    </w:p>
    <w:p w:rsidR="00927E04" w:rsidRDefault="00927E04" w:rsidP="005973C2">
      <w:pPr>
        <w:rPr>
          <w:rFonts w:cs="Arial"/>
          <w:bCs/>
          <w:kern w:val="32"/>
        </w:rPr>
      </w:pPr>
      <w:r>
        <w:rPr>
          <w:rFonts w:cs="Arial"/>
          <w:bCs/>
          <w:kern w:val="32"/>
        </w:rPr>
        <w:t xml:space="preserve">Tehnilise seisundi ja investeeringuvajaduse info loomist eraldi etapina ei käsitleta, see on pidev tegevus ja omaniku vastutus. </w:t>
      </w:r>
      <w:r w:rsidRPr="00927E04">
        <w:rPr>
          <w:rFonts w:cs="Arial"/>
          <w:b/>
          <w:bCs/>
          <w:kern w:val="32"/>
        </w:rPr>
        <w:t>Sestap on võtmeküsimus, kes on hoone omanik ja kuidas ta täidab korrashoiu kohustust.</w:t>
      </w:r>
      <w:r>
        <w:rPr>
          <w:rFonts w:cs="Arial"/>
          <w:bCs/>
          <w:kern w:val="32"/>
        </w:rPr>
        <w:t xml:space="preserve"> Rahandusministeerium on seisukohal, et omanikukohustuste koondamine RKAS-i on riigile tervikuna majanduslikult soodsam.</w:t>
      </w:r>
    </w:p>
    <w:p w:rsidR="00927E04" w:rsidRDefault="00927E04" w:rsidP="005973C2">
      <w:pPr>
        <w:rPr>
          <w:rFonts w:cs="Arial"/>
          <w:bCs/>
          <w:kern w:val="32"/>
        </w:rPr>
      </w:pPr>
      <w:r>
        <w:rPr>
          <w:rFonts w:cs="Arial"/>
          <w:bCs/>
          <w:kern w:val="32"/>
        </w:rPr>
        <w:t xml:space="preserve">Andmete loomine ja korrastamine ei taga veel juhtimisinfo olemasolu. </w:t>
      </w:r>
    </w:p>
    <w:p w:rsidR="005973C2" w:rsidRPr="007274CE" w:rsidRDefault="005973C2" w:rsidP="005973C2">
      <w:r w:rsidRPr="007274CE">
        <w:rPr>
          <w:b/>
        </w:rPr>
        <w:t>Riigi kinnisvara infohalduse tänasteks peamisteks probleemideks on</w:t>
      </w:r>
      <w:r w:rsidRPr="007274CE">
        <w:t xml:space="preserve">: </w:t>
      </w:r>
    </w:p>
    <w:p w:rsidR="005973C2" w:rsidRPr="007274CE" w:rsidRDefault="005973C2" w:rsidP="002F4A30">
      <w:pPr>
        <w:pStyle w:val="ListParagraph"/>
        <w:numPr>
          <w:ilvl w:val="0"/>
          <w:numId w:val="32"/>
        </w:numPr>
        <w:spacing w:before="0" w:after="200" w:line="276" w:lineRule="auto"/>
        <w:contextualSpacing/>
        <w:jc w:val="left"/>
      </w:pPr>
      <w:r w:rsidRPr="007274CE">
        <w:t>andmekogude nõrk koosvõime (põhjusteks andmete koosseisu, kvaliteedi ja semantika erinevused);</w:t>
      </w:r>
    </w:p>
    <w:p w:rsidR="005973C2" w:rsidRPr="007274CE" w:rsidRDefault="005973C2" w:rsidP="002F4A30">
      <w:pPr>
        <w:pStyle w:val="ListParagraph"/>
        <w:numPr>
          <w:ilvl w:val="0"/>
          <w:numId w:val="32"/>
        </w:numPr>
        <w:spacing w:before="0" w:after="200" w:line="276" w:lineRule="auto"/>
        <w:contextualSpacing/>
        <w:jc w:val="left"/>
      </w:pPr>
      <w:r w:rsidRPr="007274CE">
        <w:t>vajalik info ei ole kättesaadav (puudulikud infomudelid ja protsessid, info halb kvaliteet);</w:t>
      </w:r>
    </w:p>
    <w:p w:rsidR="005973C2" w:rsidRPr="007274CE" w:rsidRDefault="005973C2" w:rsidP="002F4A30">
      <w:pPr>
        <w:pStyle w:val="ListParagraph"/>
        <w:numPr>
          <w:ilvl w:val="0"/>
          <w:numId w:val="32"/>
        </w:numPr>
        <w:spacing w:before="0" w:after="200" w:line="276" w:lineRule="auto"/>
        <w:contextualSpacing/>
        <w:jc w:val="left"/>
      </w:pPr>
      <w:r w:rsidRPr="007274CE">
        <w:t>raiskamine info mitmekordsel taastootmisel.</w:t>
      </w:r>
    </w:p>
    <w:p w:rsidR="005973C2" w:rsidRPr="007274CE" w:rsidRDefault="005973C2" w:rsidP="005973C2">
      <w:r w:rsidRPr="007274CE">
        <w:t>Riigi kinnisvara infohalduse tänaste probleemide jätkusuutlikuks lahendamiseks tuleb valdkonna protsessides kasutusele võtta parim praktika e. juurutada rahvusvahelised standardid.</w:t>
      </w:r>
    </w:p>
    <w:p w:rsidR="005973C2" w:rsidRPr="007274CE" w:rsidRDefault="005973C2" w:rsidP="005973C2">
      <w:r w:rsidRPr="007274CE">
        <w:t>Ehitiste infohalduses on selleks rahvusvahelise buildingSMART alliansi poolt välja töötatud innovaatiline ja avatud ehitise infomudel (</w:t>
      </w:r>
      <w:r w:rsidRPr="007274CE">
        <w:rPr>
          <w:i/>
        </w:rPr>
        <w:t>ingl. k Open Building Information Model e. openBIM</w:t>
      </w:r>
      <w:r w:rsidRPr="007274CE">
        <w:t>) ja seonduvad standardid.</w:t>
      </w:r>
    </w:p>
    <w:p w:rsidR="005973C2" w:rsidRPr="007274CE" w:rsidRDefault="005973C2" w:rsidP="005973C2">
      <w:r w:rsidRPr="007274CE">
        <w:t>openBIM standardite kasutuselevõtu majanduslik mõju võib teiste riikide kogemusele tuginedes olla märkimisväärne, näiteks säästis Ühendkuningriik 2013-14 openBIM kasutuselevõtuga avalikus sektoris 840 miljonit naela.</w:t>
      </w:r>
    </w:p>
    <w:p w:rsidR="005973C2" w:rsidRPr="007274CE" w:rsidRDefault="005973C2" w:rsidP="005973C2">
      <w:r w:rsidRPr="007274CE">
        <w:t>BIM’i Eestis kasutuselevõtu strateegia koostamiseks on majandus- ja taristuminister oma 16.12.2013 käskkirjaga nr 13-0405 kokku kutsunud töörühma, mille koosseisus osalevad MKM, RAM, KUM, RKAS, TTÜ, TTK ja erasektori esindajad. Töörühma tulemid loovad valdkondadeülese raamistiku BIM’i juurutamiseks, sh kinnisvaravaldkonnas ja riigihangetes.</w:t>
      </w:r>
    </w:p>
    <w:p w:rsidR="005973C2" w:rsidRPr="007274CE" w:rsidRDefault="005973C2" w:rsidP="005973C2">
      <w:r w:rsidRPr="007274CE">
        <w:t>Lisaks on MKM infoühiskonna arengukavas „Nutikam riigivalitsemine“ seatud eesmärkide täitmiseks koostanud üldise infohalduse strateegia</w:t>
      </w:r>
      <w:r w:rsidRPr="007274CE">
        <w:rPr>
          <w:rStyle w:val="EndnoteReference"/>
        </w:rPr>
        <w:endnoteReference w:id="1"/>
      </w:r>
      <w:r w:rsidRPr="007274CE">
        <w:t>, mis annab üldised alused infohalduse korraldamisele ja mille üheks eesmärgiks on riigi 20% efektiivsem toimimine aastaks 2020.</w:t>
      </w:r>
    </w:p>
    <w:p w:rsidR="00B361D1" w:rsidRDefault="005973C2" w:rsidP="00B361D1">
      <w:r w:rsidRPr="007274CE">
        <w:t xml:space="preserve">Eeltoodu juurutamiseks riigi kinnisvara infohalduses tuleks 2016.a jooksul koostada valdkonnapõhine riigi kinnisvara infohalduse strateegia, mille alusel ajavahemikus 2017-18 täiendada riigi kinnisvarateenuste osutamiseks vajalik õiguslik, tehniline ja organisatoorne raamistik. Strateegia koostamiseks vajaliku sisendi koondamisega on alustatud riigi kinnisvara infohalduse virtuaalses töötoas aadressil </w:t>
      </w:r>
      <w:hyperlink r:id="rId55" w:history="1">
        <w:r w:rsidRPr="007274CE">
          <w:rPr>
            <w:rStyle w:val="Hyperlink"/>
          </w:rPr>
          <w:t>https://github.com/kinnisvara/infohaldus</w:t>
        </w:r>
      </w:hyperlink>
      <w:r w:rsidRPr="007274CE">
        <w:t>.</w:t>
      </w:r>
      <w:r>
        <w:t xml:space="preserve"> </w:t>
      </w:r>
    </w:p>
    <w:p w:rsidR="004F5682" w:rsidRPr="003B7E1A" w:rsidRDefault="004F5682" w:rsidP="00B361D1">
      <w:pPr>
        <w:pStyle w:val="Pealkiri2"/>
      </w:pPr>
      <w:bookmarkStart w:id="396" w:name="_Toc433980741"/>
      <w:r w:rsidRPr="003B7E1A">
        <w:t>Riigi kinnisvarapoliitika ulatus ja seosed teiste poliitikatega</w:t>
      </w:r>
      <w:bookmarkEnd w:id="396"/>
    </w:p>
    <w:p w:rsidR="00FC5469" w:rsidRPr="003B7E1A" w:rsidRDefault="00D32759" w:rsidP="00D32759">
      <w:pPr>
        <w:rPr>
          <w:b/>
        </w:rPr>
      </w:pPr>
      <w:r w:rsidRPr="003B7E1A">
        <w:t>Riigi kinnisvara</w:t>
      </w:r>
      <w:r w:rsidR="00B10F8C" w:rsidRPr="003B7E1A">
        <w:t xml:space="preserve">tegevuse </w:t>
      </w:r>
      <w:r w:rsidR="00FC5469" w:rsidRPr="003B7E1A">
        <w:t xml:space="preserve">strateegia </w:t>
      </w:r>
      <w:r w:rsidR="00B10F8C" w:rsidRPr="003B7E1A">
        <w:t xml:space="preserve">nimi loob ootused, et tegemist on ulatusliku ja kogu riigi (avaliku sektori) kinnisvaraga seotud tegevusi hõlmava strateegiaga, kuid sisuliselt on siiski tegemist oluliselt kitsama strateegiaga: </w:t>
      </w:r>
      <w:r w:rsidR="00B10F8C" w:rsidRPr="003B7E1A">
        <w:rPr>
          <w:b/>
        </w:rPr>
        <w:t>riigiasutuste põhitegevuseks vajalike hoonete juhtimise strateegiaga</w:t>
      </w:r>
      <w:r w:rsidR="00F14A12" w:rsidRPr="003B7E1A">
        <w:rPr>
          <w:b/>
        </w:rPr>
        <w:t>, sedagi eelkõige riigi kui kinnisvara kasutaja, mitte omaniku vaatenurgast</w:t>
      </w:r>
      <w:r w:rsidR="00B10F8C" w:rsidRPr="003B7E1A">
        <w:rPr>
          <w:b/>
        </w:rPr>
        <w:t xml:space="preserve">. </w:t>
      </w:r>
    </w:p>
    <w:p w:rsidR="00F14A12" w:rsidRPr="003B7E1A" w:rsidRDefault="00F14A12" w:rsidP="00F14A12">
      <w:r w:rsidRPr="003B7E1A">
        <w:rPr>
          <w:rFonts w:eastAsia="Microsoft YaHei"/>
        </w:rPr>
        <w:t>Strateegia ei erista riigi kui kinnisvara omaniku ja riigi kui kinnisvara kasutaja erinevaid eesmärke</w:t>
      </w:r>
      <w:r w:rsidRPr="003B7E1A">
        <w:t>: strateegia küll märgib omaniku ja kasutaja erinevaid huvisid (</w:t>
      </w:r>
      <w:r w:rsidRPr="003B7E1A">
        <w:rPr>
          <w:rFonts w:eastAsia="Microsoft YaHei"/>
        </w:rPr>
        <w:t>omanik</w:t>
      </w:r>
      <w:r w:rsidRPr="003B7E1A">
        <w:t>u huvi</w:t>
      </w:r>
      <w:r w:rsidR="00655E30">
        <w:t xml:space="preserve"> </w:t>
      </w:r>
      <w:r w:rsidRPr="003B7E1A">
        <w:rPr>
          <w:rFonts w:eastAsia="Microsoft YaHei"/>
        </w:rPr>
        <w:t>– teenida kasumit, hoida väärtust ja kasutaja rahulolu</w:t>
      </w:r>
      <w:r w:rsidRPr="003B7E1A">
        <w:t xml:space="preserve">, kasutaja huvi – saada </w:t>
      </w:r>
      <w:r w:rsidRPr="003B7E1A">
        <w:rPr>
          <w:rFonts w:eastAsia="Microsoft YaHei"/>
        </w:rPr>
        <w:t>optimaalne ruum soodsa hinnaga</w:t>
      </w:r>
      <w:r w:rsidRPr="003B7E1A">
        <w:t xml:space="preserve">), kuid ta ei sea neile eraldi eesmärke, mistõttu on strateegiasse sisse kirjutatud mitmeid huvide konflikte. </w:t>
      </w:r>
    </w:p>
    <w:p w:rsidR="00F14A12" w:rsidRPr="003B7E1A" w:rsidRDefault="00F14A12" w:rsidP="00F14A12">
      <w:pPr>
        <w:pStyle w:val="Loend1"/>
      </w:pPr>
      <w:r w:rsidRPr="003B7E1A">
        <w:t>RKAS kui kinnisvara omanik ei saa olla üheaegselt turul konkureeriv kinnisvarateenuste pakkuja ja riigi kui üürniku huve kaitsev nõustaja.</w:t>
      </w:r>
    </w:p>
    <w:p w:rsidR="00F14A12" w:rsidRPr="003B7E1A" w:rsidRDefault="00F14A12" w:rsidP="00D32759">
      <w:pPr>
        <w:pStyle w:val="Loend1"/>
        <w:rPr>
          <w:b/>
        </w:rPr>
      </w:pPr>
      <w:r w:rsidRPr="003B7E1A">
        <w:t>Riigil on keerukas hoida kokku eelarvekulusid, samal ajal kaitstes muinsuskaitselist pärandit</w:t>
      </w:r>
      <w:r w:rsidR="001277F7" w:rsidRPr="003B7E1A">
        <w:t>, millega kaasnevad lisakulude tegemise vajadused</w:t>
      </w:r>
      <w:r w:rsidRPr="003B7E1A">
        <w:t xml:space="preserve"> ja järgides EL rahastamise reegleid, mis on reeglina suunatud ühe või teise</w:t>
      </w:r>
      <w:r w:rsidR="00655E30">
        <w:t xml:space="preserve"> </w:t>
      </w:r>
      <w:r w:rsidRPr="003B7E1A">
        <w:t xml:space="preserve">valdkondliku eesmärgi </w:t>
      </w:r>
      <w:r w:rsidR="001277F7" w:rsidRPr="003B7E1A">
        <w:t xml:space="preserve">tõhusale </w:t>
      </w:r>
      <w:r w:rsidRPr="003B7E1A">
        <w:t>täitmisele</w:t>
      </w:r>
      <w:r w:rsidR="001277F7" w:rsidRPr="003B7E1A">
        <w:t xml:space="preserve">. </w:t>
      </w:r>
    </w:p>
    <w:p w:rsidR="001277F7" w:rsidRPr="003B7E1A" w:rsidRDefault="001277F7" w:rsidP="001277F7">
      <w:pPr>
        <w:pStyle w:val="Loend1"/>
        <w:numPr>
          <w:ilvl w:val="0"/>
          <w:numId w:val="0"/>
        </w:numPr>
      </w:pPr>
    </w:p>
    <w:p w:rsidR="001277F7" w:rsidRPr="003B7E1A" w:rsidRDefault="001277F7" w:rsidP="001277F7">
      <w:pPr>
        <w:pStyle w:val="Loend1"/>
        <w:numPr>
          <w:ilvl w:val="0"/>
          <w:numId w:val="0"/>
        </w:numPr>
      </w:pPr>
      <w:r w:rsidRPr="003B7E1A">
        <w:t>Riigi kinnisvarastrateegia ei ole piisavalt tihedalt seostatud teiste oluliste poliitikatega, senisest tihedama sünergia loomine oleks vajalik. Mõn</w:t>
      </w:r>
      <w:r w:rsidR="001C34FE">
        <w:t>ed olulisemad seosed on avatud järgnevates</w:t>
      </w:r>
      <w:r w:rsidRPr="003B7E1A">
        <w:t xml:space="preserve"> alapeatük</w:t>
      </w:r>
      <w:r w:rsidR="001C34FE">
        <w:t>k</w:t>
      </w:r>
      <w:r w:rsidRPr="003B7E1A">
        <w:t>i</w:t>
      </w:r>
      <w:r w:rsidR="001C34FE">
        <w:t>de</w:t>
      </w:r>
      <w:r w:rsidRPr="003B7E1A">
        <w:t>s.</w:t>
      </w:r>
      <w:r w:rsidR="00655E30">
        <w:t xml:space="preserve"> </w:t>
      </w:r>
    </w:p>
    <w:p w:rsidR="001277F7" w:rsidRPr="003B7E1A" w:rsidRDefault="001277F7" w:rsidP="001277F7">
      <w:pPr>
        <w:pStyle w:val="Pealkiri3"/>
      </w:pPr>
      <w:bookmarkStart w:id="397" w:name="_Toc433980742"/>
      <w:r w:rsidRPr="003B7E1A">
        <w:t>Riik kui eeskuju näitaja riigiüleste poliitikate elluviimisel</w:t>
      </w:r>
      <w:bookmarkEnd w:id="397"/>
    </w:p>
    <w:p w:rsidR="001277F7" w:rsidRPr="00F96800" w:rsidRDefault="001277F7" w:rsidP="00F96800">
      <w:pPr>
        <w:rPr>
          <w:rFonts w:eastAsia="Times New Roman"/>
          <w:w w:val="101"/>
        </w:rPr>
      </w:pPr>
      <w:r w:rsidRPr="00F96800">
        <w:t>Riigi energiatõhususe poliitikast tulenevate eesmärkide täitmist on põhjalikumalt käsitletud käesoleva aruande varasemates peatükkides. Sarnaselt energiatõhususe poliitikale peab riik kinnisvara omanikuna ja kasutajana näitama eeskuju arhitektuuripoliitika ja muinsuskaitsepoliitika eesmärkide täitmisel. Kaudselt võib eeskuju näitamise põhimõtte välja lugeda strateegia visioonist: „</w:t>
      </w:r>
      <w:r w:rsidRPr="00F96800">
        <w:rPr>
          <w:rFonts w:eastAsia="Times New Roman"/>
          <w:spacing w:val="-1"/>
        </w:rPr>
        <w:t>E</w:t>
      </w:r>
      <w:r w:rsidRPr="00F96800">
        <w:rPr>
          <w:rFonts w:eastAsia="Times New Roman"/>
        </w:rPr>
        <w:t>esti</w:t>
      </w:r>
      <w:r w:rsidRPr="00F96800">
        <w:rPr>
          <w:rFonts w:eastAsia="Times New Roman"/>
          <w:spacing w:val="7"/>
        </w:rPr>
        <w:t xml:space="preserve"> </w:t>
      </w:r>
      <w:r w:rsidRPr="00F96800">
        <w:rPr>
          <w:rFonts w:eastAsia="Times New Roman"/>
          <w:spacing w:val="-1"/>
        </w:rPr>
        <w:t>r</w:t>
      </w:r>
      <w:r w:rsidRPr="00F96800">
        <w:rPr>
          <w:rFonts w:eastAsia="Times New Roman"/>
        </w:rPr>
        <w:t>i</w:t>
      </w:r>
      <w:r w:rsidRPr="00F96800">
        <w:rPr>
          <w:rFonts w:eastAsia="Times New Roman"/>
          <w:spacing w:val="2"/>
        </w:rPr>
        <w:t>i</w:t>
      </w:r>
      <w:r w:rsidRPr="00F96800">
        <w:rPr>
          <w:rFonts w:eastAsia="Times New Roman"/>
        </w:rPr>
        <w:t>k</w:t>
      </w:r>
      <w:r w:rsidRPr="00F96800">
        <w:rPr>
          <w:rFonts w:eastAsia="Times New Roman"/>
          <w:spacing w:val="4"/>
        </w:rPr>
        <w:t xml:space="preserve"> </w:t>
      </w:r>
      <w:r w:rsidRPr="00F96800">
        <w:rPr>
          <w:rFonts w:eastAsia="Times New Roman"/>
          <w:spacing w:val="-4"/>
        </w:rPr>
        <w:t>k</w:t>
      </w:r>
      <w:r w:rsidRPr="00F96800">
        <w:rPr>
          <w:rFonts w:eastAsia="Times New Roman"/>
          <w:spacing w:val="2"/>
        </w:rPr>
        <w:t>i</w:t>
      </w:r>
      <w:r w:rsidRPr="00F96800">
        <w:rPr>
          <w:rFonts w:eastAsia="Times New Roman"/>
          <w:spacing w:val="-2"/>
        </w:rPr>
        <w:t>n</w:t>
      </w:r>
      <w:r w:rsidRPr="00F96800">
        <w:rPr>
          <w:rFonts w:eastAsia="Times New Roman"/>
          <w:spacing w:val="1"/>
        </w:rPr>
        <w:t>n</w:t>
      </w:r>
      <w:r w:rsidRPr="00F96800">
        <w:rPr>
          <w:rFonts w:eastAsia="Times New Roman"/>
        </w:rPr>
        <w:t>is</w:t>
      </w:r>
      <w:r w:rsidRPr="00F96800">
        <w:rPr>
          <w:rFonts w:eastAsia="Times New Roman"/>
          <w:spacing w:val="1"/>
        </w:rPr>
        <w:t>v</w:t>
      </w:r>
      <w:r w:rsidRPr="00F96800">
        <w:rPr>
          <w:rFonts w:eastAsia="Times New Roman"/>
        </w:rPr>
        <w:t>a</w:t>
      </w:r>
      <w:r w:rsidRPr="00F96800">
        <w:rPr>
          <w:rFonts w:eastAsia="Times New Roman"/>
          <w:spacing w:val="-1"/>
        </w:rPr>
        <w:t>r</w:t>
      </w:r>
      <w:r w:rsidRPr="00F96800">
        <w:rPr>
          <w:rFonts w:eastAsia="Times New Roman"/>
        </w:rPr>
        <w:t>a</w:t>
      </w:r>
      <w:r w:rsidRPr="00F96800">
        <w:rPr>
          <w:rFonts w:eastAsia="Times New Roman"/>
          <w:spacing w:val="10"/>
        </w:rPr>
        <w:t xml:space="preserve"> </w:t>
      </w:r>
      <w:r w:rsidRPr="00F96800">
        <w:rPr>
          <w:rFonts w:eastAsia="Times New Roman"/>
          <w:spacing w:val="3"/>
        </w:rPr>
        <w:t>o</w:t>
      </w:r>
      <w:r w:rsidRPr="00F96800">
        <w:rPr>
          <w:rFonts w:eastAsia="Times New Roman"/>
          <w:spacing w:val="-2"/>
        </w:rPr>
        <w:t>m</w:t>
      </w:r>
      <w:r w:rsidRPr="00F96800">
        <w:rPr>
          <w:rFonts w:eastAsia="Times New Roman"/>
          <w:spacing w:val="2"/>
        </w:rPr>
        <w:t>a</w:t>
      </w:r>
      <w:r w:rsidRPr="00F96800">
        <w:rPr>
          <w:rFonts w:eastAsia="Times New Roman"/>
          <w:spacing w:val="1"/>
        </w:rPr>
        <w:t>n</w:t>
      </w:r>
      <w:r w:rsidRPr="00F96800">
        <w:rPr>
          <w:rFonts w:eastAsia="Times New Roman"/>
        </w:rPr>
        <w:t>i</w:t>
      </w:r>
      <w:r w:rsidRPr="00F96800">
        <w:rPr>
          <w:rFonts w:eastAsia="Times New Roman"/>
          <w:spacing w:val="-2"/>
        </w:rPr>
        <w:t>k</w:t>
      </w:r>
      <w:r w:rsidRPr="00F96800">
        <w:rPr>
          <w:rFonts w:eastAsia="Times New Roman"/>
          <w:spacing w:val="1"/>
        </w:rPr>
        <w:t>u</w:t>
      </w:r>
      <w:r w:rsidRPr="00F96800">
        <w:rPr>
          <w:rFonts w:eastAsia="Times New Roman"/>
          <w:spacing w:val="-2"/>
        </w:rPr>
        <w:t>n</w:t>
      </w:r>
      <w:r w:rsidRPr="00F96800">
        <w:rPr>
          <w:rFonts w:eastAsia="Times New Roman"/>
        </w:rPr>
        <w:t>a,</w:t>
      </w:r>
      <w:r w:rsidRPr="00F96800">
        <w:rPr>
          <w:rFonts w:eastAsia="Times New Roman"/>
          <w:spacing w:val="13"/>
        </w:rPr>
        <w:t xml:space="preserve"> </w:t>
      </w:r>
      <w:r w:rsidRPr="00F96800">
        <w:rPr>
          <w:rFonts w:eastAsia="Times New Roman"/>
          <w:spacing w:val="1"/>
        </w:rPr>
        <w:t>h</w:t>
      </w:r>
      <w:r w:rsidRPr="00F96800">
        <w:rPr>
          <w:rFonts w:eastAsia="Times New Roman"/>
        </w:rPr>
        <w:t>al</w:t>
      </w:r>
      <w:r w:rsidRPr="00F96800">
        <w:rPr>
          <w:rFonts w:eastAsia="Times New Roman"/>
          <w:spacing w:val="1"/>
        </w:rPr>
        <w:t>d</w:t>
      </w:r>
      <w:r w:rsidRPr="00F96800">
        <w:rPr>
          <w:rFonts w:eastAsia="Times New Roman"/>
        </w:rPr>
        <w:t>aja</w:t>
      </w:r>
      <w:r w:rsidRPr="00F96800">
        <w:rPr>
          <w:rFonts w:eastAsia="Times New Roman"/>
          <w:spacing w:val="1"/>
        </w:rPr>
        <w:t>n</w:t>
      </w:r>
      <w:r w:rsidRPr="00F96800">
        <w:rPr>
          <w:rFonts w:eastAsia="Times New Roman"/>
        </w:rPr>
        <w:t>a,</w:t>
      </w:r>
      <w:r w:rsidRPr="00F96800">
        <w:rPr>
          <w:rFonts w:eastAsia="Times New Roman"/>
          <w:spacing w:val="8"/>
        </w:rPr>
        <w:t xml:space="preserve"> </w:t>
      </w:r>
      <w:r w:rsidRPr="00F96800">
        <w:rPr>
          <w:rFonts w:eastAsia="Times New Roman"/>
          <w:spacing w:val="3"/>
        </w:rPr>
        <w:t>v</w:t>
      </w:r>
      <w:r w:rsidRPr="00F96800">
        <w:rPr>
          <w:rFonts w:eastAsia="Times New Roman"/>
        </w:rPr>
        <w:t>al</w:t>
      </w:r>
      <w:r w:rsidRPr="00F96800">
        <w:rPr>
          <w:rFonts w:eastAsia="Times New Roman"/>
          <w:spacing w:val="1"/>
        </w:rPr>
        <w:t>d</w:t>
      </w:r>
      <w:r w:rsidRPr="00F96800">
        <w:rPr>
          <w:rFonts w:eastAsia="Times New Roman"/>
          <w:spacing w:val="-3"/>
        </w:rPr>
        <w:t>a</w:t>
      </w:r>
      <w:r w:rsidRPr="00F96800">
        <w:rPr>
          <w:rFonts w:eastAsia="Times New Roman"/>
          <w:spacing w:val="5"/>
        </w:rPr>
        <w:t>j</w:t>
      </w:r>
      <w:r w:rsidRPr="00F96800">
        <w:rPr>
          <w:rFonts w:eastAsia="Times New Roman"/>
          <w:spacing w:val="-3"/>
        </w:rPr>
        <w:t>a</w:t>
      </w:r>
      <w:r w:rsidRPr="00F96800">
        <w:rPr>
          <w:rFonts w:eastAsia="Times New Roman"/>
          <w:spacing w:val="1"/>
        </w:rPr>
        <w:t>n</w:t>
      </w:r>
      <w:r w:rsidRPr="00F96800">
        <w:rPr>
          <w:rFonts w:eastAsia="Times New Roman"/>
        </w:rPr>
        <w:t>a</w:t>
      </w:r>
      <w:r w:rsidRPr="00F96800">
        <w:rPr>
          <w:rFonts w:eastAsia="Times New Roman"/>
          <w:spacing w:val="9"/>
        </w:rPr>
        <w:t xml:space="preserve"> </w:t>
      </w:r>
      <w:r w:rsidRPr="00F96800">
        <w:rPr>
          <w:rFonts w:eastAsia="Times New Roman"/>
          <w:spacing w:val="2"/>
        </w:rPr>
        <w:t>j</w:t>
      </w:r>
      <w:r w:rsidRPr="00F96800">
        <w:rPr>
          <w:rFonts w:eastAsia="Times New Roman"/>
        </w:rPr>
        <w:t>a</w:t>
      </w:r>
      <w:r w:rsidRPr="00F96800">
        <w:rPr>
          <w:rFonts w:eastAsia="Times New Roman"/>
          <w:spacing w:val="4"/>
        </w:rPr>
        <w:t xml:space="preserve"> </w:t>
      </w:r>
      <w:r w:rsidRPr="00F96800">
        <w:rPr>
          <w:rFonts w:eastAsia="Times New Roman"/>
          <w:spacing w:val="-4"/>
        </w:rPr>
        <w:t>k</w:t>
      </w:r>
      <w:r w:rsidRPr="00F96800">
        <w:rPr>
          <w:rFonts w:eastAsia="Times New Roman"/>
        </w:rPr>
        <w:t>as</w:t>
      </w:r>
      <w:r w:rsidRPr="00F96800">
        <w:rPr>
          <w:rFonts w:eastAsia="Times New Roman"/>
          <w:spacing w:val="1"/>
        </w:rPr>
        <w:t>u</w:t>
      </w:r>
      <w:r w:rsidRPr="00F96800">
        <w:rPr>
          <w:rFonts w:eastAsia="Times New Roman"/>
        </w:rPr>
        <w:t>ta</w:t>
      </w:r>
      <w:r w:rsidRPr="00F96800">
        <w:rPr>
          <w:rFonts w:eastAsia="Times New Roman"/>
          <w:spacing w:val="2"/>
        </w:rPr>
        <w:t>j</w:t>
      </w:r>
      <w:r w:rsidRPr="00F96800">
        <w:rPr>
          <w:rFonts w:eastAsia="Times New Roman"/>
        </w:rPr>
        <w:t>a</w:t>
      </w:r>
      <w:r w:rsidRPr="00F96800">
        <w:rPr>
          <w:rFonts w:eastAsia="Times New Roman"/>
          <w:spacing w:val="1"/>
        </w:rPr>
        <w:t>n</w:t>
      </w:r>
      <w:r w:rsidRPr="00F96800">
        <w:rPr>
          <w:rFonts w:eastAsia="Times New Roman"/>
        </w:rPr>
        <w:t>a</w:t>
      </w:r>
      <w:r w:rsidRPr="00F96800">
        <w:rPr>
          <w:rFonts w:eastAsia="Times New Roman"/>
          <w:spacing w:val="10"/>
        </w:rPr>
        <w:t xml:space="preserve"> </w:t>
      </w:r>
      <w:r w:rsidRPr="00F96800">
        <w:rPr>
          <w:rFonts w:eastAsia="Times New Roman"/>
          <w:spacing w:val="-2"/>
          <w:u w:val="single"/>
        </w:rPr>
        <w:t>o</w:t>
      </w:r>
      <w:r w:rsidRPr="00F96800">
        <w:rPr>
          <w:rFonts w:eastAsia="Times New Roman"/>
          <w:u w:val="single"/>
        </w:rPr>
        <w:t>n</w:t>
      </w:r>
      <w:r w:rsidRPr="00F96800">
        <w:rPr>
          <w:rFonts w:eastAsia="Times New Roman"/>
          <w:spacing w:val="3"/>
          <w:u w:val="single"/>
        </w:rPr>
        <w:t xml:space="preserve"> </w:t>
      </w:r>
      <w:r w:rsidRPr="00F96800">
        <w:rPr>
          <w:rFonts w:eastAsia="Times New Roman"/>
          <w:spacing w:val="2"/>
          <w:w w:val="101"/>
          <w:u w:val="single"/>
        </w:rPr>
        <w:t>e</w:t>
      </w:r>
      <w:r w:rsidRPr="00F96800">
        <w:rPr>
          <w:rFonts w:eastAsia="Times New Roman"/>
          <w:w w:val="101"/>
          <w:u w:val="single"/>
        </w:rPr>
        <w:t>e</w:t>
      </w:r>
      <w:r w:rsidRPr="00F96800">
        <w:rPr>
          <w:rFonts w:eastAsia="Times New Roman"/>
          <w:spacing w:val="3"/>
          <w:w w:val="101"/>
          <w:u w:val="single"/>
        </w:rPr>
        <w:t>s</w:t>
      </w:r>
      <w:r w:rsidRPr="00F96800">
        <w:rPr>
          <w:rFonts w:eastAsia="Times New Roman"/>
          <w:spacing w:val="1"/>
          <w:w w:val="101"/>
          <w:u w:val="single"/>
        </w:rPr>
        <w:t>k</w:t>
      </w:r>
      <w:r w:rsidRPr="00F96800">
        <w:rPr>
          <w:rFonts w:eastAsia="Times New Roman"/>
          <w:spacing w:val="-2"/>
          <w:w w:val="101"/>
          <w:u w:val="single"/>
        </w:rPr>
        <w:t>u</w:t>
      </w:r>
      <w:r w:rsidRPr="00F96800">
        <w:rPr>
          <w:rFonts w:eastAsia="Times New Roman"/>
          <w:spacing w:val="2"/>
          <w:w w:val="101"/>
          <w:u w:val="single"/>
        </w:rPr>
        <w:t>j</w:t>
      </w:r>
      <w:r w:rsidRPr="00F96800">
        <w:rPr>
          <w:rFonts w:eastAsia="Times New Roman"/>
          <w:spacing w:val="-2"/>
          <w:w w:val="101"/>
          <w:u w:val="single"/>
        </w:rPr>
        <w:t>uk</w:t>
      </w:r>
      <w:r w:rsidRPr="00F96800">
        <w:rPr>
          <w:rFonts w:eastAsia="Times New Roman"/>
          <w:w w:val="101"/>
          <w:u w:val="single"/>
        </w:rPr>
        <w:t xml:space="preserve">s </w:t>
      </w:r>
      <w:r w:rsidRPr="00F96800">
        <w:rPr>
          <w:rFonts w:eastAsia="Times New Roman"/>
          <w:u w:val="single"/>
        </w:rPr>
        <w:t>s</w:t>
      </w:r>
      <w:r w:rsidRPr="00F96800">
        <w:rPr>
          <w:rFonts w:eastAsia="Times New Roman"/>
          <w:spacing w:val="1"/>
          <w:u w:val="single"/>
        </w:rPr>
        <w:t>o</w:t>
      </w:r>
      <w:r w:rsidRPr="00F96800">
        <w:rPr>
          <w:rFonts w:eastAsia="Times New Roman"/>
          <w:u w:val="single"/>
        </w:rPr>
        <w:t>tsiaalselt,</w:t>
      </w:r>
      <w:r w:rsidRPr="00F96800">
        <w:rPr>
          <w:rFonts w:eastAsia="Times New Roman"/>
          <w:spacing w:val="13"/>
          <w:u w:val="single"/>
        </w:rPr>
        <w:t xml:space="preserve"> </w:t>
      </w:r>
      <w:r w:rsidRPr="00F96800">
        <w:rPr>
          <w:rFonts w:eastAsia="Times New Roman"/>
          <w:spacing w:val="1"/>
          <w:u w:val="single"/>
        </w:rPr>
        <w:t>ö</w:t>
      </w:r>
      <w:r w:rsidRPr="00F96800">
        <w:rPr>
          <w:rFonts w:eastAsia="Times New Roman"/>
          <w:spacing w:val="-4"/>
          <w:u w:val="single"/>
        </w:rPr>
        <w:t>k</w:t>
      </w:r>
      <w:r w:rsidRPr="00F96800">
        <w:rPr>
          <w:rFonts w:eastAsia="Times New Roman"/>
          <w:spacing w:val="1"/>
          <w:u w:val="single"/>
        </w:rPr>
        <w:t>o</w:t>
      </w:r>
      <w:r w:rsidRPr="00F96800">
        <w:rPr>
          <w:rFonts w:eastAsia="Times New Roman"/>
          <w:u w:val="single"/>
        </w:rPr>
        <w:t>l</w:t>
      </w:r>
      <w:r w:rsidRPr="00F96800">
        <w:rPr>
          <w:rFonts w:eastAsia="Times New Roman"/>
          <w:spacing w:val="1"/>
          <w:u w:val="single"/>
        </w:rPr>
        <w:t>o</w:t>
      </w:r>
      <w:r w:rsidRPr="00F96800">
        <w:rPr>
          <w:rFonts w:eastAsia="Times New Roman"/>
          <w:spacing w:val="3"/>
          <w:u w:val="single"/>
        </w:rPr>
        <w:t>o</w:t>
      </w:r>
      <w:r w:rsidRPr="00F96800">
        <w:rPr>
          <w:rFonts w:eastAsia="Times New Roman"/>
          <w:spacing w:val="-6"/>
          <w:u w:val="single"/>
        </w:rPr>
        <w:t>g</w:t>
      </w:r>
      <w:r w:rsidRPr="00F96800">
        <w:rPr>
          <w:rFonts w:eastAsia="Times New Roman"/>
          <w:spacing w:val="2"/>
          <w:u w:val="single"/>
        </w:rPr>
        <w:t>i</w:t>
      </w:r>
      <w:r w:rsidRPr="00F96800">
        <w:rPr>
          <w:rFonts w:eastAsia="Times New Roman"/>
          <w:u w:val="single"/>
        </w:rPr>
        <w:t>lise</w:t>
      </w:r>
      <w:r w:rsidRPr="00F96800">
        <w:rPr>
          <w:rFonts w:eastAsia="Times New Roman"/>
          <w:spacing w:val="2"/>
          <w:u w:val="single"/>
        </w:rPr>
        <w:t>l</w:t>
      </w:r>
      <w:r w:rsidRPr="00F96800">
        <w:rPr>
          <w:rFonts w:eastAsia="Times New Roman"/>
          <w:u w:val="single"/>
        </w:rPr>
        <w:t>t</w:t>
      </w:r>
      <w:r w:rsidRPr="00F96800">
        <w:rPr>
          <w:rFonts w:eastAsia="Times New Roman"/>
          <w:spacing w:val="15"/>
          <w:u w:val="single"/>
        </w:rPr>
        <w:t xml:space="preserve"> </w:t>
      </w:r>
      <w:r w:rsidRPr="00F96800">
        <w:rPr>
          <w:rFonts w:eastAsia="Times New Roman"/>
          <w:u w:val="single"/>
        </w:rPr>
        <w:t>ja</w:t>
      </w:r>
      <w:r w:rsidRPr="00F96800">
        <w:rPr>
          <w:rFonts w:eastAsia="Times New Roman"/>
          <w:spacing w:val="2"/>
          <w:u w:val="single"/>
        </w:rPr>
        <w:t xml:space="preserve"> </w:t>
      </w:r>
      <w:r w:rsidRPr="00F96800">
        <w:rPr>
          <w:rFonts w:eastAsia="Times New Roman"/>
          <w:spacing w:val="-1"/>
          <w:u w:val="single"/>
        </w:rPr>
        <w:t>r</w:t>
      </w:r>
      <w:r w:rsidRPr="00F96800">
        <w:rPr>
          <w:rFonts w:eastAsia="Times New Roman"/>
          <w:spacing w:val="1"/>
          <w:u w:val="single"/>
        </w:rPr>
        <w:t>uu</w:t>
      </w:r>
      <w:r w:rsidRPr="00F96800">
        <w:rPr>
          <w:rFonts w:eastAsia="Times New Roman"/>
          <w:spacing w:val="-4"/>
          <w:u w:val="single"/>
        </w:rPr>
        <w:t>m</w:t>
      </w:r>
      <w:r w:rsidRPr="00F96800">
        <w:rPr>
          <w:rFonts w:eastAsia="Times New Roman"/>
          <w:spacing w:val="5"/>
          <w:u w:val="single"/>
        </w:rPr>
        <w:t>i</w:t>
      </w:r>
      <w:r w:rsidRPr="00F96800">
        <w:rPr>
          <w:rFonts w:eastAsia="Times New Roman"/>
          <w:spacing w:val="-4"/>
          <w:u w:val="single"/>
        </w:rPr>
        <w:t>k</w:t>
      </w:r>
      <w:r w:rsidRPr="00F96800">
        <w:rPr>
          <w:rFonts w:eastAsia="Times New Roman"/>
          <w:spacing w:val="1"/>
          <w:u w:val="single"/>
        </w:rPr>
        <w:t>u</w:t>
      </w:r>
      <w:r w:rsidRPr="00F96800">
        <w:rPr>
          <w:rFonts w:eastAsia="Times New Roman"/>
          <w:u w:val="single"/>
        </w:rPr>
        <w:t>j</w:t>
      </w:r>
      <w:r w:rsidRPr="00F96800">
        <w:rPr>
          <w:rFonts w:eastAsia="Times New Roman"/>
          <w:spacing w:val="1"/>
          <w:u w:val="single"/>
        </w:rPr>
        <w:t>un</w:t>
      </w:r>
      <w:r w:rsidRPr="00F96800">
        <w:rPr>
          <w:rFonts w:eastAsia="Times New Roman"/>
          <w:spacing w:val="-2"/>
          <w:u w:val="single"/>
        </w:rPr>
        <w:t>d</w:t>
      </w:r>
      <w:r w:rsidRPr="00F96800">
        <w:rPr>
          <w:rFonts w:eastAsia="Times New Roman"/>
          <w:spacing w:val="1"/>
          <w:u w:val="single"/>
        </w:rPr>
        <w:t>u</w:t>
      </w:r>
      <w:r w:rsidRPr="00F96800">
        <w:rPr>
          <w:rFonts w:eastAsia="Times New Roman"/>
          <w:u w:val="single"/>
        </w:rPr>
        <w:t>sli</w:t>
      </w:r>
      <w:r w:rsidRPr="00F96800">
        <w:rPr>
          <w:rFonts w:eastAsia="Times New Roman"/>
          <w:spacing w:val="-2"/>
          <w:u w:val="single"/>
        </w:rPr>
        <w:t>k</w:t>
      </w:r>
      <w:r w:rsidRPr="00F96800">
        <w:rPr>
          <w:rFonts w:eastAsia="Times New Roman"/>
          <w:spacing w:val="1"/>
          <w:u w:val="single"/>
        </w:rPr>
        <w:t>u</w:t>
      </w:r>
      <w:r w:rsidRPr="00F96800">
        <w:rPr>
          <w:rFonts w:eastAsia="Times New Roman"/>
          <w:u w:val="single"/>
        </w:rPr>
        <w:t>lt</w:t>
      </w:r>
      <w:r w:rsidRPr="00F96800">
        <w:rPr>
          <w:rFonts w:eastAsia="Times New Roman"/>
          <w:spacing w:val="24"/>
          <w:u w:val="single"/>
        </w:rPr>
        <w:t xml:space="preserve"> </w:t>
      </w:r>
      <w:r w:rsidRPr="00F96800">
        <w:rPr>
          <w:rFonts w:eastAsia="Times New Roman"/>
          <w:spacing w:val="-2"/>
          <w:u w:val="single"/>
        </w:rPr>
        <w:t>p</w:t>
      </w:r>
      <w:r w:rsidRPr="00F96800">
        <w:rPr>
          <w:rFonts w:eastAsia="Times New Roman"/>
          <w:u w:val="single"/>
        </w:rPr>
        <w:t>a</w:t>
      </w:r>
      <w:r w:rsidRPr="00F96800">
        <w:rPr>
          <w:rFonts w:eastAsia="Times New Roman"/>
          <w:spacing w:val="-1"/>
          <w:u w:val="single"/>
        </w:rPr>
        <w:t>r</w:t>
      </w:r>
      <w:r w:rsidRPr="00F96800">
        <w:rPr>
          <w:rFonts w:eastAsia="Times New Roman"/>
          <w:u w:val="single"/>
        </w:rPr>
        <w:t>i</w:t>
      </w:r>
      <w:r w:rsidRPr="00F96800">
        <w:rPr>
          <w:rFonts w:eastAsia="Times New Roman"/>
          <w:spacing w:val="1"/>
          <w:u w:val="single"/>
        </w:rPr>
        <w:t>m</w:t>
      </w:r>
      <w:r w:rsidRPr="00F96800">
        <w:rPr>
          <w:rFonts w:eastAsia="Times New Roman"/>
          <w:u w:val="single"/>
        </w:rPr>
        <w:t>al</w:t>
      </w:r>
      <w:r w:rsidRPr="00F96800">
        <w:rPr>
          <w:rFonts w:eastAsia="Times New Roman"/>
          <w:spacing w:val="9"/>
          <w:u w:val="single"/>
        </w:rPr>
        <w:t xml:space="preserve"> </w:t>
      </w:r>
      <w:r w:rsidRPr="00F96800">
        <w:rPr>
          <w:rFonts w:eastAsia="Times New Roman"/>
          <w:spacing w:val="-2"/>
          <w:u w:val="single"/>
        </w:rPr>
        <w:t>v</w:t>
      </w:r>
      <w:r w:rsidRPr="00F96800">
        <w:rPr>
          <w:rFonts w:eastAsia="Times New Roman"/>
          <w:spacing w:val="2"/>
          <w:u w:val="single"/>
        </w:rPr>
        <w:t>i</w:t>
      </w:r>
      <w:r w:rsidRPr="00F96800">
        <w:rPr>
          <w:rFonts w:eastAsia="Times New Roman"/>
          <w:u w:val="single"/>
        </w:rPr>
        <w:t>isil</w:t>
      </w:r>
      <w:r w:rsidRPr="00F96800">
        <w:rPr>
          <w:rFonts w:eastAsia="Times New Roman"/>
          <w:spacing w:val="7"/>
          <w:u w:val="single"/>
        </w:rPr>
        <w:t xml:space="preserve"> </w:t>
      </w:r>
      <w:r w:rsidRPr="00F96800">
        <w:rPr>
          <w:rFonts w:eastAsia="Times New Roman"/>
          <w:u w:val="single"/>
        </w:rPr>
        <w:t>a</w:t>
      </w:r>
      <w:r w:rsidRPr="00F96800">
        <w:rPr>
          <w:rFonts w:eastAsia="Times New Roman"/>
          <w:spacing w:val="-2"/>
          <w:u w:val="single"/>
        </w:rPr>
        <w:t>v</w:t>
      </w:r>
      <w:r w:rsidRPr="00F96800">
        <w:rPr>
          <w:rFonts w:eastAsia="Times New Roman"/>
          <w:u w:val="single"/>
        </w:rPr>
        <w:t>al</w:t>
      </w:r>
      <w:r w:rsidRPr="00F96800">
        <w:rPr>
          <w:rFonts w:eastAsia="Times New Roman"/>
          <w:spacing w:val="2"/>
          <w:u w:val="single"/>
        </w:rPr>
        <w:t>i</w:t>
      </w:r>
      <w:r w:rsidRPr="00F96800">
        <w:rPr>
          <w:rFonts w:eastAsia="Times New Roman"/>
          <w:spacing w:val="-4"/>
          <w:u w:val="single"/>
        </w:rPr>
        <w:t>k</w:t>
      </w:r>
      <w:r w:rsidRPr="00F96800">
        <w:rPr>
          <w:rFonts w:eastAsia="Times New Roman"/>
          <w:u w:val="single"/>
        </w:rPr>
        <w:t>e</w:t>
      </w:r>
      <w:r w:rsidRPr="00F96800">
        <w:rPr>
          <w:rFonts w:eastAsia="Times New Roman"/>
          <w:spacing w:val="7"/>
          <w:u w:val="single"/>
        </w:rPr>
        <w:t xml:space="preserve"> </w:t>
      </w:r>
      <w:r w:rsidRPr="00F96800">
        <w:rPr>
          <w:rFonts w:eastAsia="Times New Roman"/>
          <w:spacing w:val="2"/>
          <w:w w:val="101"/>
          <w:u w:val="single"/>
        </w:rPr>
        <w:t>te</w:t>
      </w:r>
      <w:r w:rsidRPr="00F96800">
        <w:rPr>
          <w:rFonts w:eastAsia="Times New Roman"/>
          <w:w w:val="101"/>
          <w:u w:val="single"/>
        </w:rPr>
        <w:t>e</w:t>
      </w:r>
      <w:r w:rsidRPr="00F96800">
        <w:rPr>
          <w:rFonts w:eastAsia="Times New Roman"/>
          <w:spacing w:val="1"/>
          <w:w w:val="101"/>
          <w:u w:val="single"/>
        </w:rPr>
        <w:t>nu</w:t>
      </w:r>
      <w:r w:rsidRPr="00F96800">
        <w:rPr>
          <w:rFonts w:eastAsia="Times New Roman"/>
          <w:w w:val="101"/>
          <w:u w:val="single"/>
        </w:rPr>
        <w:t xml:space="preserve">ste </w:t>
      </w:r>
      <w:r w:rsidRPr="00F96800">
        <w:rPr>
          <w:rFonts w:eastAsia="Times New Roman"/>
          <w:spacing w:val="1"/>
          <w:w w:val="101"/>
          <w:u w:val="single"/>
        </w:rPr>
        <w:t>p</w:t>
      </w:r>
      <w:r w:rsidRPr="00F96800">
        <w:rPr>
          <w:rFonts w:eastAsia="Times New Roman"/>
          <w:w w:val="101"/>
          <w:u w:val="single"/>
        </w:rPr>
        <w:t>a</w:t>
      </w:r>
      <w:r w:rsidRPr="00F96800">
        <w:rPr>
          <w:rFonts w:eastAsia="Times New Roman"/>
          <w:spacing w:val="-2"/>
          <w:w w:val="101"/>
          <w:u w:val="single"/>
        </w:rPr>
        <w:t>kk</w:t>
      </w:r>
      <w:r w:rsidRPr="00F96800">
        <w:rPr>
          <w:rFonts w:eastAsia="Times New Roman"/>
          <w:spacing w:val="1"/>
          <w:w w:val="101"/>
          <w:u w:val="single"/>
        </w:rPr>
        <w:t>u</w:t>
      </w:r>
      <w:r w:rsidRPr="00F96800">
        <w:rPr>
          <w:rFonts w:eastAsia="Times New Roman"/>
          <w:spacing w:val="2"/>
          <w:w w:val="101"/>
          <w:u w:val="single"/>
        </w:rPr>
        <w:t>j</w:t>
      </w:r>
      <w:r w:rsidRPr="00F96800">
        <w:rPr>
          <w:rFonts w:eastAsia="Times New Roman"/>
          <w:w w:val="101"/>
          <w:u w:val="single"/>
        </w:rPr>
        <w:t>a</w:t>
      </w:r>
      <w:r w:rsidRPr="00F96800">
        <w:rPr>
          <w:rFonts w:eastAsia="Times New Roman"/>
          <w:spacing w:val="-2"/>
          <w:w w:val="101"/>
          <w:u w:val="single"/>
        </w:rPr>
        <w:t>n</w:t>
      </w:r>
      <w:r w:rsidRPr="00F96800">
        <w:rPr>
          <w:rFonts w:eastAsia="Times New Roman"/>
          <w:w w:val="101"/>
          <w:u w:val="single"/>
        </w:rPr>
        <w:t>a</w:t>
      </w:r>
      <w:r w:rsidRPr="00F96800">
        <w:rPr>
          <w:rFonts w:eastAsia="Times New Roman"/>
          <w:w w:val="101"/>
        </w:rPr>
        <w:t xml:space="preserve">.“ </w:t>
      </w:r>
    </w:p>
    <w:p w:rsidR="001277F7" w:rsidRPr="003B7E1A" w:rsidRDefault="001277F7" w:rsidP="00F96800">
      <w:pPr>
        <w:rPr>
          <w:rFonts w:ascii="Times New Roman" w:eastAsia="Times New Roman" w:hAnsi="Times New Roman"/>
          <w:w w:val="101"/>
          <w:sz w:val="23"/>
          <w:szCs w:val="23"/>
        </w:rPr>
      </w:pPr>
      <w:r w:rsidRPr="00F96800">
        <w:rPr>
          <w:rFonts w:eastAsia="Times New Roman"/>
          <w:w w:val="101"/>
        </w:rPr>
        <w:t>Otsest seost arhitektuuriväärtuste ja pärandi hoidmisega riigi kinnisvarastrateegia dokumendist</w:t>
      </w:r>
      <w:r w:rsidR="00655E30" w:rsidRPr="00F96800">
        <w:rPr>
          <w:rFonts w:eastAsia="Times New Roman"/>
          <w:w w:val="101"/>
        </w:rPr>
        <w:t xml:space="preserve"> </w:t>
      </w:r>
      <w:r w:rsidRPr="00F96800">
        <w:rPr>
          <w:rFonts w:eastAsia="Times New Roman"/>
          <w:w w:val="101"/>
        </w:rPr>
        <w:t>ei leia, kaudne seos tekib väärtuste peatükis, kus ühe väärtusena on märgitud „</w:t>
      </w:r>
      <w:r w:rsidRPr="00F96800">
        <w:rPr>
          <w:rFonts w:eastAsia="Times New Roman"/>
          <w:w w:val="107"/>
        </w:rPr>
        <w:t>esindusl</w:t>
      </w:r>
      <w:r w:rsidRPr="00F96800">
        <w:rPr>
          <w:rFonts w:eastAsia="Times New Roman"/>
          <w:spacing w:val="2"/>
          <w:w w:val="107"/>
        </w:rPr>
        <w:t>i</w:t>
      </w:r>
      <w:r w:rsidRPr="00F96800">
        <w:rPr>
          <w:rFonts w:eastAsia="Times New Roman"/>
          <w:w w:val="107"/>
        </w:rPr>
        <w:t>k</w:t>
      </w:r>
      <w:r w:rsidRPr="00F96800">
        <w:rPr>
          <w:rFonts w:eastAsia="Times New Roman"/>
          <w:spacing w:val="-5"/>
          <w:w w:val="107"/>
        </w:rPr>
        <w:t>k</w:t>
      </w:r>
      <w:r w:rsidRPr="00F96800">
        <w:rPr>
          <w:rFonts w:eastAsia="Times New Roman"/>
          <w:spacing w:val="2"/>
          <w:w w:val="107"/>
        </w:rPr>
        <w:t>u</w:t>
      </w:r>
      <w:r w:rsidRPr="00F96800">
        <w:rPr>
          <w:rFonts w:eastAsia="Times New Roman"/>
          <w:w w:val="107"/>
        </w:rPr>
        <w:t>s -</w:t>
      </w:r>
      <w:r w:rsidR="00F96800">
        <w:rPr>
          <w:rFonts w:eastAsia="Times New Roman"/>
          <w:w w:val="107"/>
        </w:rPr>
        <w:t xml:space="preserve"> </w:t>
      </w:r>
      <w:r w:rsidRPr="00F96800">
        <w:rPr>
          <w:rFonts w:eastAsia="Times New Roman"/>
        </w:rPr>
        <w:t>–</w:t>
      </w:r>
      <w:r w:rsidRPr="00F96800">
        <w:rPr>
          <w:rFonts w:eastAsia="Times New Roman"/>
          <w:spacing w:val="4"/>
        </w:rPr>
        <w:t xml:space="preserve"> </w:t>
      </w:r>
      <w:r w:rsidRPr="00F96800">
        <w:rPr>
          <w:rFonts w:eastAsia="Times New Roman"/>
          <w:spacing w:val="-1"/>
        </w:rPr>
        <w:t>r</w:t>
      </w:r>
      <w:r w:rsidRPr="00F96800">
        <w:rPr>
          <w:rFonts w:eastAsia="Times New Roman"/>
        </w:rPr>
        <w:t>i</w:t>
      </w:r>
      <w:r w:rsidRPr="00F96800">
        <w:rPr>
          <w:rFonts w:eastAsia="Times New Roman"/>
          <w:spacing w:val="5"/>
        </w:rPr>
        <w:t>i</w:t>
      </w:r>
      <w:r w:rsidRPr="00F96800">
        <w:rPr>
          <w:rFonts w:eastAsia="Times New Roman"/>
          <w:spacing w:val="-6"/>
        </w:rPr>
        <w:t>g</w:t>
      </w:r>
      <w:r w:rsidRPr="00F96800">
        <w:rPr>
          <w:rFonts w:eastAsia="Times New Roman"/>
        </w:rPr>
        <w:t>i</w:t>
      </w:r>
      <w:r w:rsidRPr="00F96800">
        <w:rPr>
          <w:rFonts w:eastAsia="Times New Roman"/>
          <w:spacing w:val="6"/>
        </w:rPr>
        <w:t xml:space="preserve"> </w:t>
      </w:r>
      <w:r w:rsidRPr="00F96800">
        <w:rPr>
          <w:rFonts w:eastAsia="Times New Roman"/>
          <w:spacing w:val="1"/>
        </w:rPr>
        <w:t>v</w:t>
      </w:r>
      <w:r w:rsidRPr="00F96800">
        <w:rPr>
          <w:rFonts w:eastAsia="Times New Roman"/>
        </w:rPr>
        <w:t>ä</w:t>
      </w:r>
      <w:r w:rsidRPr="00F96800">
        <w:rPr>
          <w:rFonts w:eastAsia="Times New Roman"/>
          <w:spacing w:val="2"/>
        </w:rPr>
        <w:t>ä</w:t>
      </w:r>
      <w:r w:rsidRPr="00F96800">
        <w:rPr>
          <w:rFonts w:eastAsia="Times New Roman"/>
          <w:spacing w:val="-1"/>
        </w:rPr>
        <w:t>r</w:t>
      </w:r>
      <w:r w:rsidRPr="00F96800">
        <w:rPr>
          <w:rFonts w:eastAsia="Times New Roman"/>
          <w:spacing w:val="2"/>
        </w:rPr>
        <w:t>t</w:t>
      </w:r>
      <w:r w:rsidRPr="00F96800">
        <w:rPr>
          <w:rFonts w:eastAsia="Times New Roman"/>
          <w:spacing w:val="-2"/>
        </w:rPr>
        <w:t>u</w:t>
      </w:r>
      <w:r w:rsidRPr="00F96800">
        <w:rPr>
          <w:rFonts w:eastAsia="Times New Roman"/>
        </w:rPr>
        <w:t>sta</w:t>
      </w:r>
      <w:r w:rsidRPr="00F96800">
        <w:rPr>
          <w:rFonts w:eastAsia="Times New Roman"/>
          <w:spacing w:val="-2"/>
        </w:rPr>
        <w:t>m</w:t>
      </w:r>
      <w:r w:rsidRPr="00F96800">
        <w:rPr>
          <w:rFonts w:eastAsia="Times New Roman"/>
        </w:rPr>
        <w:t>i</w:t>
      </w:r>
      <w:r w:rsidRPr="00F96800">
        <w:rPr>
          <w:rFonts w:eastAsia="Times New Roman"/>
          <w:spacing w:val="1"/>
        </w:rPr>
        <w:t>n</w:t>
      </w:r>
      <w:r w:rsidRPr="00F96800">
        <w:rPr>
          <w:rFonts w:eastAsia="Times New Roman"/>
        </w:rPr>
        <w:t>e</w:t>
      </w:r>
      <w:r w:rsidRPr="00F96800">
        <w:rPr>
          <w:rFonts w:eastAsia="Times New Roman"/>
          <w:spacing w:val="15"/>
        </w:rPr>
        <w:t xml:space="preserve"> </w:t>
      </w:r>
      <w:r w:rsidRPr="00F96800">
        <w:rPr>
          <w:rFonts w:eastAsia="Times New Roman"/>
          <w:spacing w:val="-2"/>
        </w:rPr>
        <w:t>k</w:t>
      </w:r>
      <w:r w:rsidRPr="00F96800">
        <w:rPr>
          <w:rFonts w:eastAsia="Times New Roman"/>
          <w:spacing w:val="1"/>
        </w:rPr>
        <w:t>od</w:t>
      </w:r>
      <w:r w:rsidRPr="00F96800">
        <w:rPr>
          <w:rFonts w:eastAsia="Times New Roman"/>
        </w:rPr>
        <w:t>a</w:t>
      </w:r>
      <w:r w:rsidRPr="00F96800">
        <w:rPr>
          <w:rFonts w:eastAsia="Times New Roman"/>
          <w:spacing w:val="1"/>
        </w:rPr>
        <w:t>n</w:t>
      </w:r>
      <w:r w:rsidRPr="00F96800">
        <w:rPr>
          <w:rFonts w:eastAsia="Times New Roman"/>
        </w:rPr>
        <w:t>i</w:t>
      </w:r>
      <w:r w:rsidRPr="00F96800">
        <w:rPr>
          <w:rFonts w:eastAsia="Times New Roman"/>
          <w:spacing w:val="1"/>
        </w:rPr>
        <w:t>k</w:t>
      </w:r>
      <w:r w:rsidRPr="00F96800">
        <w:rPr>
          <w:rFonts w:eastAsia="Times New Roman"/>
        </w:rPr>
        <w:t>e</w:t>
      </w:r>
      <w:r w:rsidRPr="00F96800">
        <w:rPr>
          <w:rFonts w:eastAsia="Times New Roman"/>
          <w:spacing w:val="8"/>
        </w:rPr>
        <w:t xml:space="preserve"> </w:t>
      </w:r>
      <w:r w:rsidRPr="00F96800">
        <w:rPr>
          <w:rFonts w:eastAsia="Times New Roman"/>
        </w:rPr>
        <w:t>ja</w:t>
      </w:r>
      <w:r w:rsidRPr="00F96800">
        <w:rPr>
          <w:rFonts w:eastAsia="Times New Roman"/>
          <w:spacing w:val="4"/>
        </w:rPr>
        <w:t xml:space="preserve"> </w:t>
      </w:r>
      <w:r w:rsidRPr="00F96800">
        <w:rPr>
          <w:rFonts w:eastAsia="Times New Roman"/>
          <w:spacing w:val="1"/>
        </w:rPr>
        <w:t>kü</w:t>
      </w:r>
      <w:r w:rsidRPr="00F96800">
        <w:rPr>
          <w:rFonts w:eastAsia="Times New Roman"/>
        </w:rPr>
        <w:t>laliste</w:t>
      </w:r>
      <w:r w:rsidRPr="00F96800">
        <w:rPr>
          <w:rFonts w:eastAsia="Times New Roman"/>
          <w:spacing w:val="8"/>
        </w:rPr>
        <w:t xml:space="preserve"> </w:t>
      </w:r>
      <w:r w:rsidRPr="00F96800">
        <w:rPr>
          <w:rFonts w:eastAsia="Times New Roman"/>
          <w:w w:val="101"/>
        </w:rPr>
        <w:t>s</w:t>
      </w:r>
      <w:r w:rsidRPr="00F96800">
        <w:rPr>
          <w:rFonts w:eastAsia="Times New Roman"/>
          <w:spacing w:val="2"/>
          <w:w w:val="101"/>
        </w:rPr>
        <w:t>i</w:t>
      </w:r>
      <w:r w:rsidRPr="00F96800">
        <w:rPr>
          <w:rFonts w:eastAsia="Times New Roman"/>
          <w:w w:val="101"/>
        </w:rPr>
        <w:t>l</w:t>
      </w:r>
      <w:r w:rsidRPr="00F96800">
        <w:rPr>
          <w:rFonts w:eastAsia="Times New Roman"/>
          <w:spacing w:val="-2"/>
          <w:w w:val="101"/>
        </w:rPr>
        <w:t>m</w:t>
      </w:r>
      <w:r w:rsidRPr="00F96800">
        <w:rPr>
          <w:rFonts w:eastAsia="Times New Roman"/>
          <w:w w:val="101"/>
        </w:rPr>
        <w:t>is“. Ülejäänud väärtused on „funktsionaalsus“, „majanduslik efektiivsus“, „informatiivsus“, „avalikustamine“ ja „läbipaistvus“.</w:t>
      </w:r>
      <w:r w:rsidR="00F96800">
        <w:rPr>
          <w:rFonts w:ascii="Times New Roman" w:eastAsia="Times New Roman" w:hAnsi="Times New Roman"/>
          <w:w w:val="101"/>
          <w:sz w:val="23"/>
          <w:szCs w:val="23"/>
        </w:rPr>
        <w:t xml:space="preserve"> </w:t>
      </w:r>
    </w:p>
    <w:p w:rsidR="001277F7" w:rsidRPr="003B7E1A" w:rsidRDefault="001277F7" w:rsidP="00F96800">
      <w:pPr>
        <w:rPr>
          <w:rFonts w:ascii="Times New Roman" w:eastAsia="Times New Roman" w:hAnsi="Times New Roman"/>
          <w:sz w:val="23"/>
          <w:szCs w:val="23"/>
        </w:rPr>
      </w:pPr>
      <w:r w:rsidRPr="003B7E1A">
        <w:t xml:space="preserve">Siiski on tehtud mitmeid pingutusi vastavate poliitikate kaasamiseks riigi kinnisvarastrateegia elluviimisel. Seoste loomine erinevate poliitikate vahel on olnud keeruline ka seetõttu, et nii arhitektuuri- kui muinsuskaitsepoliitika lähtealused on ajakohastamata ning nõuded riigile kui kinnisvaraomanikule ebaselged. Vajadus erinevad poliitikad omavahel kokku viia ning formuleerida täpsustatud eesmärgid strateegiadokumentides on ilmselge. </w:t>
      </w:r>
    </w:p>
    <w:p w:rsidR="001277F7" w:rsidRPr="003B7E1A" w:rsidRDefault="001277F7" w:rsidP="001277F7">
      <w:pPr>
        <w:pStyle w:val="Pealkiri4"/>
      </w:pPr>
      <w:r w:rsidRPr="003B7E1A">
        <w:t>Arhitektuuripoliitika</w:t>
      </w:r>
    </w:p>
    <w:p w:rsidR="001277F7" w:rsidRPr="003B7E1A" w:rsidRDefault="001277F7" w:rsidP="00B361D1">
      <w:r w:rsidRPr="003B7E1A">
        <w:t>Viimane arhitektuurivaldkonna riiklik arengukava valmis</w:t>
      </w:r>
      <w:r w:rsidR="00F96800">
        <w:t xml:space="preserve"> </w:t>
      </w:r>
      <w:r w:rsidRPr="003B7E1A">
        <w:t>2002. aastal. Uue arengukava koostamine on algatamisel Eesti Arhitektuurikeskuse poolt koostöös valdkondlike erialaorganisatsioonidega ning selle eesmärgiks on teha ettepanekuid ja anda soovitusi Kultuuriministeeriumile. Arvestades riigi poolt arendatava kinnisvara mahtu peame vajalikuks ka</w:t>
      </w:r>
      <w:r w:rsidR="00F96800">
        <w:t xml:space="preserve"> </w:t>
      </w:r>
      <w:r w:rsidRPr="003B7E1A">
        <w:t>Rahandusministeeriumi kaasamist ühise poliitika kujundamisse, seda nii riigihangete poliitikaga kui riigi kinnisvara poliitikaga seostamisel. RKAS riigi kinnisvarapoliitika elluviijana omab laialdast kogemust projekteerimishangete läbiviimisel ja on saanud palju kriitikat arhitektide poolt, kelle mureks on kvaliteedi tagamine projekteerimishangetel. Kriitika on olnud osaliselt kindlasti põhjendatud, sest aastaid on RKAS projekteerimishangetel lähtunud odavaimast hinnast, kuid alates 2015. aastast on võetud</w:t>
      </w:r>
      <w:r w:rsidR="001C34FE">
        <w:t xml:space="preserve"> </w:t>
      </w:r>
      <w:r w:rsidRPr="003B7E1A">
        <w:t>suund väärtuspõhiste hangete korraldamisele. Lisaks on muudetud hankeprotsessi uue pakkumuse hinda</w:t>
      </w:r>
      <w:r w:rsidR="001C34FE">
        <w:t>mise metoodikaga ja kriteeriumit</w:t>
      </w:r>
      <w:r w:rsidRPr="003B7E1A">
        <w:t xml:space="preserve">ega arhitektuurikonkurssidel, mis hindab senisest rohkem tegijaid ja töökorraldust. Ühised seisukohad projekteerimishangete hinna ja kvaliteedi optimaalsest vahekorrast vajavad veel kujundamist. </w:t>
      </w:r>
    </w:p>
    <w:p w:rsidR="001277F7" w:rsidRPr="003B7E1A" w:rsidRDefault="001277F7" w:rsidP="00B361D1">
      <w:r w:rsidRPr="003B7E1A">
        <w:t>Täiendavalt on Rahandusministeerium alustanud analüüsiga Arhitektuuri Nõukoja moodustamise vajadusest ja puithoonete ehitamise võimalustest avaliku sektori hoonete puhul.</w:t>
      </w:r>
    </w:p>
    <w:p w:rsidR="001277F7" w:rsidRPr="003B7E1A" w:rsidRDefault="001277F7" w:rsidP="001277F7">
      <w:pPr>
        <w:pStyle w:val="Pealkiri4"/>
      </w:pPr>
      <w:r w:rsidRPr="003B7E1A">
        <w:t>Muinsuskaitsepoliitika</w:t>
      </w:r>
    </w:p>
    <w:p w:rsidR="001277F7" w:rsidRPr="003B7E1A" w:rsidRDefault="001277F7" w:rsidP="00B361D1">
      <w:r w:rsidRPr="003B7E1A">
        <w:t xml:space="preserve">Kinnisvarainvesteeringutega saab otseselt täita muinsuskaitse eesmärke, otsustades uue hoone rajamise asemel muinsuskaitselise hoone restaureerimise. Restaureerimise kasuks räägib ilmselge kultuuripärandi säilitamise ja väärtustamise vajadus ning uue hoone kasuks räägib oluline kokkuhoid hoone elueakuludes. Kuna kogu kultuuripärandi säilitamiseks riigil ressursse pole, on senine praktika olnud valikuline investeerimine muinsuskaitsealustesse hoonetesse. Muinsuskaitseamet on nimetanud heaks eeskujuks näiteks RKAS-i poolt juhitud Viljandi Gümnaasiumi </w:t>
      </w:r>
      <w:r w:rsidR="001C34FE">
        <w:t>rekonstrueerimist</w:t>
      </w:r>
      <w:r w:rsidRPr="003B7E1A">
        <w:t xml:space="preserve">, seevastu frustratsiooni on põhjustanud RKAS-i otsus mitte rajada Kohtla-Järve riigigümnaasiumi olemasolevasse muinsuskaitsealusesse hoonesse. Valik kultuuripärandi säilitamise suhtes on olnud absoluutne – kas täidetakse muinsuskaitselised eesmärgid valitud objektil maksimaalses mahus või ei täideta neid üldse Probleemiks on, et muinsuskaitse nõuete järgimine tõstab ehitusmaksumust hinnanguliselt kolmandiku võrra, samuti piiravad vanad hooned tõhusat pinnakasutust, kuid riigi hoonete arendamisel on üheks oluliseks valiku põhimõtteks säästlikkus. Kui muinsuskaitse nõuete järgimine muudab arendusmaksumust oluliselt kallimaks, on otsitud odavamaid alternatiive tulenevalt piiratud eelarve vahenditest. </w:t>
      </w:r>
    </w:p>
    <w:p w:rsidR="001277F7" w:rsidRPr="003B7E1A" w:rsidRDefault="001277F7" w:rsidP="00B361D1">
      <w:r w:rsidRPr="003B7E1A">
        <w:t>Senisest suurem valmidus otsida poolte vahel kompromisse suurendaks koostöö ja ühiste huvide elluviimise võimalusi riigi kui tellija ja riigi kui pärandi hoidja vahel. Selleks oleks vajalik, et muinsuskaitse poliitika oleks paindlikum ja realistlikum, arvestaks ka omaniku rahalisi võimalusi. Samuti tuleks parendada analüüsi- ja otsustusprotsesse selliselt, et pärandi hoidmisest tulenev lisaväärtus ja sellega seotud lisakulu oleksid eraldi mõ</w:t>
      </w:r>
      <w:r w:rsidR="00B361D1">
        <w:t>õdetavad ja analüüsitavad. 2015.</w:t>
      </w:r>
      <w:r w:rsidRPr="003B7E1A">
        <w:t xml:space="preserve"> aastal alustas Rahandusministeerium investeerimisprojektide analüüsimist eesmärgiga teha senisest põhjendatumaid rahastamisettepanekuid, see võimaldab koguda infot ka täiendava investeeringukulu ja elueakulude kohta muinsuskaitsealustel hoonetel. Vastavad võrdlusandmed võimaldavad edaspidi emotsioonivabalt hinnata erinevate eesmärkide täitmise hinda ning laiemalt riigi võimekust kultuuripärandi säilitamisel. Kui kogu soovitava programmi jaoks eelarvevahendeid ei jagu, on vajalik jõuda muinsuskaitsjatel ja tellijatel ühistele seisukohtadele küsimuses, milliseid hooneid ja mil määral restaureerida. </w:t>
      </w:r>
    </w:p>
    <w:p w:rsidR="004F5682" w:rsidRPr="003B7E1A" w:rsidRDefault="004F5682" w:rsidP="004F5682">
      <w:pPr>
        <w:pStyle w:val="Pealkiri3"/>
      </w:pPr>
      <w:bookmarkStart w:id="398" w:name="_Toc433980743"/>
      <w:r w:rsidRPr="003B7E1A">
        <w:t xml:space="preserve">Seosed </w:t>
      </w:r>
      <w:r w:rsidR="00787B46" w:rsidRPr="003B7E1A">
        <w:t xml:space="preserve">teiste </w:t>
      </w:r>
      <w:r w:rsidRPr="003B7E1A">
        <w:t xml:space="preserve">riigi </w:t>
      </w:r>
      <w:r w:rsidR="00787B46" w:rsidRPr="003B7E1A">
        <w:t xml:space="preserve">siseste </w:t>
      </w:r>
      <w:r w:rsidRPr="003B7E1A">
        <w:t>poliitikaga</w:t>
      </w:r>
      <w:bookmarkEnd w:id="398"/>
    </w:p>
    <w:p w:rsidR="00787B46" w:rsidRPr="003B7E1A" w:rsidRDefault="00787B46" w:rsidP="00787B46">
      <w:pPr>
        <w:pStyle w:val="Pealkiri4"/>
      </w:pPr>
      <w:r w:rsidRPr="003B7E1A">
        <w:t>Riigi eelarvepoliitika</w:t>
      </w:r>
    </w:p>
    <w:p w:rsidR="004F5682" w:rsidRPr="003B7E1A" w:rsidRDefault="004F5682" w:rsidP="004F5682">
      <w:r w:rsidRPr="003B7E1A">
        <w:t xml:space="preserve">Riigi kinnisvarapoliitika katab vaid vähese osa kogu valitsussektori kinnisvarast. Eelarvepoliitika seisukohast on vajadus laiema ülevaate ja reguleerituse järele kogu valitsussektoris. </w:t>
      </w:r>
    </w:p>
    <w:p w:rsidR="004F5682" w:rsidRPr="003B7E1A" w:rsidRDefault="004F5682" w:rsidP="004F5682">
      <w:pPr>
        <w:rPr>
          <w:u w:val="single"/>
        </w:rPr>
      </w:pPr>
      <w:r w:rsidRPr="003B7E1A">
        <w:t>Riigi kinnisvarapoliitika hõlmab vaid riigieelarvelisi a</w:t>
      </w:r>
      <w:r w:rsidR="008764CA" w:rsidRPr="003B7E1A">
        <w:t>sutusi ja ei hõlma keskvalitsus</w:t>
      </w:r>
      <w:r w:rsidRPr="003B7E1A">
        <w:t xml:space="preserve">e valitseva mõju all olevaid riigi era- </w:t>
      </w:r>
      <w:r w:rsidR="008764CA" w:rsidRPr="003B7E1A">
        <w:t>ega</w:t>
      </w:r>
      <w:r w:rsidRPr="003B7E1A">
        <w:t xml:space="preserve"> avalik-õiguslikke juriidilisi isikuid, kohalikke omavalitsu</w:t>
      </w:r>
      <w:r w:rsidR="008764CA" w:rsidRPr="003B7E1A">
        <w:t>si ega sotsiaalkindlustusfonde.</w:t>
      </w:r>
      <w:r w:rsidRPr="003B7E1A">
        <w:t xml:space="preserve"> </w:t>
      </w:r>
      <w:r w:rsidRPr="003B7E1A">
        <w:rPr>
          <w:u w:val="single"/>
        </w:rPr>
        <w:t xml:space="preserve">Riigieelarveliste asutuse kinnisvara osakaal kogu avaliku sektori kinnisvarast on ligikaudu ¼: </w:t>
      </w:r>
    </w:p>
    <w:p w:rsidR="004F5682" w:rsidRPr="003B7E1A" w:rsidRDefault="004F5682" w:rsidP="00351253">
      <w:pPr>
        <w:pStyle w:val="ListParagraph"/>
      </w:pPr>
      <w:r w:rsidRPr="003B7E1A">
        <w:t>24% kinnistute, hoonete ja ruumide majandamiskuludest (2014),</w:t>
      </w:r>
    </w:p>
    <w:p w:rsidR="004F5682" w:rsidRPr="003B7E1A" w:rsidRDefault="004F5682" w:rsidP="00351253">
      <w:pPr>
        <w:pStyle w:val="ListParagraph"/>
      </w:pPr>
      <w:r w:rsidRPr="003B7E1A">
        <w:t>29% hoonete investeeringute</w:t>
      </w:r>
      <w:r w:rsidR="003A6D67">
        <w:t>st (aastate 2010-2014 keskmine),</w:t>
      </w:r>
      <w:r w:rsidRPr="003B7E1A">
        <w:t xml:space="preserve"> </w:t>
      </w:r>
    </w:p>
    <w:p w:rsidR="004F5682" w:rsidRPr="003B7E1A" w:rsidRDefault="004F5682" w:rsidP="00351253">
      <w:pPr>
        <w:pStyle w:val="ListParagraph"/>
      </w:pPr>
      <w:r w:rsidRPr="003B7E1A">
        <w:t>23% kinnisvara väärtusest (arvestades ka RKAS</w:t>
      </w:r>
      <w:r w:rsidR="00D56E86" w:rsidRPr="003B7E1A">
        <w:t>-i</w:t>
      </w:r>
      <w:r w:rsidR="003A6D67">
        <w:t xml:space="preserve"> varade väärtust).</w:t>
      </w:r>
    </w:p>
    <w:p w:rsidR="004F5682" w:rsidRPr="003B7E1A" w:rsidRDefault="004F5682" w:rsidP="004F5682">
      <w:r w:rsidRPr="003B7E1A">
        <w:t>Muu keskvalitsuse osa on 35% majandamiskuludest (2014), 19%</w:t>
      </w:r>
      <w:r w:rsidR="00F96800">
        <w:t xml:space="preserve"> </w:t>
      </w:r>
      <w:r w:rsidRPr="003B7E1A">
        <w:t xml:space="preserve">hoonete </w:t>
      </w:r>
      <w:r w:rsidRPr="003B7E1A">
        <w:rPr>
          <w:u w:val="single"/>
        </w:rPr>
        <w:t xml:space="preserve">investeeringutest </w:t>
      </w:r>
      <w:r w:rsidRPr="003B7E1A">
        <w:t>aastate 2010-2014 keskmisena 19%, aga sellele eelnenud perioodil 2005-2009 34%, aga 9%, väärtusest</w:t>
      </w:r>
    </w:p>
    <w:p w:rsidR="004F5682" w:rsidRDefault="004F5682" w:rsidP="004F5682">
      <w:r w:rsidRPr="003B7E1A">
        <w:t>Riigi finantsjuhtimine ja</w:t>
      </w:r>
      <w:r>
        <w:t xml:space="preserve"> eelarvepoliitika juhib kõiki kinnisvaraga seotud kulusid, mitte ainult hoonete kulusid. Riigiasutuste kinnisvara jääkmaksumuse struktuuri alusel on </w:t>
      </w:r>
      <w:r w:rsidRPr="00294E43">
        <w:rPr>
          <w:u w:val="single"/>
        </w:rPr>
        <w:t>hoonete osa riigi kinnisvarast vaid 1/3.</w:t>
      </w:r>
      <w:r>
        <w:t xml:space="preserve"> Üle poole väärtusest moodustab rajatiste väärtus (peamiselt teed). Ca 5% on maa väärtus ja 9% puhul ei ole määratletav, kas tegemist on hoonete või rajatistega (lõpetamata ehitused ja etapiviisilised soetused ning kinnisvarainvesteeringud).</w:t>
      </w:r>
    </w:p>
    <w:p w:rsidR="004F5682" w:rsidRDefault="004F5682" w:rsidP="004F5682">
      <w:r>
        <w:t xml:space="preserve">Riigi kinnisvarapoliitika katab puudulikult tulude ja riigi kui kinnisvara omaniku vaadet. </w:t>
      </w:r>
    </w:p>
    <w:p w:rsidR="004F5682" w:rsidRDefault="004F5682" w:rsidP="00A96803">
      <w:pPr>
        <w:pStyle w:val="ListParagraph"/>
        <w:ind w:left="567"/>
      </w:pPr>
      <w:r>
        <w:t xml:space="preserve">Riigile mittevajalikud hooned võõrandatakse RKAS-i kaudu, laekuva tuluga kaetakse üleminekuperioodil vahe tegelike kulude ja asutuste tasutava üüri vahel. RKAS-i müügitulu mittevajalike varade müügist on olnud ca 5 mln € aastas. </w:t>
      </w:r>
    </w:p>
    <w:p w:rsidR="004F5682" w:rsidRPr="00400C32" w:rsidRDefault="004F5682" w:rsidP="00A96803">
      <w:pPr>
        <w:pStyle w:val="ListParagraph"/>
        <w:ind w:left="567"/>
      </w:pPr>
      <w:r w:rsidRPr="00FD7B94">
        <w:t xml:space="preserve">Riigi hoonestamata maade valitsejaks on keskkonnaministeeriumi valitsemisalas Maa-amet, kes </w:t>
      </w:r>
      <w:r>
        <w:t xml:space="preserve">müüb riigi maid ka avalikul enampakkumisel tulu saamise eesmärgil. </w:t>
      </w:r>
      <w:r w:rsidRPr="00FD7B94">
        <w:t>2013. aastal laekus enampakkumistega riigile tulu 17,6 mln €, 2014. aastal 12,8 mln €.</w:t>
      </w:r>
      <w:r>
        <w:t xml:space="preserve"> Ühekordse tulu kõrval on jäänud tähelepanu alt välja strateegiline vaade riigi maaportfellile ja puudub kokkulepe riigimaa </w:t>
      </w:r>
      <w:r w:rsidRPr="00400C32">
        <w:t>reservina säilita</w:t>
      </w:r>
      <w:r>
        <w:t xml:space="preserve">mise </w:t>
      </w:r>
      <w:r w:rsidRPr="00400C32">
        <w:t>kriteeriumi</w:t>
      </w:r>
      <w:r>
        <w:t xml:space="preserve">te kohta. </w:t>
      </w:r>
      <w:r w:rsidRPr="00400C32">
        <w:t>Sam</w:t>
      </w:r>
      <w:r>
        <w:t xml:space="preserve">uti </w:t>
      </w:r>
      <w:r w:rsidRPr="00400C32">
        <w:t xml:space="preserve">tuleks </w:t>
      </w:r>
      <w:r>
        <w:t xml:space="preserve">kokku leppida </w:t>
      </w:r>
      <w:r w:rsidRPr="00400C32">
        <w:t>põhimõtted, millist vara riik võõrandab. Nimetatud tegevused o</w:t>
      </w:r>
      <w:r>
        <w:t xml:space="preserve">lid </w:t>
      </w:r>
      <w:r w:rsidRPr="00400C32">
        <w:t xml:space="preserve">valitsuse tegevusprogrammis </w:t>
      </w:r>
      <w:r>
        <w:t xml:space="preserve">(2011-2014) </w:t>
      </w:r>
      <w:r w:rsidRPr="00400C32">
        <w:t xml:space="preserve">keskkonnaministri vastutusel. Keskkonnaministeeriumi ülesandel </w:t>
      </w:r>
      <w:r>
        <w:t xml:space="preserve">töötas </w:t>
      </w:r>
      <w:r w:rsidRPr="00400C32">
        <w:t xml:space="preserve">Maa-amet </w:t>
      </w:r>
      <w:r>
        <w:t xml:space="preserve">koostöös rahandusministeeriumiga </w:t>
      </w:r>
      <w:r w:rsidRPr="00400C32">
        <w:t xml:space="preserve">välja riigile vajaliku maa reservina säilitamise kriteeriumid, </w:t>
      </w:r>
      <w:r>
        <w:t xml:space="preserve">kuid </w:t>
      </w:r>
      <w:r w:rsidRPr="00400C32">
        <w:t>valitsus</w:t>
      </w:r>
      <w:r>
        <w:t xml:space="preserve">e </w:t>
      </w:r>
      <w:r w:rsidRPr="00400C32">
        <w:t>vahetumise tõttu 2014.</w:t>
      </w:r>
      <w:r>
        <w:t xml:space="preserve"> </w:t>
      </w:r>
      <w:r w:rsidRPr="00400C32">
        <w:t xml:space="preserve">aasta kevadel </w:t>
      </w:r>
      <w:r>
        <w:t xml:space="preserve">need </w:t>
      </w:r>
      <w:r w:rsidRPr="00400C32">
        <w:t>vali</w:t>
      </w:r>
      <w:r>
        <w:t xml:space="preserve">tsusse kinnitamiseks ei jõudnud. </w:t>
      </w:r>
    </w:p>
    <w:p w:rsidR="004F5682" w:rsidRPr="00FD7B94" w:rsidRDefault="004F5682" w:rsidP="00A96803">
      <w:pPr>
        <w:pStyle w:val="ListParagraph"/>
        <w:ind w:left="567"/>
      </w:pPr>
      <w:r w:rsidRPr="00FD7B94">
        <w:t>Riigi</w:t>
      </w:r>
      <w:r>
        <w:t xml:space="preserve">l laekub </w:t>
      </w:r>
      <w:r w:rsidRPr="00FD7B94">
        <w:t>varade rendileandmisest tulu 8,2 mln € aastas</w:t>
      </w:r>
      <w:r>
        <w:t xml:space="preserve"> (riigi kinnisvararegistri andmetel)</w:t>
      </w:r>
      <w:r w:rsidRPr="00FD7B94">
        <w:t xml:space="preserve">. Arvestades, et suur osa kasutusse andmise lepingutest on seotud maa korralise hindamise tulemusel määratud maa maksustamishinnaga oleks võimalik uue korralise hindamise läbiviimisel ja sellega kaasneva võimaliku maa väärtuse kasvuga riigi tulu märkimisväärselt kasvatada. </w:t>
      </w:r>
    </w:p>
    <w:p w:rsidR="004F5682" w:rsidRPr="004F296D" w:rsidRDefault="00787B46" w:rsidP="00787B46">
      <w:pPr>
        <w:pStyle w:val="Pealkiri4"/>
      </w:pPr>
      <w:bookmarkStart w:id="399" w:name="_Toc252199741"/>
      <w:r>
        <w:t>R</w:t>
      </w:r>
      <w:r w:rsidR="004F5682" w:rsidRPr="004F296D">
        <w:t>iigi tugitegevuste poliitika</w:t>
      </w:r>
      <w:bookmarkEnd w:id="399"/>
    </w:p>
    <w:p w:rsidR="00787B46" w:rsidRDefault="004F5682" w:rsidP="004F5682">
      <w:pPr>
        <w:autoSpaceDE w:val="0"/>
        <w:autoSpaceDN w:val="0"/>
      </w:pPr>
      <w:r w:rsidRPr="00787B46">
        <w:t xml:space="preserve">Kinnisvarakeskkonna juhtimine on üks organisatsiooni tugitegevustest, mille osas on varasemate otsustega võetud suund korraldada see tsentraliseeritult läbi RKAS-i. </w:t>
      </w:r>
    </w:p>
    <w:p w:rsidR="004F5682" w:rsidRPr="00787B46" w:rsidRDefault="004F5682" w:rsidP="004F5682">
      <w:pPr>
        <w:autoSpaceDE w:val="0"/>
        <w:autoSpaceDN w:val="0"/>
      </w:pPr>
      <w:r w:rsidRPr="00787B46">
        <w:t xml:space="preserve">Rahandusministeerium peab põhjendatuks kinnisvarakeskkonna juhtimise kui eraldi valdkonna (reguleeritud EL standardiga EN 15221 </w:t>
      </w:r>
      <w:r w:rsidRPr="00787B46">
        <w:rPr>
          <w:i/>
        </w:rPr>
        <w:t>Facility management</w:t>
      </w:r>
      <w:r w:rsidRPr="00787B46">
        <w:t xml:space="preserve">) eraldi toimimist, kuid kinnisvarakeskkonna juhtimise reorganiseerimist tuleb hoida sidusana teiste reorganiseeritavate tugiteenuste valdkondadega. </w:t>
      </w:r>
    </w:p>
    <w:p w:rsidR="004F5682" w:rsidRPr="00787B46" w:rsidRDefault="004F5682" w:rsidP="00FA7076">
      <w:pPr>
        <w:pStyle w:val="ListParagraph"/>
        <w:ind w:left="357"/>
      </w:pPr>
      <w:r w:rsidRPr="00787B46">
        <w:rPr>
          <w:u w:val="single"/>
        </w:rPr>
        <w:t>Finantsjuhtimine</w:t>
      </w:r>
      <w:r w:rsidRPr="00787B46">
        <w:t>. Finantsarvestusega ning läbi seoste eelarvestamise ja juhtimisarvestusega tagatakse kinnisvaraga seotud tegevuskulude senisest tõhusam juhtimine eelarveprotsessis. Ülevaate saamine</w:t>
      </w:r>
      <w:r w:rsidR="00F96800">
        <w:t xml:space="preserve"> </w:t>
      </w:r>
      <w:r w:rsidRPr="00787B46">
        <w:t xml:space="preserve">kinnisvara kasutuse ja kuluandmetest võimaldab jooksvalt analüüsida kinnisvarakeskkonna kasutusintensiivsust ja kulude põhjendatust ning hoida kulusid kontrolli all, see eeldab omakorda kuluarvestuse aluste ühtlustamist raamatupidamise, riigi eelarve ja riigi kinnisvararegistri vahel luues sama andmestruktuuri ja andmete kahesuunalise liikumise võimaluse.. </w:t>
      </w:r>
    </w:p>
    <w:p w:rsidR="004F5682" w:rsidRPr="00787B46" w:rsidRDefault="004F5682" w:rsidP="00FA7076">
      <w:pPr>
        <w:pStyle w:val="ListParagraph"/>
        <w:ind w:left="357"/>
      </w:pPr>
      <w:r w:rsidRPr="00787B46">
        <w:rPr>
          <w:u w:val="single"/>
        </w:rPr>
        <w:t>Personalihaldus</w:t>
      </w:r>
      <w:r w:rsidRPr="00787B46">
        <w:t>. Organisatsiooni põhitegevuse seisukohast vaadatuna on kinnisvarakeskkond eelkõige töökeskkond ja sellega seotud kulud üheks tegevuskuluks. Kaasaegsed innovatiivsed töökeskkonnad on järjest enam sõltuvad IT-lahendustest ja logistikast, kinnisvara osatähtsus väheneb järk-järgult. Töökeskkonna funktsionaalsuse muutmisega vähenevad kinnisvara pinnakasutuse kvantitatiivsed näitajad (võimalus töökohti jagada mitme töötaja vahel, mis võimaldab senise tavapärase suletud büroo pinnakasutuse näitaja 20-25 m² töötaja kohta viia alla 12-15 m²-ni töökoha kohta). Kui riik soovib olla atraktiivne tööandja uuele põlvkonnale, tuleb arvestada ka uue generatsiooni muutuvate ootustega töökeskkonnale võimaldades neile innovatiivseid töötingimusi, eelkõige kaugtöö võimalusi, mis eeldab suuremaid kulutusi IT-le, kuid väiksemaid kulusid transpordile ja logistikale. See eeldab ka kuluarvestuses ja hanketegevuses nende</w:t>
      </w:r>
      <w:r w:rsidR="00F96800">
        <w:t xml:space="preserve"> </w:t>
      </w:r>
      <w:r w:rsidRPr="00787B46">
        <w:t xml:space="preserve">muutuste arvestamist, vastavate teenuste ja toodete hankimise ning kuluarvestuse aluste ühtlustamist. </w:t>
      </w:r>
    </w:p>
    <w:p w:rsidR="004F5682" w:rsidRPr="003B7E1A" w:rsidRDefault="004F5682" w:rsidP="00FA7076">
      <w:pPr>
        <w:pStyle w:val="ListParagraph"/>
        <w:ind w:left="357"/>
      </w:pPr>
      <w:r w:rsidRPr="00787B46">
        <w:rPr>
          <w:u w:val="single"/>
        </w:rPr>
        <w:t>Hanked ja logistika</w:t>
      </w:r>
      <w:r w:rsidRPr="00787B46">
        <w:t xml:space="preserve">. Hanketegevuses tuleb analüüsida erinevate toodete hankimise alternatiivseid organisatsioonilisi võimalusi ja otstarbekas on maksimaalselt ära kasutada RKAS-i kogemust ehituse ja hooldusteenuste hangete korraldamisel. Muu hulgas tuleb tulevikus kaaluda kinnisvara haldamisteenuste tsentraliseerimisega teiste töökeskkonda toetavate hangete (bürooteenused, IT) ühendamisvõimaluste analüüsi kinnisvara haldamisteenust pakkuva </w:t>
      </w:r>
      <w:r w:rsidRPr="003B7E1A">
        <w:t>organisatsiooni kaudu.</w:t>
      </w:r>
    </w:p>
    <w:p w:rsidR="004F5682" w:rsidRPr="003B7E1A" w:rsidRDefault="004F5682" w:rsidP="004F5682">
      <w:pPr>
        <w:autoSpaceDE w:val="0"/>
        <w:autoSpaceDN w:val="0"/>
      </w:pPr>
      <w:r w:rsidRPr="003B7E1A">
        <w:t>Riigi tugite</w:t>
      </w:r>
      <w:r w:rsidR="008764CA" w:rsidRPr="003B7E1A">
        <w:t>gevuste poliitika näeb ette tugi</w:t>
      </w:r>
      <w:r w:rsidRPr="003B7E1A">
        <w:t xml:space="preserve">tegevuste koondamise Riigi Tugiteenuste Keskusesse (RTK). Pikemas perspektiivis võiks </w:t>
      </w:r>
      <w:r w:rsidR="00A96803" w:rsidRPr="003B7E1A">
        <w:t xml:space="preserve">ühe alternatiivina </w:t>
      </w:r>
      <w:r w:rsidRPr="003B7E1A">
        <w:t>kaaluda ka riigi kinnisvarakeskkonna juhtimise teenuste koondamist RTK-sse</w:t>
      </w:r>
      <w:r w:rsidR="00A96803" w:rsidRPr="003B7E1A">
        <w:t xml:space="preserve"> jättes RKAS-</w:t>
      </w:r>
      <w:r w:rsidR="001C34FE">
        <w:t>i</w:t>
      </w:r>
      <w:r w:rsidR="00A96803" w:rsidRPr="003B7E1A">
        <w:t xml:space="preserve">le vaid riigi kui kinnisvara omaniku rolli. </w:t>
      </w:r>
    </w:p>
    <w:p w:rsidR="004F5682" w:rsidRPr="003B7E1A" w:rsidRDefault="00787B46" w:rsidP="004F5682">
      <w:pPr>
        <w:pStyle w:val="Pealkiri3"/>
      </w:pPr>
      <w:bookmarkStart w:id="400" w:name="_Toc433980744"/>
      <w:r w:rsidRPr="003B7E1A">
        <w:t>Seosed riigi</w:t>
      </w:r>
      <w:r w:rsidR="004F5682" w:rsidRPr="003B7E1A">
        <w:t>haldus</w:t>
      </w:r>
      <w:r w:rsidR="001C34FE">
        <w:t>-</w:t>
      </w:r>
      <w:r w:rsidR="004F5682" w:rsidRPr="003B7E1A">
        <w:t xml:space="preserve"> ja regionaalpoliitikaga</w:t>
      </w:r>
      <w:r w:rsidR="00A96803" w:rsidRPr="003B7E1A">
        <w:t xml:space="preserve"> (riigireformiga)</w:t>
      </w:r>
      <w:bookmarkEnd w:id="400"/>
    </w:p>
    <w:p w:rsidR="004F5682" w:rsidRPr="003B7E1A" w:rsidRDefault="004F5682" w:rsidP="004F5682">
      <w:r w:rsidRPr="003B7E1A">
        <w:t>Siseministeerium on teostamas riigi kohahaldusorganite kaardistamist ja on järeldanud, et maakonnakeskustes oleks oluliselt võimalik riigi kulusid seoses ühtse kinnisvarakasutuse korraldusega kokku hoida parandades samal ajal kodanikele suunatud teenuste kvaliteeti. Riigimaja projekti raames on alustatud koostööd Siseministeeriumis moodustatud riigiasutuste andmebaasi, Rahandusministeeriumi haldamisel oleva riigi- ja kohaliku omavalitsuste asutuste registri</w:t>
      </w:r>
      <w:r w:rsidR="00F96800">
        <w:t xml:space="preserve"> </w:t>
      </w:r>
      <w:r w:rsidRPr="003B7E1A">
        <w:t xml:space="preserve">ja riigi kinnisvara inventuuri käigus koondatud andmebaasi ühendamiseks. Eesmärgiks on luua ühtne infosüsteem, mis ühendaks riigi omandis ja kasutuses oleva kinnisvara ning riigiteenistujate andmed. Perspektiivis tekiks ühtne jooksvalt aktualiseeritav andmebaas, mis oleks aluseks personali töökeskkonna planeerimisel, selle sidumisel loodava riigi kinnisvararegistriga tekiks ülevaade riigi kasutatavast kinnisvara hulgast, kinnisvara regionaalsest paiknemisest, kulude ülevaade jne. </w:t>
      </w:r>
    </w:p>
    <w:p w:rsidR="004F5682" w:rsidRPr="003B7E1A" w:rsidRDefault="004F5682" w:rsidP="004F5682">
      <w:pPr>
        <w:autoSpaceDE w:val="0"/>
        <w:autoSpaceDN w:val="0"/>
        <w:rPr>
          <w:sz w:val="24"/>
          <w:szCs w:val="24"/>
        </w:rPr>
      </w:pPr>
      <w:r w:rsidRPr="003B7E1A">
        <w:rPr>
          <w:u w:val="single"/>
        </w:rPr>
        <w:t>Riigiasutuste paiknemisel puudub täna ühtne regionaalne lähenemine,</w:t>
      </w:r>
      <w:r w:rsidRPr="003B7E1A">
        <w:t xml:space="preserve"> kuid riigi tööjõuressursside ja kinnisvarakasutuse seisukohast oleks see vajalik. Riigi regionaalarengu </w:t>
      </w:r>
      <w:r w:rsidRPr="003B7E1A">
        <w:rPr>
          <w:rFonts w:ascii="Times-Roman" w:hAnsi="Times-Roman" w:cs="Times-Roman"/>
        </w:rPr>
        <w:t xml:space="preserve">strateegia </w:t>
      </w:r>
      <w:r w:rsidRPr="003B7E1A">
        <w:t xml:space="preserve">ei käsitle piisava põhjalikkusega riigi administratiivsete tõmbekeskuste paiknemist, mis oleks omakorda oluliseks sisendiks haldusreformile. </w:t>
      </w:r>
      <w:r w:rsidRPr="003B7E1A">
        <w:rPr>
          <w:rFonts w:ascii="Times-Roman" w:hAnsi="Times-Roman" w:cs="Times-Roman"/>
          <w:sz w:val="24"/>
          <w:szCs w:val="24"/>
        </w:rPr>
        <w:t xml:space="preserve">Riigimajade rajamine ja regionaalsete kohahaldusüksuste loomine peaks toimuma koordineeritult ja see oleks otstarbekas alles peale regionaalsete haldusotsuste tegemist. </w:t>
      </w:r>
    </w:p>
    <w:p w:rsidR="004F5682" w:rsidRDefault="004F5682" w:rsidP="003B7E1A">
      <w:pPr>
        <w:autoSpaceDE w:val="0"/>
        <w:autoSpaceDN w:val="0"/>
      </w:pPr>
      <w:r w:rsidRPr="003B7E1A">
        <w:t>Riigi regionaalstrateegiat toetaks pikas perspektiivis ka innovatiivsete töökohtade loomine, mis võimaldaks vähendada administratiivsete töökohtade koondumist suurlinnadesse ja hajutada töökohtade paiknemist üleriigiliselt. Riigimaja projekti rakendusvõimalust</w:t>
      </w:r>
      <w:r w:rsidR="008764CA" w:rsidRPr="003B7E1A">
        <w:t>e analüüsiks viidi Lääne maavalitu</w:t>
      </w:r>
      <w:r w:rsidRPr="003B7E1A">
        <w:t>se juhtimisel 2011. aastal koostöös RKAS-</w:t>
      </w:r>
      <w:r w:rsidR="008764CA" w:rsidRPr="003B7E1A">
        <w:t>i</w:t>
      </w:r>
      <w:r w:rsidRPr="003B7E1A">
        <w:t xml:space="preserve">ga läbi pilootprojekt Lääne maakonna näitel. Läänemaa riigiasutustest oli riigimaja projektiga liitumisest huvitatud 25 riigiasutust. </w:t>
      </w:r>
      <w:r w:rsidRPr="003B7E1A">
        <w:rPr>
          <w:b/>
        </w:rPr>
        <w:t xml:space="preserve">Riigimajja kolimisel väheneks analüüsitud asutuste pinnakasutus optimeerimise tulemusel 1/3 võrra - </w:t>
      </w:r>
      <w:r w:rsidRPr="003B7E1A">
        <w:t xml:space="preserve">senise 3800 m² asemel on võimalik kasutada 2500 m² pinda. </w:t>
      </w:r>
      <w:r w:rsidRPr="003B7E1A">
        <w:rPr>
          <w:b/>
        </w:rPr>
        <w:t>Kokkuhoiu tulemusena vähenevad kinnisvara kulud 10%</w:t>
      </w:r>
      <w:r w:rsidRPr="003B7E1A">
        <w:t xml:space="preserve"> (investeeringuvajadusi perioodikuludeks mitte ümber arvestades kasvavad kulud 10%). Lisandub täiendav kasu töökeskkonna kvaliteedi tõusust ja kodanike teenindamise kvaliteedi tõusust, samuti on võimalik protsesside optimeerimisega vähendada personalikulusid ja IT kulusid, mida tuleb analüüsida koos kinnisvarakuludega, kuna innovaatiliste töökohtade ja kaugtöö võimaluste loomine hõlmavad nii kinnisvara kui infotehnoloogiat, võimaldades töökohtade viimisega pealinna piirkonnast välja toetada regionaalarengut ning vähendada riigisektori „rohelist jalajälge“.</w:t>
      </w:r>
      <w:r>
        <w:t xml:space="preserve"> </w:t>
      </w:r>
    </w:p>
    <w:p w:rsidR="008C674F" w:rsidRDefault="00B71C82" w:rsidP="003A6D67">
      <w:r>
        <w:rPr>
          <w:b/>
          <w:bCs/>
        </w:rPr>
        <w:t>Rahandusministeeriumi ettepanek on töötada välja riigi kinnisvarakeskkonna strateegia, mis oleks seostatud teiste riigihalduse valdkondadega (tugitegevuste poliitika, personalipoliitika, regionaalhaldus) ja hõlmaks kogu avaliku sektori kinnisvara.</w:t>
      </w:r>
    </w:p>
    <w:p w:rsidR="00B35D2F" w:rsidRDefault="00B35D2F" w:rsidP="00AE7478">
      <w:pPr>
        <w:pStyle w:val="Pealkiri1"/>
      </w:pPr>
      <w:bookmarkStart w:id="401" w:name="_Toc421202240"/>
      <w:bookmarkStart w:id="402" w:name="_Toc433980745"/>
      <w:r w:rsidRPr="00AE7478">
        <w:t>RAHASTAMINE</w:t>
      </w:r>
      <w:bookmarkEnd w:id="401"/>
      <w:bookmarkEnd w:id="402"/>
      <w:r>
        <w:t xml:space="preserve"> </w:t>
      </w:r>
    </w:p>
    <w:p w:rsidR="00B35D2F" w:rsidRDefault="00B35D2F" w:rsidP="00161C57">
      <w:pPr>
        <w:pStyle w:val="Pealkiri2"/>
      </w:pPr>
      <w:bookmarkStart w:id="403" w:name="_Toc421202241"/>
      <w:bookmarkStart w:id="404" w:name="_Toc433980746"/>
      <w:r>
        <w:t xml:space="preserve">Ülevaade riigi </w:t>
      </w:r>
      <w:r w:rsidRPr="00161C57">
        <w:t>kinnisvarakuludest</w:t>
      </w:r>
      <w:bookmarkEnd w:id="403"/>
      <w:bookmarkEnd w:id="404"/>
      <w:r w:rsidR="00F96800">
        <w:t xml:space="preserve"> </w:t>
      </w:r>
    </w:p>
    <w:p w:rsidR="00B35D2F" w:rsidRDefault="00B35D2F" w:rsidP="00161C57">
      <w:pPr>
        <w:pStyle w:val="Pealkiri3"/>
      </w:pPr>
      <w:bookmarkStart w:id="405" w:name="_Toc421202242"/>
      <w:bookmarkStart w:id="406" w:name="_Toc433980747"/>
      <w:r w:rsidRPr="00F8025F">
        <w:t xml:space="preserve">Kulude kajastamine eelarves ja </w:t>
      </w:r>
      <w:r w:rsidRPr="00161C57">
        <w:t>raamatupidamises</w:t>
      </w:r>
      <w:bookmarkEnd w:id="405"/>
      <w:bookmarkEnd w:id="406"/>
    </w:p>
    <w:p w:rsidR="00B35D2F" w:rsidRDefault="00B35D2F" w:rsidP="00B35D2F">
      <w:r>
        <w:t xml:space="preserve">Riigi hoonete kinnisvarakulud kajastuvad riigi raamatupidamises ja eelarves kahes lõikes: majandamiskulud ja investeeringukulud. Kinnisvaraga seotud kuludeks </w:t>
      </w:r>
      <w:r w:rsidR="00FA5894">
        <w:t xml:space="preserve">on ka </w:t>
      </w:r>
      <w:r>
        <w:t xml:space="preserve">kinnisvara korrashoiuga tegeleva tugipersonali kulud, mida alljärgnevalt ei ole käsitletud. </w:t>
      </w:r>
    </w:p>
    <w:p w:rsidR="00B35D2F" w:rsidRDefault="00B35D2F" w:rsidP="00B35D2F">
      <w:r w:rsidRPr="00AF4522">
        <w:rPr>
          <w:u w:val="single"/>
        </w:rPr>
        <w:t>Majandamiskulud ehk konto 5511 kulud</w:t>
      </w:r>
      <w:r w:rsidRPr="005B71EA">
        <w:rPr>
          <w:u w:val="single"/>
        </w:rPr>
        <w:t xml:space="preserve"> </w:t>
      </w:r>
      <w:r w:rsidRPr="005B71EA">
        <w:t>sisaldavad</w:t>
      </w:r>
      <w:r>
        <w:t xml:space="preserve"> endas kinnistute, hoonete ja ruumide </w:t>
      </w:r>
      <w:r w:rsidR="00130B96">
        <w:t xml:space="preserve">(edaspidi – kinnisvara) </w:t>
      </w:r>
      <w:r>
        <w:t xml:space="preserve">majandamiskulusid: </w:t>
      </w:r>
    </w:p>
    <w:p w:rsidR="00B35D2F" w:rsidRDefault="00B35D2F" w:rsidP="00FA5894">
      <w:pPr>
        <w:pStyle w:val="Loend1"/>
      </w:pPr>
      <w:r>
        <w:t>Üüri- ja rendimaksete kulusid üürilepingu alusel kasutatavatelt hoonetel,</w:t>
      </w:r>
    </w:p>
    <w:p w:rsidR="00B35D2F" w:rsidRDefault="00B35D2F" w:rsidP="00FA5894">
      <w:pPr>
        <w:pStyle w:val="Loend1"/>
      </w:pPr>
      <w:r>
        <w:t>Teenuste kulusid (küte, elekter, valve, kindlustus, heakorrateenused jms) nii omandis olevatel kui üürilepingu alusel kasutatavatel hoonetel,</w:t>
      </w:r>
    </w:p>
    <w:p w:rsidR="00B35D2F" w:rsidRDefault="00B35D2F" w:rsidP="00FA5894">
      <w:pPr>
        <w:pStyle w:val="Loend1"/>
      </w:pPr>
      <w:r>
        <w:t xml:space="preserve">Remondikulusid, mis üürilepingu alusel kasutatavatel objektidel sisalduvad enamasti üüris, omandis olevatel objektidel on need marginaalsed. </w:t>
      </w:r>
    </w:p>
    <w:p w:rsidR="00B35D2F" w:rsidRDefault="00B35D2F" w:rsidP="00B35D2F">
      <w:r w:rsidRPr="00694B47">
        <w:rPr>
          <w:u w:val="single"/>
        </w:rPr>
        <w:t>Investeeringukulud ehk konto 15 kulud</w:t>
      </w:r>
      <w:r>
        <w:t xml:space="preserve"> </w:t>
      </w:r>
      <w:r w:rsidRPr="00264290">
        <w:t xml:space="preserve">sisaldavad uute investeeringute ja rekonstrueerimise kulusid, mis tõstavad hoone soetusmaksumust. </w:t>
      </w:r>
      <w:r>
        <w:t xml:space="preserve">Lisaks on kinnisvaraga seotud kuludeks kapitalirendimaksed, mille põhiosa kajastatakse investeeringuna ja kohustusena ning intress kuluna. </w:t>
      </w:r>
    </w:p>
    <w:p w:rsidR="00B35D2F" w:rsidRDefault="00B35D2F" w:rsidP="00B35D2F">
      <w:r>
        <w:t>RKAS-i omandis ja riigile üürile antud varadesse tehtud investeeringud ei kajastu riigiasutuste raamatupidamises investeeringuna, vaid majandamiskuludena, kuna investeeringu teeb RKAS oma tuludest (või kaasatud laenudest) ning tehtud investeeringuga kaasneb üürimakse tõus.</w:t>
      </w:r>
    </w:p>
    <w:p w:rsidR="00B35D2F" w:rsidRDefault="00B35D2F" w:rsidP="00B35D2F">
      <w:r w:rsidRPr="003F3E47">
        <w:t>Kui riik hakkab ruume kasutama kasutusrendilepingu alusel, siis kajastub</w:t>
      </w:r>
      <w:r w:rsidR="00FA5894">
        <w:t xml:space="preserve"> investeering RKAS-i bilansis. </w:t>
      </w:r>
      <w:r w:rsidRPr="003F3E47">
        <w:t>Kui riik hakkab ruume kasutama kapitalirendi lepingu alusel, siis kajastub investeering</w:t>
      </w:r>
      <w:r>
        <w:t xml:space="preserve"> (sõltumata</w:t>
      </w:r>
      <w:r w:rsidRPr="003F3E47">
        <w:t>, kas selle tegi RKAS või erasektor) hoone valmimise hetkest riigi bilansis nin</w:t>
      </w:r>
      <w:r w:rsidR="00FA5894">
        <w:t xml:space="preserve">g </w:t>
      </w:r>
      <w:r w:rsidRPr="003F3E47">
        <w:t>kapitalirendilepingu alusel tasutav kapitalikomponen</w:t>
      </w:r>
      <w:r w:rsidR="00FA5894">
        <w:t>di põhiosa (kajastatakse kontol</w:t>
      </w:r>
      <w:r w:rsidRPr="003F3E47">
        <w:t xml:space="preserve"> 206</w:t>
      </w:r>
      <w:r>
        <w:t xml:space="preserve"> finantstehinguna</w:t>
      </w:r>
      <w:r w:rsidRPr="003F3E47">
        <w:t>) vähendab bilansis oleva vara väärtust.</w:t>
      </w:r>
    </w:p>
    <w:p w:rsidR="00B35D2F" w:rsidRDefault="00B35D2F" w:rsidP="00161C57">
      <w:pPr>
        <w:pStyle w:val="Pealkiri3"/>
      </w:pPr>
      <w:bookmarkStart w:id="407" w:name="_Toc421202243"/>
      <w:bookmarkStart w:id="408" w:name="_Toc433980748"/>
      <w:r w:rsidRPr="00161C57">
        <w:t>Majandamiskulud</w:t>
      </w:r>
      <w:r>
        <w:t>, sh üürimaksed</w:t>
      </w:r>
      <w:bookmarkEnd w:id="407"/>
      <w:bookmarkEnd w:id="408"/>
    </w:p>
    <w:p w:rsidR="00B35D2F" w:rsidRDefault="00B35D2F" w:rsidP="00B35D2F">
      <w:r>
        <w:t>Kogu v</w:t>
      </w:r>
      <w:r w:rsidRPr="005576D2">
        <w:t xml:space="preserve">alitsussektori kinnisvara majandamiskulud </w:t>
      </w:r>
      <w:r>
        <w:t xml:space="preserve">(ilma kapitalirendi põhiosa maksete ja intressideta) </w:t>
      </w:r>
      <w:r w:rsidRPr="005576D2">
        <w:t xml:space="preserve">olid 2014. aastal </w:t>
      </w:r>
      <w:r w:rsidRPr="005576D2">
        <w:rPr>
          <w:b/>
        </w:rPr>
        <w:t>467,6 mln € aastas</w:t>
      </w:r>
      <w:r w:rsidRPr="005576D2">
        <w:t xml:space="preserve"> (kõik summad koos</w:t>
      </w:r>
      <w:r>
        <w:t xml:space="preserve"> käibemaksuga), millest keskvalitsuse </w:t>
      </w:r>
      <w:r w:rsidRPr="00CB3DA4">
        <w:rPr>
          <w:u w:val="single"/>
        </w:rPr>
        <w:t>riigieelarveliste asutuse kulud olid 114,2 mln (24%),</w:t>
      </w:r>
      <w:r>
        <w:t xml:space="preserve"> ülejäänud valitsussektorisse kuuluva keskvalitsuse (riigi avalik- ja eraõiguslikud juriidilised isikud) kulud 161,5 mln (35%), kohalike omavalitsuste (sh kohalike omavalitsuste valitseva mõju all olevad eraõiguslikud juriidilised isikud) 189 mln (41%) ja ülejäänud valitsussektori kulud (sh sotsiaalkindlustusfondid) 2,5 mln (1%). </w:t>
      </w:r>
    </w:p>
    <w:p w:rsidR="00687D86" w:rsidRDefault="00FA5894" w:rsidP="00F77192">
      <w:pPr>
        <w:pStyle w:val="Caption"/>
        <w:spacing w:before="120"/>
        <w:jc w:val="both"/>
      </w:pPr>
      <w:r>
        <w:t xml:space="preserve">Joonis </w:t>
      </w:r>
      <w:fldSimple w:instr=" SEQ Joonis \* ARABIC ">
        <w:r w:rsidR="00477322">
          <w:rPr>
            <w:noProof/>
          </w:rPr>
          <w:t>25</w:t>
        </w:r>
      </w:fldSimple>
      <w:r>
        <w:t xml:space="preserve">. </w:t>
      </w:r>
      <w:r w:rsidRPr="0009042F">
        <w:t xml:space="preserve">Valitsussektori kinnisvara </w:t>
      </w:r>
      <w:r w:rsidR="00687D86" w:rsidRPr="0009042F">
        <w:t xml:space="preserve">majandamiskulud </w:t>
      </w:r>
      <w:r w:rsidR="00687D86">
        <w:t>aastate lõikes</w:t>
      </w:r>
    </w:p>
    <w:p w:rsidR="00B35D2F" w:rsidRDefault="00B35D2F" w:rsidP="00F77192">
      <w:pPr>
        <w:keepNext/>
        <w:spacing w:before="0" w:after="120"/>
      </w:pPr>
      <w:r>
        <w:rPr>
          <w:noProof/>
          <w:lang w:eastAsia="et-EE"/>
        </w:rPr>
        <w:drawing>
          <wp:inline distT="0" distB="0" distL="0" distR="0">
            <wp:extent cx="5735707" cy="4001025"/>
            <wp:effectExtent l="19050" t="0" r="17393"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5D2F" w:rsidRDefault="00B35D2F" w:rsidP="00B35D2F">
      <w:r>
        <w:t>Hoonete majandamiskulud valitsussektoris kokku tõusid 2014. aastal võrreldes eelmise aastaga 7,0%. Enim on tõusnud riigieelarveliste asutuste kinnisvarakulud (17,3%), kasv on seotud põhiliselt Riigi Kinnisvara AS-</w:t>
      </w:r>
      <w:r w:rsidR="00FA5894">
        <w:t>i</w:t>
      </w:r>
      <w:r>
        <w:t>ga sõlmitud lepingute hindade kasvuga (üleminekuperioodi lõpp</w:t>
      </w:r>
      <w:r w:rsidR="00FA5894">
        <w:t xml:space="preserve">emine ja uued investeeringud). </w:t>
      </w:r>
      <w:r>
        <w:t>Muu keskvalitsuse kinnisvara majandamiskulud on samuti jõudsalt kasvanud (9,9%), kuid kasv on siiski väiksem kui kahel varasemal aastal. Suur osa kasvust on tõenäoliselt seletatav viimastel aastatel toimunud kinnisvara ja tegevuste üleandmistega riigieelarveliste</w:t>
      </w:r>
      <w:r w:rsidR="00FA5894">
        <w:t>lt asutustelt sihtasutustele.</w:t>
      </w:r>
    </w:p>
    <w:p w:rsidR="00796223" w:rsidRDefault="00796223" w:rsidP="00B35D2F">
      <w:r>
        <w:t xml:space="preserve">Joonisel </w:t>
      </w:r>
      <w:r w:rsidR="00F77192">
        <w:t>(</w:t>
      </w:r>
      <w:r w:rsidR="00A85FDC">
        <w:fldChar w:fldCharType="begin"/>
      </w:r>
      <w:r w:rsidR="00F77192">
        <w:instrText xml:space="preserve"> REF _Ref427231350 \h </w:instrText>
      </w:r>
      <w:r w:rsidR="00A85FDC">
        <w:fldChar w:fldCharType="separate"/>
      </w:r>
      <w:r w:rsidR="00477322">
        <w:t xml:space="preserve">Joonis </w:t>
      </w:r>
      <w:r w:rsidR="00477322">
        <w:rPr>
          <w:noProof/>
        </w:rPr>
        <w:t>26</w:t>
      </w:r>
      <w:r w:rsidR="00A85FDC">
        <w:fldChar w:fldCharType="end"/>
      </w:r>
      <w:r w:rsidR="00F77192">
        <w:t>)</w:t>
      </w:r>
      <w:r>
        <w:t xml:space="preserve"> on vaadeldud riigieelarveliste asutuste kinnisvarakulusid partnerite kaupa, lisatud on RKAS-</w:t>
      </w:r>
      <w:r w:rsidR="00F77192">
        <w:t>i</w:t>
      </w:r>
      <w:r>
        <w:t xml:space="preserve">le makstud kapitalirendi intressid, puuduvad kapitalirendi põhiosa maksed. </w:t>
      </w:r>
    </w:p>
    <w:p w:rsidR="00796223" w:rsidRDefault="00796223" w:rsidP="00F77192">
      <w:pPr>
        <w:pStyle w:val="Caption"/>
        <w:spacing w:before="120"/>
        <w:jc w:val="both"/>
      </w:pPr>
      <w:bookmarkStart w:id="409" w:name="_Ref427231350"/>
      <w:r>
        <w:t xml:space="preserve">Joonis </w:t>
      </w:r>
      <w:fldSimple w:instr=" SEQ Joonis \* ARABIC ">
        <w:r w:rsidR="00477322">
          <w:rPr>
            <w:noProof/>
          </w:rPr>
          <w:t>26</w:t>
        </w:r>
      </w:fldSimple>
      <w:bookmarkEnd w:id="409"/>
      <w:r>
        <w:t xml:space="preserve">. Riigieelarveliste asutuste </w:t>
      </w:r>
      <w:r w:rsidRPr="0009042F">
        <w:t xml:space="preserve">kinnisvara majandamiskulud </w:t>
      </w:r>
      <w:r>
        <w:t>aastate ja partnerite lõikes</w:t>
      </w:r>
    </w:p>
    <w:p w:rsidR="00796223" w:rsidRDefault="00B5130B" w:rsidP="00F77192">
      <w:pPr>
        <w:spacing w:before="0" w:after="120"/>
      </w:pPr>
      <w:r>
        <w:rPr>
          <w:noProof/>
          <w:lang w:eastAsia="et-EE"/>
        </w:rPr>
        <w:drawing>
          <wp:inline distT="0" distB="0" distL="0" distR="0">
            <wp:extent cx="5738440" cy="3806687"/>
            <wp:effectExtent l="19050" t="0" r="14660" b="3313"/>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E54C1" w:rsidRPr="007E54C1" w:rsidRDefault="007E54C1" w:rsidP="007E54C1">
      <w:r w:rsidRPr="007E54C1">
        <w:t>Riigieelarveliste asutuste majandamiskulud näitavad üldiselt langustendentsi, RKAS-i üürilepingutega seotud kulud tõusevad: 2013. aastal tõusid RKAS-ile makstud üür ja</w:t>
      </w:r>
      <w:r w:rsidR="00F96800">
        <w:t xml:space="preserve"> </w:t>
      </w:r>
      <w:r w:rsidRPr="007E54C1">
        <w:t>majandamiskulud eelmise aastaga võrreldes 18%, 2014. aastal 59%.</w:t>
      </w:r>
      <w:r w:rsidR="00F96800">
        <w:t xml:space="preserve"> </w:t>
      </w:r>
      <w:r w:rsidRPr="007E54C1">
        <w:t>Prognooside alusel tõusevad 2015. aastal RKAS-i rendimakse</w:t>
      </w:r>
      <w:r>
        <w:t>te kulud 22%, 2016. aastal 9%. Tõusu põhjusteks on</w:t>
      </w:r>
      <w:r w:rsidRPr="007E54C1">
        <w:t>:</w:t>
      </w:r>
    </w:p>
    <w:p w:rsidR="007E54C1" w:rsidRPr="007E54C1" w:rsidRDefault="007E54C1" w:rsidP="007E54C1">
      <w:pPr>
        <w:pStyle w:val="Loend1"/>
      </w:pPr>
      <w:r w:rsidRPr="007E54C1">
        <w:t>lepingute lisandumine tulenevalt varade üleandmises</w:t>
      </w:r>
      <w:r>
        <w:t>t (kulud liiguvad RKAS-i reale);</w:t>
      </w:r>
    </w:p>
    <w:p w:rsidR="007E54C1" w:rsidRPr="007E54C1" w:rsidRDefault="007E54C1" w:rsidP="007E54C1">
      <w:pPr>
        <w:pStyle w:val="Loend1"/>
      </w:pPr>
      <w:r>
        <w:t>uute investeeringute mõju;</w:t>
      </w:r>
    </w:p>
    <w:p w:rsidR="007E54C1" w:rsidRPr="007E54C1" w:rsidRDefault="007E54C1" w:rsidP="007E54C1">
      <w:pPr>
        <w:pStyle w:val="Loend1"/>
      </w:pPr>
      <w:r>
        <w:t>üleminekuperioodi lõppemise mõju;</w:t>
      </w:r>
    </w:p>
    <w:p w:rsidR="007E54C1" w:rsidRPr="007E54C1" w:rsidRDefault="007E54C1" w:rsidP="007E54C1">
      <w:pPr>
        <w:pStyle w:val="Loend1"/>
      </w:pPr>
      <w:r>
        <w:t>t</w:t>
      </w:r>
      <w:r w:rsidRPr="007E54C1">
        <w:t>eenuste hinnatõusu mõju.</w:t>
      </w:r>
    </w:p>
    <w:p w:rsidR="00B35D2F" w:rsidRDefault="00B35D2F" w:rsidP="00B35D2F">
      <w:r>
        <w:t>Vt järgnev joonis (</w:t>
      </w:r>
      <w:r w:rsidR="00A85FDC">
        <w:fldChar w:fldCharType="begin"/>
      </w:r>
      <w:r w:rsidR="00FA5894">
        <w:instrText xml:space="preserve"> REF _Ref424055631 \h </w:instrText>
      </w:r>
      <w:r w:rsidR="00A85FDC">
        <w:fldChar w:fldCharType="separate"/>
      </w:r>
      <w:r w:rsidR="00477322">
        <w:t xml:space="preserve">Joonis </w:t>
      </w:r>
      <w:r w:rsidR="00477322">
        <w:rPr>
          <w:noProof/>
        </w:rPr>
        <w:t>27</w:t>
      </w:r>
      <w:r w:rsidR="00A85FDC">
        <w:fldChar w:fldCharType="end"/>
      </w:r>
      <w:r w:rsidR="00FA5894">
        <w:t xml:space="preserve">, </w:t>
      </w:r>
      <w:r>
        <w:t>lisatud ka RKAS-</w:t>
      </w:r>
      <w:r w:rsidR="00FA5894">
        <w:t>i</w:t>
      </w:r>
      <w:r>
        <w:t>le makstavad kapitalirendilepingute intressid).</w:t>
      </w:r>
    </w:p>
    <w:p w:rsidR="00FA5894" w:rsidRDefault="00FA5894" w:rsidP="00F77192">
      <w:pPr>
        <w:pStyle w:val="Caption"/>
      </w:pPr>
      <w:bookmarkStart w:id="410" w:name="_Ref424055631"/>
      <w:r>
        <w:t xml:space="preserve">Joonis </w:t>
      </w:r>
      <w:fldSimple w:instr=" SEQ Joonis \* ARABIC ">
        <w:r w:rsidR="00477322">
          <w:rPr>
            <w:noProof/>
          </w:rPr>
          <w:t>27</w:t>
        </w:r>
      </w:fldSimple>
      <w:bookmarkEnd w:id="410"/>
      <w:r>
        <w:t xml:space="preserve">. </w:t>
      </w:r>
      <w:r w:rsidR="005C436C">
        <w:t>R</w:t>
      </w:r>
      <w:r>
        <w:t xml:space="preserve">iigieelarveliste asutuste </w:t>
      </w:r>
      <w:r w:rsidR="005C436C">
        <w:t xml:space="preserve">kinnisvara </w:t>
      </w:r>
      <w:r w:rsidR="00687D86">
        <w:t>majandamiskulud 2010-2014</w:t>
      </w:r>
    </w:p>
    <w:p w:rsidR="00B35D2F" w:rsidRDefault="00B35D2F" w:rsidP="00F77192">
      <w:pPr>
        <w:spacing w:before="120" w:after="120"/>
        <w:jc w:val="left"/>
      </w:pPr>
      <w:r>
        <w:rPr>
          <w:noProof/>
          <w:lang w:eastAsia="et-EE"/>
        </w:rPr>
        <w:drawing>
          <wp:inline distT="0" distB="0" distL="0" distR="0">
            <wp:extent cx="4756727" cy="2445795"/>
            <wp:effectExtent l="19050" t="0" r="24823"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35D2F" w:rsidRDefault="00B35D2F" w:rsidP="00B35D2F"/>
    <w:p w:rsidR="005C436C" w:rsidRPr="00C54EFE" w:rsidRDefault="00A6306C" w:rsidP="005C436C">
      <w:pPr>
        <w:rPr>
          <w:sz w:val="23"/>
          <w:szCs w:val="23"/>
        </w:rPr>
      </w:pPr>
      <w:r>
        <w:t>2014. aastal oli RKAS-</w:t>
      </w:r>
      <w:r w:rsidR="00F77192">
        <w:t>i</w:t>
      </w:r>
      <w:r>
        <w:t>le makstav</w:t>
      </w:r>
      <w:r w:rsidR="005C436C">
        <w:t>ad</w:t>
      </w:r>
      <w:r>
        <w:t xml:space="preserve"> üür ja majandamiskulud </w:t>
      </w:r>
      <w:r w:rsidR="005C436C" w:rsidRPr="00B70B75">
        <w:rPr>
          <w:b/>
          <w:sz w:val="23"/>
          <w:szCs w:val="23"/>
        </w:rPr>
        <w:t>6</w:t>
      </w:r>
      <w:r w:rsidR="005C436C">
        <w:rPr>
          <w:b/>
          <w:sz w:val="23"/>
          <w:szCs w:val="23"/>
        </w:rPr>
        <w:t xml:space="preserve">2,6 </w:t>
      </w:r>
      <w:r w:rsidR="005C436C" w:rsidRPr="00B70B75">
        <w:rPr>
          <w:b/>
          <w:sz w:val="23"/>
          <w:szCs w:val="23"/>
        </w:rPr>
        <w:t>mln eurot</w:t>
      </w:r>
      <w:r w:rsidR="005C436C">
        <w:rPr>
          <w:b/>
          <w:sz w:val="23"/>
          <w:szCs w:val="23"/>
        </w:rPr>
        <w:t xml:space="preserve">, </w:t>
      </w:r>
      <w:r w:rsidR="005C436C" w:rsidRPr="00C54EFE">
        <w:rPr>
          <w:sz w:val="23"/>
          <w:szCs w:val="23"/>
        </w:rPr>
        <w:t xml:space="preserve">lisaks kapitalirendi intress </w:t>
      </w:r>
      <w:r w:rsidR="005C436C" w:rsidRPr="005C436C">
        <w:rPr>
          <w:b/>
          <w:sz w:val="23"/>
          <w:szCs w:val="23"/>
        </w:rPr>
        <w:t>4,2 mln eurot</w:t>
      </w:r>
      <w:r w:rsidR="005C436C" w:rsidRPr="00C54EFE">
        <w:rPr>
          <w:sz w:val="23"/>
          <w:szCs w:val="23"/>
        </w:rPr>
        <w:t>.</w:t>
      </w:r>
    </w:p>
    <w:p w:rsidR="00B35D2F" w:rsidRDefault="00B35D2F" w:rsidP="00B35D2F">
      <w:r w:rsidRPr="00361CB7">
        <w:t xml:space="preserve">RKAS-i rendimaksete kasv keskmises tempos üle 10% aastas jätkub ka eeloleval RES perioodil. Ainuüksi kehtivate lepingute prognoositud kasv 2016. </w:t>
      </w:r>
      <w:r w:rsidR="00D12926">
        <w:t>aastal on 9%, 2017. aastal 19</w:t>
      </w:r>
      <w:r w:rsidR="00FA5894">
        <w:t>%,</w:t>
      </w:r>
      <w:r w:rsidR="00D12926">
        <w:t xml:space="preserve"> 2018. aastal 7</w:t>
      </w:r>
      <w:r w:rsidRPr="00361CB7">
        <w:t xml:space="preserve"> %, 2019. aastal 13%.</w:t>
      </w:r>
      <w:r>
        <w:t xml:space="preserve"> </w:t>
      </w:r>
    </w:p>
    <w:p w:rsidR="00B35D2F" w:rsidRPr="00C366F9" w:rsidRDefault="00B35D2F" w:rsidP="00B35D2F">
      <w:r w:rsidRPr="00C366F9">
        <w:t>Kasvu põhjus</w:t>
      </w:r>
      <w:r w:rsidR="005C436C">
        <w:t>ed</w:t>
      </w:r>
      <w:r w:rsidRPr="00C366F9">
        <w:t xml:space="preserve"> on: </w:t>
      </w:r>
    </w:p>
    <w:p w:rsidR="005C436C" w:rsidRPr="005C436C" w:rsidRDefault="005C436C" w:rsidP="002F4A30">
      <w:pPr>
        <w:pStyle w:val="Loend1"/>
        <w:numPr>
          <w:ilvl w:val="0"/>
          <w:numId w:val="28"/>
        </w:numPr>
        <w:ind w:left="1440"/>
        <w:rPr>
          <w:rFonts w:asciiTheme="minorHAnsi" w:hAnsiTheme="minorHAnsi"/>
        </w:rPr>
      </w:pPr>
      <w:r w:rsidRPr="005C436C">
        <w:rPr>
          <w:rFonts w:asciiTheme="minorHAnsi" w:hAnsiTheme="minorHAnsi"/>
          <w:b/>
        </w:rPr>
        <w:t>Uute lepingute lisandumine tulenevalt varade üleandmisest</w:t>
      </w:r>
      <w:r w:rsidRPr="005C436C">
        <w:rPr>
          <w:rFonts w:asciiTheme="minorHAnsi" w:hAnsiTheme="minorHAnsi"/>
        </w:rPr>
        <w:t xml:space="preserve"> (kulud liiguvad RKAS-i reale).</w:t>
      </w:r>
    </w:p>
    <w:p w:rsidR="005C436C" w:rsidRPr="005C436C" w:rsidRDefault="005C436C" w:rsidP="002F4A30">
      <w:pPr>
        <w:pStyle w:val="Loend1"/>
        <w:numPr>
          <w:ilvl w:val="0"/>
          <w:numId w:val="28"/>
        </w:numPr>
        <w:ind w:left="1440"/>
        <w:rPr>
          <w:rFonts w:asciiTheme="minorHAnsi" w:hAnsiTheme="minorHAnsi"/>
          <w:color w:val="1F497D"/>
        </w:rPr>
      </w:pPr>
      <w:r w:rsidRPr="005C436C">
        <w:rPr>
          <w:rFonts w:asciiTheme="minorHAnsi" w:hAnsiTheme="minorHAnsi"/>
          <w:b/>
        </w:rPr>
        <w:t>Uute investeeringute mõju</w:t>
      </w:r>
      <w:r w:rsidRPr="005C436C">
        <w:rPr>
          <w:rFonts w:asciiTheme="minorHAnsi" w:hAnsiTheme="minorHAnsi"/>
        </w:rPr>
        <w:t>, mis 2016. aasta eelarves moodustab ¾ kasvust. Suurimad valmivad hooned: ERM (suur osa finantseeritakse Kultuurkapitalist), Riigiarhiiv, Riigikontrolli uus hoone, Piusa kordon, Võru komando, Pärnu Koidula gümnaasium, Kaagvere kool.</w:t>
      </w:r>
    </w:p>
    <w:p w:rsidR="005C436C" w:rsidRPr="005C436C" w:rsidRDefault="005C436C" w:rsidP="002F4A30">
      <w:pPr>
        <w:pStyle w:val="Loend1"/>
        <w:numPr>
          <w:ilvl w:val="0"/>
          <w:numId w:val="28"/>
        </w:numPr>
        <w:ind w:left="1440"/>
        <w:rPr>
          <w:rFonts w:asciiTheme="minorHAnsi" w:hAnsiTheme="minorHAnsi"/>
        </w:rPr>
      </w:pPr>
      <w:r w:rsidRPr="005C436C">
        <w:rPr>
          <w:rFonts w:asciiTheme="minorHAnsi" w:hAnsiTheme="minorHAnsi"/>
          <w:b/>
        </w:rPr>
        <w:t>Üleminekuperioodi lõppemise mõju</w:t>
      </w:r>
      <w:r w:rsidRPr="005C436C">
        <w:rPr>
          <w:rFonts w:asciiTheme="minorHAnsi" w:hAnsiTheme="minorHAnsi"/>
        </w:rPr>
        <w:t xml:space="preserve"> (mis moodustab 2016. </w:t>
      </w:r>
      <w:r w:rsidRPr="005C436C">
        <w:rPr>
          <w:rFonts w:asciiTheme="minorHAnsi" w:hAnsiTheme="minorHAnsi"/>
          <w:color w:val="000000" w:themeColor="text1"/>
        </w:rPr>
        <w:t xml:space="preserve">aastal ¼ kasvust; </w:t>
      </w:r>
      <w:r w:rsidRPr="005C436C">
        <w:rPr>
          <w:rFonts w:asciiTheme="minorHAnsi" w:hAnsiTheme="minorHAnsi"/>
        </w:rPr>
        <w:t>See on üürimudelile üleminekust tulenev ühekordne kulutõus eelarves, millega viiakse senised majandamiskulud vajalikule tasemele (lisandub remondikomponent, tõusevad nende teenuste kulud, mida varem ei tehtud või tehti oma jõududega).</w:t>
      </w:r>
    </w:p>
    <w:p w:rsidR="005C436C" w:rsidRPr="005C436C" w:rsidRDefault="005C436C" w:rsidP="002F4A30">
      <w:pPr>
        <w:pStyle w:val="Loend1"/>
        <w:numPr>
          <w:ilvl w:val="0"/>
          <w:numId w:val="28"/>
        </w:numPr>
        <w:ind w:left="1440"/>
        <w:rPr>
          <w:rFonts w:asciiTheme="minorHAnsi" w:hAnsiTheme="minorHAnsi"/>
        </w:rPr>
      </w:pPr>
      <w:r w:rsidRPr="005C436C">
        <w:rPr>
          <w:rFonts w:asciiTheme="minorHAnsi" w:hAnsiTheme="minorHAnsi"/>
          <w:b/>
        </w:rPr>
        <w:t>Teenuste hinnatõusu mõju,</w:t>
      </w:r>
      <w:r w:rsidRPr="005C436C">
        <w:rPr>
          <w:rFonts w:asciiTheme="minorHAnsi" w:hAnsiTheme="minorHAnsi"/>
        </w:rPr>
        <w:t xml:space="preserve"> mis 2016. aastal on negatiivne tulenevalt THI negatiivsest prognoosist, kuid tänase üüriregulatsiooni järgi on teenuste hinnad enamasti seotud THI kasvuga ja tulevikus tuleb arvestada kulude tõusuga.</w:t>
      </w:r>
    </w:p>
    <w:p w:rsidR="008E5F11" w:rsidRPr="008E5F11" w:rsidRDefault="008E5F11" w:rsidP="00B35D2F">
      <w:pPr>
        <w:rPr>
          <w:u w:val="single"/>
        </w:rPr>
      </w:pPr>
      <w:r w:rsidRPr="008E5F11">
        <w:rPr>
          <w:u w:val="single"/>
        </w:rPr>
        <w:t>Uute investeeringute mõju</w:t>
      </w:r>
      <w:r>
        <w:rPr>
          <w:u w:val="single"/>
        </w:rPr>
        <w:t xml:space="preserve">. </w:t>
      </w:r>
    </w:p>
    <w:p w:rsidR="006A342B" w:rsidRDefault="00B35D2F" w:rsidP="00B35D2F">
      <w:r>
        <w:t>Kui RKAS teeb investeeringu</w:t>
      </w:r>
      <w:r w:rsidR="006A342B">
        <w:t xml:space="preserve"> oma eelarvest</w:t>
      </w:r>
      <w:r>
        <w:t xml:space="preserve">, siis </w:t>
      </w:r>
      <w:r w:rsidR="00687D86">
        <w:t>lisandub üürile täiendav kapitalik</w:t>
      </w:r>
      <w:r w:rsidR="006A342B">
        <w:t xml:space="preserve">ulu kas kapitalikomponendina või </w:t>
      </w:r>
      <w:r w:rsidR="00687D86">
        <w:t>turuüüri</w:t>
      </w:r>
      <w:r w:rsidR="006A342B">
        <w:t xml:space="preserve"> muutusena</w:t>
      </w:r>
      <w:r w:rsidR="00687D86">
        <w:t>.</w:t>
      </w:r>
      <w:r>
        <w:t xml:space="preserve"> </w:t>
      </w:r>
    </w:p>
    <w:p w:rsidR="006A342B" w:rsidRDefault="006A342B" w:rsidP="006A342B">
      <w:r>
        <w:t>Lisaks enda omandis olevatesse objektidesse tehtavatele investeeringutele osutab RKAS arendus- ja ehitusprojektide juhtimise teenust juhtudel, kus rahastus tuleb otse kliendilt kas eelarvest või välisvahenditest (nt Ugala teater, riigigümnaasiumid,</w:t>
      </w:r>
      <w:r w:rsidRPr="006A342B">
        <w:t xml:space="preserve"> </w:t>
      </w:r>
      <w:r>
        <w:t xml:space="preserve">kvoodirahadest tehtud investeeringud). Selliselt tehtud investeeringud ei tõsta üüri, vaid teenuse eest makstakse teenustasuna. </w:t>
      </w:r>
    </w:p>
    <w:p w:rsidR="006A342B" w:rsidRDefault="006A342B" w:rsidP="006A342B">
      <w:r>
        <w:t>Samuti esindab RKAS riigiasutusi koostööprojektides erasektoriga, kus investeeringu teeb valitsussektori väline isik. Sellisel juhul ei mõjuta tehtav investeering riigieelarve tasakaalu, kui tehing liigitatakse kui kasutusrendi tehing. Üürihind kujuneb RKAS-i poolt läbi viidud riigihangete (nt ministeeriumite ühishoone)</w:t>
      </w:r>
      <w:r w:rsidRPr="0066305B">
        <w:t xml:space="preserve"> </w:t>
      </w:r>
      <w:r>
        <w:t xml:space="preserve">ja seeläbi turukonkurentsi tulemusena. </w:t>
      </w:r>
    </w:p>
    <w:p w:rsidR="00B35D2F" w:rsidRDefault="00B35D2F" w:rsidP="00B35D2F">
      <w:r>
        <w:t>Investeeringuid saab RKAS teha talle üldkoosoleku ehk valdkonna eest vastutav</w:t>
      </w:r>
      <w:r w:rsidR="00FA5894">
        <w:t>a</w:t>
      </w:r>
      <w:r>
        <w:t xml:space="preserve"> ministri </w:t>
      </w:r>
      <w:r w:rsidR="006A342B">
        <w:t xml:space="preserve">(hetkel rahandusminister) </w:t>
      </w:r>
      <w:r>
        <w:t xml:space="preserve">poolt ette antud </w:t>
      </w:r>
      <w:r w:rsidR="006A342B">
        <w:t>piirmäärade (</w:t>
      </w:r>
      <w:r>
        <w:t>tasakaalu limiitide</w:t>
      </w:r>
      <w:r w:rsidR="006A342B">
        <w:t>)</w:t>
      </w:r>
      <w:r>
        <w:t xml:space="preserve"> ulatuses, sest kuigi RKAS ei saa raha investeeringuteks riigi eelarvest, kuulub RKAS valitsussektorisse ja kõik RKAS-i poolt tehtud investeeringud mõjutavad riigieelarve tasakaalu. Limiitide kinnitamisel lähtub minister Vabariigi Valitsuse poolt heaks kiidetud investeeringute nimekirjast, mis kujuneb eelarveprotsessis menetletud investeeringutaotluste alusel. </w:t>
      </w:r>
    </w:p>
    <w:p w:rsidR="00B35D2F" w:rsidRDefault="00B35D2F" w:rsidP="00B35D2F">
      <w:pPr>
        <w:spacing w:before="120"/>
      </w:pPr>
      <w:r>
        <w:rPr>
          <w:u w:val="single"/>
        </w:rPr>
        <w:t xml:space="preserve">Üleminekuperioodi lõppemise mõju on </w:t>
      </w:r>
      <w:r w:rsidRPr="00DC7CB7">
        <w:rPr>
          <w:u w:val="single"/>
        </w:rPr>
        <w:t>üürimudelile üleminekuga kaasne</w:t>
      </w:r>
      <w:r>
        <w:rPr>
          <w:u w:val="single"/>
        </w:rPr>
        <w:t>v</w:t>
      </w:r>
      <w:r w:rsidRPr="00DC7CB7">
        <w:rPr>
          <w:u w:val="single"/>
        </w:rPr>
        <w:t xml:space="preserve"> ühekordne </w:t>
      </w:r>
      <w:r>
        <w:rPr>
          <w:u w:val="single"/>
        </w:rPr>
        <w:t>kulu</w:t>
      </w:r>
      <w:r w:rsidRPr="00DC7CB7">
        <w:rPr>
          <w:u w:val="single"/>
        </w:rPr>
        <w:t>tõus eelarves</w:t>
      </w:r>
      <w:r>
        <w:rPr>
          <w:u w:val="single"/>
        </w:rPr>
        <w:t xml:space="preserve">. </w:t>
      </w:r>
      <w:r w:rsidRPr="00DC7CB7">
        <w:t>Kui varad on riigi omandis, siis</w:t>
      </w:r>
      <w:r>
        <w:t xml:space="preserve"> on kinnisvaraga seotud kuludeks jooksvad majandamiskulud. Need kulud </w:t>
      </w:r>
      <w:r w:rsidRPr="001A1954">
        <w:t xml:space="preserve">ei taga hoonete korrashoidu, vaid ainult hoone </w:t>
      </w:r>
      <w:r>
        <w:t xml:space="preserve">ülalpidamiseks </w:t>
      </w:r>
      <w:r w:rsidRPr="001A1954">
        <w:t>vajalike kulude katmist (eelkõige</w:t>
      </w:r>
      <w:r>
        <w:t xml:space="preserve"> sisse ostetud </w:t>
      </w:r>
      <w:r w:rsidRPr="001A1954">
        <w:t>tarbimistee</w:t>
      </w:r>
      <w:r>
        <w:t>nused nagu elekter, küte, vesi). Kokku on lepitud, et üürihind e</w:t>
      </w:r>
      <w:r w:rsidR="00FA5894">
        <w:t>i tõuse kohe peale RKAS-i</w:t>
      </w:r>
      <w:r>
        <w:t>le üle andmist, vaid peale kahe aastast nn üleminekuperioodi. E</w:t>
      </w:r>
      <w:r w:rsidRPr="00DC7CB7">
        <w:t>simesel kahel aastal peale üle</w:t>
      </w:r>
      <w:r w:rsidRPr="00C750AE">
        <w:t>andmist on üürihind</w:t>
      </w:r>
      <w:r>
        <w:t xml:space="preserve"> </w:t>
      </w:r>
      <w:r w:rsidRPr="00C750AE">
        <w:t>fikseeritud üleandmisele eelneva aasta kulude tase</w:t>
      </w:r>
      <w:r>
        <w:t>mel</w:t>
      </w:r>
      <w:r w:rsidRPr="00C750AE">
        <w:t>, mis deklareeritakse üleandmise protsessis riigiasutuse poolt.</w:t>
      </w:r>
      <w:r>
        <w:t xml:space="preserve"> Kulude tõus toimub peale üleminekuperioodi lõppemist, mil lisanduvad kuludele: </w:t>
      </w:r>
    </w:p>
    <w:p w:rsidR="00B35D2F" w:rsidRDefault="00B35D2F" w:rsidP="00155CA6">
      <w:pPr>
        <w:pStyle w:val="Loend1"/>
      </w:pPr>
      <w:r w:rsidRPr="00872EFA">
        <w:t>Nende teenuste kulud, mida ei tehtud või mida tehti oma tööjõuga ja mille kulud kaeti personalikuludest (haldamine, tehnohooldus, heakord).</w:t>
      </w:r>
      <w:r>
        <w:t xml:space="preserve"> Peale üle andmist muudetakse seniseid teenuslepinguid, lisatakse uusi teenuseid. Kui üleandmisel ei arvestata varaga seotud kulude hulka ka personalikulusid, siis on see osa kulude tõusust oluline. 2016. aastal lõppevate üleminekuperioodidega lepingutel on keskmine kulu 39 </w:t>
      </w:r>
      <w:r w:rsidRPr="00F36081">
        <w:t>€/m</w:t>
      </w:r>
      <w:r w:rsidRPr="00872EFA">
        <w:rPr>
          <w:rFonts w:ascii="Calibri" w:hAnsi="Calibri"/>
        </w:rPr>
        <w:t>²</w:t>
      </w:r>
      <w:r w:rsidRPr="00F36081">
        <w:t>/aastas</w:t>
      </w:r>
      <w:r>
        <w:t xml:space="preserve">, sellele lisandub 24 </w:t>
      </w:r>
      <w:r w:rsidRPr="00F36081">
        <w:t>€/m</w:t>
      </w:r>
      <w:r w:rsidRPr="00872EFA">
        <w:rPr>
          <w:rFonts w:ascii="Calibri" w:hAnsi="Calibri"/>
        </w:rPr>
        <w:t>²</w:t>
      </w:r>
      <w:r w:rsidRPr="00F36081">
        <w:t>/aastas</w:t>
      </w:r>
      <w:r>
        <w:t xml:space="preserve">. </w:t>
      </w:r>
    </w:p>
    <w:p w:rsidR="00B35D2F" w:rsidRDefault="00B35D2F" w:rsidP="00155CA6">
      <w:pPr>
        <w:pStyle w:val="Loend1"/>
      </w:pPr>
      <w:r w:rsidRPr="00F36081">
        <w:rPr>
          <w:b/>
        </w:rPr>
        <w:t>Remondikulud.</w:t>
      </w:r>
      <w:r>
        <w:t xml:space="preserve"> Kui</w:t>
      </w:r>
      <w:r w:rsidRPr="002F34BB">
        <w:t xml:space="preserve"> </w:t>
      </w:r>
      <w:r>
        <w:t xml:space="preserve">hooned olid riigi </w:t>
      </w:r>
      <w:r w:rsidRPr="002F34BB">
        <w:t>omandis</w:t>
      </w:r>
      <w:r>
        <w:t xml:space="preserve">, siis </w:t>
      </w:r>
      <w:r w:rsidRPr="002F686A">
        <w:t>hoonetel remondikulusid eelarves enamasti ei ol</w:t>
      </w:r>
      <w:r>
        <w:t>e</w:t>
      </w:r>
      <w:r w:rsidRPr="002F686A">
        <w:t xml:space="preserve">. Üürimudelile üleminekuga lisatakse üürile remondikomponent, et koguda remondifondi ja tagada sellega hoonete </w:t>
      </w:r>
      <w:r w:rsidRPr="00F36081">
        <w:t xml:space="preserve">kvaliteedi hoidmine ja taastamine. </w:t>
      </w:r>
      <w:r>
        <w:t>2014. aastal nähti riigieelarve strateegias</w:t>
      </w:r>
      <w:r w:rsidR="00155CA6">
        <w:t xml:space="preserve"> (RES)</w:t>
      </w:r>
      <w:r>
        <w:t xml:space="preserve"> </w:t>
      </w:r>
      <w:r w:rsidR="00155CA6">
        <w:t>ette</w:t>
      </w:r>
      <w:r>
        <w:t xml:space="preserve">, et </w:t>
      </w:r>
      <w:r w:rsidRPr="00F36081">
        <w:t xml:space="preserve">peale </w:t>
      </w:r>
      <w:r>
        <w:t xml:space="preserve">üleminekuperioodi lõppemist tõstetakse </w:t>
      </w:r>
      <w:r w:rsidRPr="00F36081">
        <w:t>kõikidel hoonetel remondikomponent tasemele 47 €/m</w:t>
      </w:r>
      <w:r w:rsidRPr="00F36081">
        <w:rPr>
          <w:rFonts w:ascii="Calibri" w:hAnsi="Calibri"/>
        </w:rPr>
        <w:t>²</w:t>
      </w:r>
      <w:r w:rsidRPr="00F36081">
        <w:t xml:space="preserve">/aastas </w:t>
      </w:r>
      <w:r>
        <w:t>(</w:t>
      </w:r>
      <w:r w:rsidRPr="00F36081">
        <w:t>3% ehitusmaksumusest).</w:t>
      </w:r>
      <w:r w:rsidRPr="004C5D76">
        <w:t xml:space="preserve"> </w:t>
      </w:r>
      <w:r>
        <w:t xml:space="preserve">Enne seda rakendas RKAS üleminekuperioodi lõppemisel remondikulu 19 </w:t>
      </w:r>
      <w:r w:rsidRPr="00F36081">
        <w:t>€/m</w:t>
      </w:r>
      <w:r w:rsidRPr="00F36081">
        <w:rPr>
          <w:rFonts w:ascii="Calibri" w:hAnsi="Calibri"/>
        </w:rPr>
        <w:t>²</w:t>
      </w:r>
      <w:r w:rsidRPr="00F36081">
        <w:t xml:space="preserve">/aastas </w:t>
      </w:r>
      <w:r>
        <w:t>(1</w:t>
      </w:r>
      <w:r w:rsidRPr="00F36081">
        <w:t>% ehitusmaksumusest).</w:t>
      </w:r>
      <w:r w:rsidR="00155CA6">
        <w:t xml:space="preserve"> 2015.aasta RES-is lükati remondikomponendi tõus edasi aastasse 2019. Üleminekuperioodi lõppemisel rakendatakse </w:t>
      </w:r>
      <w:r w:rsidR="00687D86">
        <w:t xml:space="preserve">portfelli keskmist remondikomponenti </w:t>
      </w:r>
      <w:r w:rsidR="00155CA6">
        <w:t xml:space="preserve">24 </w:t>
      </w:r>
      <w:r w:rsidR="00155CA6" w:rsidRPr="00F36081">
        <w:t>€/m</w:t>
      </w:r>
      <w:r w:rsidR="00155CA6" w:rsidRPr="00F36081">
        <w:rPr>
          <w:rFonts w:ascii="Calibri" w:hAnsi="Calibri"/>
        </w:rPr>
        <w:t>²</w:t>
      </w:r>
      <w:r w:rsidR="00155CA6" w:rsidRPr="00F36081">
        <w:t>/aastas</w:t>
      </w:r>
      <w:r w:rsidR="00155CA6">
        <w:t>.</w:t>
      </w:r>
    </w:p>
    <w:p w:rsidR="00B35D2F" w:rsidRDefault="00B35D2F" w:rsidP="00155CA6">
      <w:pPr>
        <w:pStyle w:val="Loend1"/>
      </w:pPr>
      <w:r w:rsidRPr="00220CE7">
        <w:rPr>
          <w:b/>
        </w:rPr>
        <w:t xml:space="preserve">Kapitalikulud ehk üür. </w:t>
      </w:r>
      <w:r>
        <w:t>Kui varad on riigi omandis, siis on vara väärtus arvel bilansis, üürimisel konverteeritakse kapitalikulud tegevuskuludeks ehk majandamiskuludeks. Kulupõhisel üüril avalduvad kapitalikulud kapitalikomponendina, turupõhisel üüril turuüüris, mis võib sisaldada ka üüriteenuseid. Kapitalikomponendi arvutamine on reguleeritud üür</w:t>
      </w:r>
      <w:r w:rsidRPr="00F36081">
        <w:t>imäärusega</w:t>
      </w:r>
      <w:r>
        <w:t xml:space="preserve">, see arvutatakse annuiteetmaksena, mis arvestab vara või investeeringu väärtust, lepingu tähtaega ning omakapitali- ja võõrkapitali tootlust. </w:t>
      </w:r>
    </w:p>
    <w:p w:rsidR="00B35D2F" w:rsidRPr="00CE3976" w:rsidRDefault="00B35D2F" w:rsidP="00B35D2F">
      <w:pPr>
        <w:rPr>
          <w:u w:val="single"/>
        </w:rPr>
      </w:pPr>
      <w:r w:rsidRPr="00CE3976">
        <w:rPr>
          <w:u w:val="single"/>
        </w:rPr>
        <w:t>Remondikulud</w:t>
      </w:r>
    </w:p>
    <w:p w:rsidR="00B35D2F" w:rsidRPr="00361CB7" w:rsidRDefault="00B35D2F" w:rsidP="00B35D2F">
      <w:r>
        <w:t xml:space="preserve">Riigiasutuste rendimaksetest ¼ ehk 20,8 mln eurot on maksed remondifondi. </w:t>
      </w:r>
    </w:p>
    <w:p w:rsidR="00B35D2F" w:rsidRDefault="00B35D2F" w:rsidP="00B35D2F">
      <w:r w:rsidRPr="00E56907">
        <w:t>Remondifondi kogutakse eesmärgiga tagada vajalikud vahendid remonttöödeks</w:t>
      </w:r>
      <w:r>
        <w:t xml:space="preserve">, et taastada </w:t>
      </w:r>
      <w:r w:rsidRPr="00E56907">
        <w:t xml:space="preserve">hoone </w:t>
      </w:r>
      <w:r>
        <w:t>kulunud (</w:t>
      </w:r>
      <w:r w:rsidRPr="00E56907">
        <w:t>amortiseerunud</w:t>
      </w:r>
      <w:r>
        <w:t>)</w:t>
      </w:r>
      <w:r w:rsidRPr="00E56907">
        <w:t xml:space="preserve"> kvaliteet. </w:t>
      </w:r>
      <w:r w:rsidR="00687D86">
        <w:t xml:space="preserve">Suurte portfellide puhul ei ole otstarbekas raha hoida reservis, vaid </w:t>
      </w:r>
      <w:r w:rsidR="00687D86" w:rsidRPr="00490708">
        <w:t>paigut</w:t>
      </w:r>
      <w:r w:rsidR="00687D86">
        <w:t xml:space="preserve">ada see nende </w:t>
      </w:r>
      <w:r w:rsidR="00687D86" w:rsidRPr="00490708">
        <w:t>objektide</w:t>
      </w:r>
      <w:r w:rsidR="00687D86">
        <w:t xml:space="preserve"> remondiks, </w:t>
      </w:r>
      <w:r w:rsidR="00687D86" w:rsidRPr="00490708">
        <w:t>kust remondiraha sarnastel alustel kogutakse</w:t>
      </w:r>
      <w:r w:rsidR="00687D86">
        <w:t xml:space="preserve"> pidades arvestust remondifondi makstud ja sellest tehtud kulude kohta objektide kaupa. Näiteks kui praegu on vastehitatud vanglad küllalt heas seisukorras, kuid kordonid halvas korras, siis on otstarbekas kasutada vanglate raha kordonite remondiks ja näiteks </w:t>
      </w:r>
      <w:r w:rsidR="00687D86" w:rsidRPr="00490708">
        <w:t xml:space="preserve">10 aasta pärast </w:t>
      </w:r>
      <w:r w:rsidR="00687D86">
        <w:t>k</w:t>
      </w:r>
      <w:r w:rsidR="00687D86" w:rsidRPr="00490708">
        <w:t xml:space="preserve">ordonitelt kogutavat remondiraha </w:t>
      </w:r>
      <w:r w:rsidR="00687D86">
        <w:t>vanglate remondiks</w:t>
      </w:r>
      <w:r w:rsidR="00687D86" w:rsidRPr="00490708">
        <w:t xml:space="preserve">. </w:t>
      </w:r>
      <w:r>
        <w:t>Eelduseks on, et ka kordonitelt laekub remondiraha, vastasel juhul on vanglate remondiraha ära kasutamine eba</w:t>
      </w:r>
      <w:r w:rsidRPr="00490708">
        <w:t xml:space="preserve">mõistlikult suur risk. </w:t>
      </w:r>
    </w:p>
    <w:p w:rsidR="00B35D2F" w:rsidRDefault="00B35D2F" w:rsidP="00B35D2F">
      <w:pPr>
        <w:rPr>
          <w:sz w:val="24"/>
        </w:rPr>
      </w:pPr>
      <w:r>
        <w:rPr>
          <w:bCs/>
        </w:rPr>
        <w:t>Uutel arendusobjektidel on remondifondi maksed arvutatud tuleneval</w:t>
      </w:r>
      <w:r w:rsidR="00155CA6">
        <w:rPr>
          <w:bCs/>
        </w:rPr>
        <w:t>t tegelikust remondivajadusest,</w:t>
      </w:r>
      <w:r>
        <w:rPr>
          <w:bCs/>
        </w:rPr>
        <w:t xml:space="preserve"> riigiasutuste poolt üle antud objektidel on remondikomponent arvestuslik. Optimaalseks remondifondi makseks on hinnatud 3% ehitusmaksumusest aastas ehk 47 €/m</w:t>
      </w:r>
      <w:r>
        <w:rPr>
          <w:rFonts w:ascii="Times New Roman" w:hAnsi="Times New Roman"/>
          <w:bCs/>
        </w:rPr>
        <w:t>²</w:t>
      </w:r>
      <w:r w:rsidRPr="005C2D33">
        <w:rPr>
          <w:bCs/>
        </w:rPr>
        <w:t xml:space="preserve"> </w:t>
      </w:r>
      <w:r w:rsidR="00155CA6">
        <w:rPr>
          <w:bCs/>
        </w:rPr>
        <w:t xml:space="preserve">aastas. </w:t>
      </w:r>
      <w:r>
        <w:rPr>
          <w:bCs/>
        </w:rPr>
        <w:t>R</w:t>
      </w:r>
      <w:r w:rsidRPr="005C2D33">
        <w:rPr>
          <w:bCs/>
        </w:rPr>
        <w:t>KAS-i portfellis olevate riigi hoonete keskmiseks</w:t>
      </w:r>
      <w:r>
        <w:rPr>
          <w:bCs/>
        </w:rPr>
        <w:t xml:space="preserve"> remondikomponendiks on 24 €/m</w:t>
      </w:r>
      <w:r>
        <w:rPr>
          <w:rFonts w:ascii="Times New Roman" w:hAnsi="Times New Roman"/>
          <w:bCs/>
        </w:rPr>
        <w:t>²</w:t>
      </w:r>
      <w:r w:rsidRPr="005C2D33">
        <w:rPr>
          <w:bCs/>
        </w:rPr>
        <w:t xml:space="preserve"> </w:t>
      </w:r>
      <w:r>
        <w:rPr>
          <w:bCs/>
        </w:rPr>
        <w:t xml:space="preserve">aastas. Seda taset rakendatakse ka kõikidele neile objektidele, mille üleminekuperiood lõppeb aastatel 2016-2018. Aastaks </w:t>
      </w:r>
      <w:r w:rsidRPr="00D30052">
        <w:rPr>
          <w:bCs/>
        </w:rPr>
        <w:t>2019 on planeeritud lisavahendid 2</w:t>
      </w:r>
      <w:r w:rsidRPr="00D30052">
        <w:t>3,5 mln €, mis või</w:t>
      </w:r>
      <w:r w:rsidR="00155CA6">
        <w:t>maldaks tõsta remondikomponenti</w:t>
      </w:r>
      <w:r w:rsidRPr="00D30052">
        <w:t xml:space="preserve"> või kasutada</w:t>
      </w:r>
      <w:r>
        <w:t xml:space="preserve"> neid vahendeid täiendavalt hoonete rekonstrueerimiseks. </w:t>
      </w:r>
    </w:p>
    <w:p w:rsidR="00B35D2F" w:rsidRDefault="00B35D2F" w:rsidP="00161C57">
      <w:pPr>
        <w:pStyle w:val="Pealkiri3"/>
      </w:pPr>
      <w:bookmarkStart w:id="411" w:name="_Toc421202244"/>
      <w:bookmarkStart w:id="412" w:name="_Toc433980749"/>
      <w:r w:rsidRPr="00161C57">
        <w:t>Investeeringud</w:t>
      </w:r>
      <w:bookmarkEnd w:id="411"/>
      <w:bookmarkEnd w:id="412"/>
      <w:r>
        <w:t xml:space="preserve"> </w:t>
      </w:r>
    </w:p>
    <w:p w:rsidR="00B35D2F" w:rsidRDefault="00B35D2F" w:rsidP="00B35D2F">
      <w:r w:rsidRPr="00C2101B">
        <w:t xml:space="preserve">Investeeringute vajadus tuleneb remondivõlast ja </w:t>
      </w:r>
      <w:r>
        <w:t xml:space="preserve">2014. aastal kehtima hakanud </w:t>
      </w:r>
      <w:r w:rsidRPr="00C2101B">
        <w:t>Euroopa Liidu direktiivi (2012/27/EL artikkel 5) järgse</w:t>
      </w:r>
      <w:r>
        <w:t>te</w:t>
      </w:r>
      <w:r w:rsidRPr="00C2101B">
        <w:t>st riigi hoonete energiatõhususe nõuetest. Remondivõlg on tekkinud pikaajalisest kinnisvara korrashoiu alarahastamisest (</w:t>
      </w:r>
      <w:r w:rsidR="006A342B">
        <w:t xml:space="preserve">eelkõige </w:t>
      </w:r>
      <w:r w:rsidRPr="00C2101B">
        <w:t xml:space="preserve">ebapiisav tehnohooldus ja remont), </w:t>
      </w:r>
      <w:r w:rsidR="00687D86" w:rsidRPr="00C2101B">
        <w:t xml:space="preserve">mistõttu varade kvaliteet on langenud kiiremini </w:t>
      </w:r>
      <w:r w:rsidRPr="00C2101B">
        <w:t xml:space="preserve">kui see oleks optimaalse remondikulude mahu korral. </w:t>
      </w:r>
    </w:p>
    <w:p w:rsidR="00B35D2F" w:rsidRDefault="00B35D2F" w:rsidP="00B35D2F">
      <w:r w:rsidRPr="00C2101B">
        <w:t>Viidatud EL direktiiv nõuab, et igal aastal</w:t>
      </w:r>
      <w:r>
        <w:t xml:space="preserve"> renoveeritakse </w:t>
      </w:r>
      <w:r w:rsidRPr="00C2101B">
        <w:t xml:space="preserve">3% keskvalitsuse omandis ja kasutuses olevate köetavate ja/või jahutatavate </w:t>
      </w:r>
      <w:r>
        <w:t xml:space="preserve">miinimumnõuetele mittevastavate </w:t>
      </w:r>
      <w:r w:rsidRPr="00C2101B">
        <w:t xml:space="preserve">hoonete üldpõrandapinnast vähemalt energiatõhususe miinimumnõuetele vastavaks. </w:t>
      </w:r>
      <w:r w:rsidR="00901225">
        <w:t xml:space="preserve">Energiatõhususe miinimumnõudeid ja nende täitmist on käsitletud peatükis </w:t>
      </w:r>
      <w:r w:rsidR="00A85FDC">
        <w:fldChar w:fldCharType="begin"/>
      </w:r>
      <w:r w:rsidR="00901225">
        <w:instrText xml:space="preserve"> REF _Ref424056598 \r \h </w:instrText>
      </w:r>
      <w:r w:rsidR="00A85FDC">
        <w:fldChar w:fldCharType="separate"/>
      </w:r>
      <w:r w:rsidR="00477322">
        <w:t>2.2.2</w:t>
      </w:r>
      <w:r w:rsidR="00A85FDC">
        <w:fldChar w:fldCharType="end"/>
      </w:r>
      <w:r w:rsidR="00901225">
        <w:t>.</w:t>
      </w:r>
    </w:p>
    <w:p w:rsidR="00B35D2F" w:rsidRDefault="00B35D2F" w:rsidP="00B35D2F">
      <w:r>
        <w:t xml:space="preserve">Aastatel 2010-2014 olid valitsussektori investeeringud kokku (koos veel tasumata kapitalirendi maksetega) aastas keskmiselt </w:t>
      </w:r>
      <w:r w:rsidRPr="0015792A">
        <w:t>228,2 mln €</w:t>
      </w:r>
      <w:r>
        <w:t xml:space="preserve">, sellest </w:t>
      </w:r>
      <w:r w:rsidRPr="0015792A">
        <w:rPr>
          <w:b/>
        </w:rPr>
        <w:t>66,2 mln €</w:t>
      </w:r>
      <w:r>
        <w:t xml:space="preserve"> (29%) riigieelarveliste asutuste hoonetesse. Investeeringute maht viimasel analüüsitud viie-aastasel perioodil on langenud 1/3 võrra võrreldes aastatega 2005-2009, mil valitsussektori investeeringud aastas olid keskmiselt 335,2 mln €, sellest </w:t>
      </w:r>
      <w:r w:rsidRPr="0015792A">
        <w:rPr>
          <w:b/>
        </w:rPr>
        <w:t>54,2 mln</w:t>
      </w:r>
      <w:r w:rsidRPr="0015792A">
        <w:t xml:space="preserve"> </w:t>
      </w:r>
      <w:r w:rsidRPr="0015792A">
        <w:rPr>
          <w:b/>
        </w:rPr>
        <w:t>€</w:t>
      </w:r>
      <w:r>
        <w:t xml:space="preserve"> (16%) riigieelarveliste asutuste hoonetesse</w:t>
      </w:r>
      <w:r w:rsidR="00901225">
        <w:t xml:space="preserve"> (</w:t>
      </w:r>
      <w:r w:rsidR="00A85FDC">
        <w:fldChar w:fldCharType="begin"/>
      </w:r>
      <w:r w:rsidR="00901225">
        <w:instrText xml:space="preserve"> REF _Ref424056711 \h </w:instrText>
      </w:r>
      <w:r w:rsidR="00A85FDC">
        <w:fldChar w:fldCharType="separate"/>
      </w:r>
      <w:r w:rsidR="00477322">
        <w:t xml:space="preserve">Joonis </w:t>
      </w:r>
      <w:r w:rsidR="00477322">
        <w:rPr>
          <w:noProof/>
        </w:rPr>
        <w:t>28</w:t>
      </w:r>
      <w:r w:rsidR="00A85FDC">
        <w:fldChar w:fldCharType="end"/>
      </w:r>
      <w:r w:rsidR="00901225">
        <w:t>)</w:t>
      </w:r>
      <w:r>
        <w:t xml:space="preserve">. </w:t>
      </w:r>
    </w:p>
    <w:p w:rsidR="00901225" w:rsidRDefault="00901225" w:rsidP="00901225">
      <w:pPr>
        <w:pStyle w:val="Caption"/>
        <w:jc w:val="both"/>
      </w:pPr>
      <w:bookmarkStart w:id="413" w:name="_Ref424056711"/>
      <w:r>
        <w:t xml:space="preserve">Joonis </w:t>
      </w:r>
      <w:fldSimple w:instr=" SEQ Joonis \* ARABIC ">
        <w:r w:rsidR="00477322">
          <w:rPr>
            <w:noProof/>
          </w:rPr>
          <w:t>28</w:t>
        </w:r>
      </w:fldSimple>
      <w:bookmarkEnd w:id="413"/>
      <w:r>
        <w:t>. Valitsussektori kinnisvarainvesteeringud hoonetesse (soetusmaksumuse muutus)</w:t>
      </w:r>
    </w:p>
    <w:p w:rsidR="00B35D2F" w:rsidRDefault="00B35D2F" w:rsidP="00901225">
      <w:pPr>
        <w:spacing w:before="120" w:after="120"/>
      </w:pPr>
      <w:r>
        <w:rPr>
          <w:noProof/>
          <w:lang w:eastAsia="et-EE"/>
        </w:rPr>
        <w:drawing>
          <wp:inline distT="0" distB="0" distL="0" distR="0">
            <wp:extent cx="5735456" cy="3137026"/>
            <wp:effectExtent l="12187" t="6094" r="6092" b="765"/>
            <wp:docPr id="3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35D2F" w:rsidRDefault="00B35D2F" w:rsidP="00B35D2F">
      <w:pPr>
        <w:rPr>
          <w:b/>
        </w:rPr>
      </w:pPr>
      <w:r>
        <w:t xml:space="preserve">Perioodil 2010-2014 oli riigieelarveliste asutuste investeeringute mahust (ca 66,2 mln €) finantseeritud EL struktuurivahenditest hinnanguliselt 30 mln € aastas ja kvoodimüügi vahenditest 20 mln € aastas ehk </w:t>
      </w:r>
      <w:r w:rsidRPr="00A903EF">
        <w:rPr>
          <w:b/>
        </w:rPr>
        <w:t xml:space="preserve">välisvahendite osakaal </w:t>
      </w:r>
      <w:r>
        <w:rPr>
          <w:b/>
        </w:rPr>
        <w:t xml:space="preserve">oli ca </w:t>
      </w:r>
      <w:r w:rsidRPr="00A903EF">
        <w:rPr>
          <w:b/>
        </w:rPr>
        <w:t>80</w:t>
      </w:r>
      <w:r w:rsidRPr="00C954DB">
        <w:rPr>
          <w:b/>
        </w:rPr>
        <w:t>%</w:t>
      </w:r>
      <w:r>
        <w:rPr>
          <w:b/>
        </w:rPr>
        <w:t xml:space="preserve">. </w:t>
      </w:r>
    </w:p>
    <w:p w:rsidR="00B35D2F" w:rsidRPr="0027642B" w:rsidRDefault="00B35D2F" w:rsidP="00B35D2F">
      <w:r w:rsidRPr="00CD70FB">
        <w:t xml:space="preserve">Järgmisel EL rahastamise perioodil (2014-2020) </w:t>
      </w:r>
      <w:r w:rsidRPr="00CD70FB">
        <w:rPr>
          <w:b/>
        </w:rPr>
        <w:t>väheneb hoonetesse suunatavate investeeringute maht vähemalt 1/3 võrra</w:t>
      </w:r>
      <w:r w:rsidRPr="00CD70FB">
        <w:t xml:space="preserve"> (ca 20 mln €-le), sellele järgneval perioodil (2021-2027) </w:t>
      </w:r>
      <w:r w:rsidRPr="00CD70FB">
        <w:rPr>
          <w:b/>
        </w:rPr>
        <w:t>veel 1/3 võrra</w:t>
      </w:r>
      <w:r w:rsidRPr="00CD70FB">
        <w:t xml:space="preserve"> (ca 10 mln €-le). </w:t>
      </w:r>
      <w:r w:rsidR="00C41DD4" w:rsidRPr="00CD70FB">
        <w:t>Kvoodimüügi tuludest saame kuni aastani 2020 arvestada ca 10 mln €-ga aastas, edasisel perioodil</w:t>
      </w:r>
      <w:r w:rsidR="00F96800">
        <w:t xml:space="preserve"> </w:t>
      </w:r>
      <w:r w:rsidR="00C41DD4" w:rsidRPr="00CD70FB">
        <w:t xml:space="preserve">riigi hoonetel kvoodimüügi tuludega arvestada ei saa. </w:t>
      </w:r>
      <w:r w:rsidRPr="00CD70FB">
        <w:t>Pikemas perspektiivis on võimalik arvestada vaid riigi omatuludega ning riigi tegevuskulude muutuse üldiste suundumistega arvestades üldist hindade kallinemist.</w:t>
      </w:r>
      <w:r w:rsidR="00F96800">
        <w:t xml:space="preserve"> </w:t>
      </w:r>
    </w:p>
    <w:p w:rsidR="00B35D2F" w:rsidRDefault="00B35D2F" w:rsidP="00B35D2F">
      <w:r>
        <w:t xml:space="preserve">2015. aastal ja edaspidi </w:t>
      </w:r>
      <w:r w:rsidRPr="00C1404B">
        <w:t xml:space="preserve">on </w:t>
      </w:r>
      <w:r w:rsidR="00901225">
        <w:t xml:space="preserve">energiatõhususe miinimumnõuetele vaja </w:t>
      </w:r>
      <w:r w:rsidRPr="00C1404B">
        <w:t>vastavaks viia</w:t>
      </w:r>
      <w:r w:rsidR="00901225">
        <w:t xml:space="preserve"> ca</w:t>
      </w:r>
      <w:r w:rsidRPr="00C1404B">
        <w:t xml:space="preserve"> 30 000 m² pinda</w:t>
      </w:r>
      <w:r>
        <w:t xml:space="preserve"> aastas</w:t>
      </w:r>
      <w:r w:rsidRPr="00C1404B">
        <w:t>. Täisrekonstrueerimisel oleks s</w:t>
      </w:r>
      <w:r w:rsidR="00901225">
        <w:t>ellises mahus pinna arvestuslik</w:t>
      </w:r>
      <w:r w:rsidRPr="00C1404B">
        <w:t xml:space="preserve"> uuendamise kulu </w:t>
      </w:r>
      <w:r w:rsidRPr="00C1404B">
        <w:rPr>
          <w:b/>
        </w:rPr>
        <w:t xml:space="preserve">ca </w:t>
      </w:r>
      <w:r>
        <w:rPr>
          <w:b/>
        </w:rPr>
        <w:t>40-</w:t>
      </w:r>
      <w:r w:rsidRPr="00C1404B">
        <w:rPr>
          <w:b/>
        </w:rPr>
        <w:t xml:space="preserve">50 mln </w:t>
      </w:r>
      <w:r w:rsidR="00901225">
        <w:rPr>
          <w:b/>
        </w:rPr>
        <w:t xml:space="preserve">€ </w:t>
      </w:r>
      <w:r w:rsidRPr="00C1404B">
        <w:rPr>
          <w:b/>
        </w:rPr>
        <w:t>aastas</w:t>
      </w:r>
      <w:r>
        <w:t>, osalisel rekonst</w:t>
      </w:r>
      <w:r w:rsidR="00901225">
        <w:t xml:space="preserve">rueerimisel 2-3 korda väiksem. </w:t>
      </w:r>
      <w:r>
        <w:t>Selliste summadega on võimalik eesmärki täita vaid juhul, kui investeerimisotsuste tegemisel suunatakse niigi nappe ressursse uute pindade juurdeehituseks vaid äärmiselt põhjendatud juhtudel. Prioriteed</w:t>
      </w:r>
      <w:r w:rsidR="00901225">
        <w:t xml:space="preserve">iks peab olema energiatõhususe </w:t>
      </w:r>
      <w:r>
        <w:t xml:space="preserve">direktiivi täitmise reeglite järgmine, mis hõlmab ka pinnakasutuse optimeerimist (arvesse läheb ka senine miinimumnõuetele mittevastav kasutusest välja jääv pind). </w:t>
      </w:r>
    </w:p>
    <w:p w:rsidR="00CC7DD6" w:rsidRDefault="00CC7DD6" w:rsidP="00161C57">
      <w:pPr>
        <w:pStyle w:val="Pealkiri2"/>
      </w:pPr>
      <w:bookmarkStart w:id="414" w:name="_Toc433980750"/>
      <w:bookmarkStart w:id="415" w:name="_Toc421202246"/>
      <w:r w:rsidRPr="00EE5B87">
        <w:t>Rahastamis</w:t>
      </w:r>
      <w:r>
        <w:t>e probleemid ja analüüs</w:t>
      </w:r>
      <w:bookmarkEnd w:id="414"/>
    </w:p>
    <w:p w:rsidR="00CC7DD6" w:rsidRPr="00282FAF" w:rsidRDefault="00CC7DD6" w:rsidP="00161C57">
      <w:pPr>
        <w:pStyle w:val="Pealkiri3"/>
      </w:pPr>
      <w:bookmarkStart w:id="416" w:name="_Toc421202245"/>
      <w:bookmarkStart w:id="417" w:name="_Toc433980751"/>
      <w:r w:rsidRPr="00282FAF">
        <w:t xml:space="preserve">Probleemid riigi </w:t>
      </w:r>
      <w:r w:rsidRPr="00161C57">
        <w:t>kinnisvara</w:t>
      </w:r>
      <w:r w:rsidRPr="00282FAF">
        <w:t xml:space="preserve"> rahastamisel</w:t>
      </w:r>
      <w:bookmarkEnd w:id="416"/>
      <w:bookmarkEnd w:id="417"/>
      <w:r w:rsidRPr="00282FAF">
        <w:t xml:space="preserve"> </w:t>
      </w:r>
    </w:p>
    <w:p w:rsidR="004F50EF" w:rsidRDefault="004F50EF" w:rsidP="004F50EF">
      <w:r>
        <w:t xml:space="preserve">Riigi kinnisvara rahastamise probleeme üldisemalt on kirjeldatud ka käesoleva aruande alapeatükis </w:t>
      </w:r>
      <w:r w:rsidR="00A85FDC">
        <w:fldChar w:fldCharType="begin"/>
      </w:r>
      <w:r>
        <w:instrText xml:space="preserve"> REF _Ref427308791 \r \h </w:instrText>
      </w:r>
      <w:r w:rsidR="00A85FDC">
        <w:fldChar w:fldCharType="separate"/>
      </w:r>
      <w:r w:rsidR="00477322">
        <w:t>2.6.2</w:t>
      </w:r>
      <w:r w:rsidR="00A85FDC">
        <w:fldChar w:fldCharType="end"/>
      </w:r>
      <w:r w:rsidRPr="00FA7076">
        <w:t>.</w:t>
      </w:r>
    </w:p>
    <w:p w:rsidR="00D47161" w:rsidRDefault="005E7C37" w:rsidP="00CC7DD6">
      <w:r>
        <w:t>Peamiseks probleemiks on, et e</w:t>
      </w:r>
      <w:r w:rsidR="00CC7DD6">
        <w:t xml:space="preserve">elarvevahendeid kõikide riigile vajalike hoonete kordategemiseks </w:t>
      </w:r>
      <w:r w:rsidR="00CB2C3B">
        <w:t xml:space="preserve">ja ülalpidamiseks </w:t>
      </w:r>
      <w:r w:rsidR="00CC7DD6">
        <w:t xml:space="preserve">napib, kuid </w:t>
      </w:r>
      <w:r w:rsidR="00CB2C3B">
        <w:t xml:space="preserve">vajalike kulude tegemata jätmine ja </w:t>
      </w:r>
      <w:r w:rsidR="00CC7DD6" w:rsidRPr="008D2559">
        <w:t xml:space="preserve">investeeringute edasilükkamine </w:t>
      </w:r>
      <w:r w:rsidR="00CC7DD6">
        <w:t>ei saa pikas perspektiivis jätkuda, kuna see on juba halvendanud</w:t>
      </w:r>
      <w:r w:rsidR="00CC7DD6" w:rsidRPr="008D2559">
        <w:t xml:space="preserve"> t</w:t>
      </w:r>
      <w:r w:rsidR="00CC7DD6">
        <w:t>öökeskkonna kvaliteeti ja tõstab</w:t>
      </w:r>
      <w:r w:rsidR="00CC7DD6" w:rsidRPr="008D2559">
        <w:t xml:space="preserve"> investeerimisvajadust tulevikus.</w:t>
      </w:r>
      <w:r w:rsidR="00CC7DD6">
        <w:t xml:space="preserve"> </w:t>
      </w:r>
    </w:p>
    <w:p w:rsidR="00CB2C3B" w:rsidRPr="005C0924" w:rsidRDefault="005C0924" w:rsidP="00CC7DD6">
      <w:r w:rsidRPr="005C0924">
        <w:t xml:space="preserve">Piisavaks kulutasemeks hoonete </w:t>
      </w:r>
      <w:r w:rsidR="00D47161" w:rsidRPr="005C0924">
        <w:t xml:space="preserve">säästlikul majandamisel võib pidada ca 130 eurot/m² aastas, tegelik kulude maht on sellest </w:t>
      </w:r>
      <w:r w:rsidR="00D47161" w:rsidRPr="005C0924">
        <w:rPr>
          <w:b/>
        </w:rPr>
        <w:t>kolmandiku võrra väiksem</w:t>
      </w:r>
      <w:r w:rsidR="00D47161" w:rsidRPr="005C0924">
        <w:t xml:space="preserve">. </w:t>
      </w:r>
    </w:p>
    <w:p w:rsidR="00F0440D" w:rsidRPr="005C0924" w:rsidRDefault="00BF405F" w:rsidP="00CC7DD6">
      <w:pPr>
        <w:rPr>
          <w:b/>
        </w:rPr>
      </w:pPr>
      <w:r w:rsidRPr="005C0924">
        <w:t>Keskvalitsuse r</w:t>
      </w:r>
      <w:r w:rsidR="00F0440D" w:rsidRPr="005C0924">
        <w:t>iigi</w:t>
      </w:r>
      <w:r w:rsidRPr="005C0924">
        <w:t xml:space="preserve">eelarveliste </w:t>
      </w:r>
      <w:r w:rsidR="00F0440D" w:rsidRPr="005C0924">
        <w:t xml:space="preserve">asutuste kasutuses </w:t>
      </w:r>
      <w:r w:rsidRPr="005C0924">
        <w:t xml:space="preserve">olevate </w:t>
      </w:r>
      <w:r w:rsidR="00F0440D" w:rsidRPr="005C0924">
        <w:t xml:space="preserve">hoonete 2014. aasta </w:t>
      </w:r>
      <w:r w:rsidR="00A428A0" w:rsidRPr="005C0924">
        <w:rPr>
          <w:b/>
        </w:rPr>
        <w:t>tegelikud kulud</w:t>
      </w:r>
      <w:r w:rsidRPr="005C0924">
        <w:rPr>
          <w:b/>
        </w:rPr>
        <w:t>,</w:t>
      </w:r>
      <w:r w:rsidR="00A428A0" w:rsidRPr="005C0924">
        <w:rPr>
          <w:b/>
        </w:rPr>
        <w:t xml:space="preserve"> </w:t>
      </w:r>
      <w:r w:rsidR="00D47161" w:rsidRPr="005C0924">
        <w:rPr>
          <w:b/>
        </w:rPr>
        <w:t xml:space="preserve">keskmiselt </w:t>
      </w:r>
      <w:r w:rsidR="00CF576F" w:rsidRPr="005C0924">
        <w:rPr>
          <w:b/>
        </w:rPr>
        <w:t>8</w:t>
      </w:r>
      <w:r w:rsidR="006F5A24" w:rsidRPr="005C0924">
        <w:rPr>
          <w:b/>
        </w:rPr>
        <w:t>8</w:t>
      </w:r>
      <w:r w:rsidR="00F0440D" w:rsidRPr="005C0924">
        <w:rPr>
          <w:b/>
        </w:rPr>
        <w:t xml:space="preserve"> eurot/m</w:t>
      </w:r>
      <w:r w:rsidR="00F0440D" w:rsidRPr="005C0924">
        <w:rPr>
          <w:rFonts w:ascii="Calibri" w:hAnsi="Calibri"/>
          <w:b/>
        </w:rPr>
        <w:t>²</w:t>
      </w:r>
      <w:r w:rsidR="00F0440D" w:rsidRPr="005C0924">
        <w:rPr>
          <w:b/>
        </w:rPr>
        <w:t xml:space="preserve"> aastas, </w:t>
      </w:r>
      <w:r w:rsidR="00A428A0" w:rsidRPr="005C0924">
        <w:t xml:space="preserve">on </w:t>
      </w:r>
      <w:r w:rsidR="00F0440D" w:rsidRPr="005C0924">
        <w:t>leitud järgmiselt:</w:t>
      </w:r>
    </w:p>
    <w:p w:rsidR="00F0440D" w:rsidRPr="005C0924" w:rsidRDefault="00F0440D" w:rsidP="002F4A30">
      <w:pPr>
        <w:pStyle w:val="ListParagraph"/>
        <w:numPr>
          <w:ilvl w:val="0"/>
          <w:numId w:val="45"/>
        </w:numPr>
      </w:pPr>
      <w:r w:rsidRPr="005C0924">
        <w:t>Ptk 3.1 esitatu alusel olid t</w:t>
      </w:r>
      <w:r w:rsidR="00CB2C3B" w:rsidRPr="005C0924">
        <w:t xml:space="preserve">egelikud kulud 2014. aastal </w:t>
      </w:r>
      <w:r w:rsidRPr="005C0924">
        <w:t>1</w:t>
      </w:r>
      <w:r w:rsidR="00CB2C3B" w:rsidRPr="005C0924">
        <w:t xml:space="preserve">84,6 mln eurot, millest </w:t>
      </w:r>
    </w:p>
    <w:p w:rsidR="00F0440D" w:rsidRPr="005C0924" w:rsidRDefault="00CB2C3B" w:rsidP="002F4A30">
      <w:pPr>
        <w:pStyle w:val="ListParagraph"/>
        <w:numPr>
          <w:ilvl w:val="0"/>
          <w:numId w:val="44"/>
        </w:numPr>
      </w:pPr>
      <w:r w:rsidRPr="005C0924">
        <w:t xml:space="preserve">114,2 mln eurot üür ja majandamiskulud ilma kapitalikomponendi ja intressita, </w:t>
      </w:r>
    </w:p>
    <w:p w:rsidR="00F0440D" w:rsidRPr="005C0924" w:rsidRDefault="00CB2C3B" w:rsidP="002F4A30">
      <w:pPr>
        <w:pStyle w:val="ListParagraph"/>
        <w:numPr>
          <w:ilvl w:val="0"/>
          <w:numId w:val="44"/>
        </w:numPr>
      </w:pPr>
      <w:r w:rsidRPr="005C0924">
        <w:t>66,2 mln eurot arvestuslik keskmine aastane investeeringumaht koos kapitalikomponendiga</w:t>
      </w:r>
      <w:r w:rsidR="00F0440D" w:rsidRPr="005C0924">
        <w:t>,</w:t>
      </w:r>
      <w:r w:rsidRPr="005C0924">
        <w:t xml:space="preserve"> </w:t>
      </w:r>
    </w:p>
    <w:p w:rsidR="00CB2C3B" w:rsidRPr="005C0924" w:rsidRDefault="00BF405F" w:rsidP="002F4A30">
      <w:pPr>
        <w:pStyle w:val="ListParagraph"/>
        <w:numPr>
          <w:ilvl w:val="0"/>
          <w:numId w:val="44"/>
        </w:numPr>
      </w:pPr>
      <w:r w:rsidRPr="005C0924">
        <w:t xml:space="preserve">4,2 mln </w:t>
      </w:r>
      <w:r w:rsidR="00CB2C3B" w:rsidRPr="005C0924">
        <w:t xml:space="preserve">eurot RKAS-le makstud kapitalirendi intress. </w:t>
      </w:r>
    </w:p>
    <w:p w:rsidR="00CB2C3B" w:rsidRPr="005C0924" w:rsidRDefault="00BF405F" w:rsidP="002F4A30">
      <w:pPr>
        <w:pStyle w:val="ListParagraph"/>
        <w:numPr>
          <w:ilvl w:val="0"/>
          <w:numId w:val="45"/>
        </w:numPr>
      </w:pPr>
      <w:r w:rsidRPr="005C0924">
        <w:t>Keskvalitsuse r</w:t>
      </w:r>
      <w:r w:rsidR="00CB2C3B" w:rsidRPr="005C0924">
        <w:t>iigi</w:t>
      </w:r>
      <w:r w:rsidRPr="005C0924">
        <w:t xml:space="preserve">eelarveliste </w:t>
      </w:r>
      <w:r w:rsidR="00CB2C3B" w:rsidRPr="005C0924">
        <w:t xml:space="preserve">asutuste kasutuses hoonete portfell </w:t>
      </w:r>
      <w:r w:rsidR="00C60479" w:rsidRPr="005C0924">
        <w:t xml:space="preserve">(ilma RMK-ta) </w:t>
      </w:r>
      <w:r w:rsidR="00CB2C3B" w:rsidRPr="005C0924">
        <w:t xml:space="preserve">oli 2014. aasta lõpus </w:t>
      </w:r>
      <w:r w:rsidR="00C60479" w:rsidRPr="005C0924">
        <w:t xml:space="preserve">ptk 1.1 alusel </w:t>
      </w:r>
      <w:r w:rsidR="00CB2C3B" w:rsidRPr="005C0924">
        <w:t>2,1 mln m²</w:t>
      </w:r>
      <w:r w:rsidR="00C60479" w:rsidRPr="005C0924">
        <w:t>. Sellest</w:t>
      </w:r>
      <w:r w:rsidR="00CB2C3B" w:rsidRPr="005C0924">
        <w:t xml:space="preserve"> tulenevalt on keskmiseks kinnisvarakuluks </w:t>
      </w:r>
      <w:r w:rsidR="00F0440D" w:rsidRPr="005C0924">
        <w:t>8</w:t>
      </w:r>
      <w:r w:rsidR="00C20719">
        <w:t>8</w:t>
      </w:r>
      <w:r w:rsidR="00F0440D" w:rsidRPr="005C0924">
        <w:t xml:space="preserve"> eurot/m² aastas </w:t>
      </w:r>
    </w:p>
    <w:p w:rsidR="00C60479" w:rsidRPr="005C0924" w:rsidRDefault="00A428A0" w:rsidP="00CC7DD6">
      <w:r w:rsidRPr="005C0924">
        <w:rPr>
          <w:b/>
        </w:rPr>
        <w:t>Riigiasutuste hoonete prognoositud v</w:t>
      </w:r>
      <w:r w:rsidR="00BF405F" w:rsidRPr="005C0924">
        <w:rPr>
          <w:b/>
        </w:rPr>
        <w:t>ajalikud kulud,</w:t>
      </w:r>
      <w:r w:rsidRPr="005C0924">
        <w:rPr>
          <w:b/>
        </w:rPr>
        <w:t xml:space="preserve"> keskmiselt 130 eurot/m</w:t>
      </w:r>
      <w:r w:rsidRPr="005C0924">
        <w:rPr>
          <w:rFonts w:ascii="Calibri" w:hAnsi="Calibri"/>
          <w:b/>
        </w:rPr>
        <w:t>²</w:t>
      </w:r>
      <w:r w:rsidRPr="005C0924">
        <w:rPr>
          <w:b/>
        </w:rPr>
        <w:t xml:space="preserve"> aastas, </w:t>
      </w:r>
      <w:r w:rsidR="00CF576F" w:rsidRPr="005C0924">
        <w:t xml:space="preserve">on hinnatud järgmiselt: </w:t>
      </w:r>
    </w:p>
    <w:p w:rsidR="004B0D7A" w:rsidRPr="005C0924" w:rsidRDefault="00C60479" w:rsidP="002F4A30">
      <w:pPr>
        <w:pStyle w:val="ListParagraph"/>
        <w:numPr>
          <w:ilvl w:val="0"/>
          <w:numId w:val="45"/>
        </w:numPr>
      </w:pPr>
      <w:r w:rsidRPr="005C0924">
        <w:t xml:space="preserve">Teenuste kulud </w:t>
      </w:r>
      <w:r w:rsidR="00A428A0" w:rsidRPr="005C0924">
        <w:t xml:space="preserve">ca 50 eurot/m² aastas sõltudes hoone eripärast </w:t>
      </w:r>
      <w:r w:rsidR="009B6141" w:rsidRPr="005C0924">
        <w:t>(</w:t>
      </w:r>
      <w:r w:rsidR="00A428A0" w:rsidRPr="005C0924">
        <w:t>rahastamismudelite analüüsis koostöös RKAS-</w:t>
      </w:r>
      <w:r w:rsidR="00BF405F" w:rsidRPr="005C0924">
        <w:t>i</w:t>
      </w:r>
      <w:r w:rsidR="00A428A0" w:rsidRPr="005C0924">
        <w:t xml:space="preserve">ga </w:t>
      </w:r>
      <w:r w:rsidR="009B6141" w:rsidRPr="005C0924">
        <w:t xml:space="preserve">prognoositud </w:t>
      </w:r>
      <w:r w:rsidR="00A428A0" w:rsidRPr="005C0924">
        <w:t>kulud 34-55 eurot/m² aastas</w:t>
      </w:r>
      <w:r w:rsidR="004B0D7A" w:rsidRPr="005C0924">
        <w:t>).</w:t>
      </w:r>
    </w:p>
    <w:p w:rsidR="00F0440D" w:rsidRPr="005C0924" w:rsidRDefault="004B0D7A" w:rsidP="002F4A30">
      <w:pPr>
        <w:pStyle w:val="ListParagraph"/>
        <w:numPr>
          <w:ilvl w:val="0"/>
          <w:numId w:val="45"/>
        </w:numPr>
      </w:pPr>
      <w:r w:rsidRPr="005C0924">
        <w:t>R</w:t>
      </w:r>
      <w:r w:rsidR="001861FE" w:rsidRPr="005C0924">
        <w:t xml:space="preserve">emondikulud </w:t>
      </w:r>
      <w:r w:rsidR="00A428A0" w:rsidRPr="005C0924">
        <w:t xml:space="preserve">ca </w:t>
      </w:r>
      <w:r w:rsidR="001861FE" w:rsidRPr="005C0924">
        <w:t>30 eurot/m² aastas (</w:t>
      </w:r>
      <w:r w:rsidR="00A428A0" w:rsidRPr="005C0924">
        <w:t>rahastamismudelite analüüsis koostöös RKAS-</w:t>
      </w:r>
      <w:r w:rsidR="00BF405F" w:rsidRPr="005C0924">
        <w:t>i</w:t>
      </w:r>
      <w:r w:rsidR="00A428A0" w:rsidRPr="005C0924">
        <w:t>ga prognoositud kulud</w:t>
      </w:r>
      <w:r w:rsidR="001861FE" w:rsidRPr="005C0924">
        <w:t xml:space="preserve">). </w:t>
      </w:r>
    </w:p>
    <w:p w:rsidR="00E218C0" w:rsidRPr="005C0924" w:rsidRDefault="00E218C0" w:rsidP="002F4A30">
      <w:pPr>
        <w:pStyle w:val="ListParagraph"/>
        <w:numPr>
          <w:ilvl w:val="0"/>
          <w:numId w:val="45"/>
        </w:numPr>
      </w:pPr>
      <w:r w:rsidRPr="005C0924">
        <w:t>Kapitalikulud olemasolevate</w:t>
      </w:r>
      <w:r w:rsidR="004B0D7A" w:rsidRPr="005C0924">
        <w:t>l</w:t>
      </w:r>
      <w:r w:rsidRPr="005C0924">
        <w:t xml:space="preserve"> pindadel </w:t>
      </w:r>
      <w:r w:rsidR="00A428A0" w:rsidRPr="005C0924">
        <w:t xml:space="preserve">hinnangulise keskmisena </w:t>
      </w:r>
      <w:r w:rsidR="00A428A0" w:rsidRPr="005C0924">
        <w:rPr>
          <w:b/>
        </w:rPr>
        <w:t>36 eurot/m² aastas</w:t>
      </w:r>
      <w:r w:rsidR="00A428A0" w:rsidRPr="005C0924">
        <w:t xml:space="preserve">. </w:t>
      </w:r>
      <w:r w:rsidR="004B0D7A" w:rsidRPr="005C0924">
        <w:t xml:space="preserve">Kapitalikulud </w:t>
      </w:r>
      <w:r w:rsidRPr="005C0924">
        <w:t>sõltuvad tehtud investeeringust ja rakendatavast üürimudelist</w:t>
      </w:r>
      <w:r w:rsidR="004B0D7A" w:rsidRPr="005C0924">
        <w:t xml:space="preserve">, </w:t>
      </w:r>
      <w:r w:rsidR="00666499" w:rsidRPr="005C0924">
        <w:t>n</w:t>
      </w:r>
      <w:r w:rsidR="00A21522" w:rsidRPr="005C0924">
        <w:t xml:space="preserve">eed võivad </w:t>
      </w:r>
      <w:r w:rsidR="004B0D7A" w:rsidRPr="005C0924">
        <w:t>ulatuda tasemelt 0</w:t>
      </w:r>
      <w:r w:rsidR="00A21522" w:rsidRPr="005C0924">
        <w:t>,1 eurot</w:t>
      </w:r>
      <w:r w:rsidR="005C0924" w:rsidRPr="005C0924">
        <w:t>/m²/</w:t>
      </w:r>
      <w:r w:rsidR="00A21522" w:rsidRPr="005C0924">
        <w:t>aastas</w:t>
      </w:r>
      <w:r w:rsidR="00666499" w:rsidRPr="005C0924">
        <w:t xml:space="preserve"> (kui on rakendatud kulupõhist üürimudelit ja hooned jäävad riigi bilanssi)</w:t>
      </w:r>
      <w:r w:rsidR="00A21522" w:rsidRPr="005C0924">
        <w:t xml:space="preserve"> kuni </w:t>
      </w:r>
      <w:r w:rsidR="004B0D7A" w:rsidRPr="005C0924">
        <w:t xml:space="preserve">tasemeni </w:t>
      </w:r>
      <w:r w:rsidR="005C0924" w:rsidRPr="005C0924">
        <w:t>100 eurot/</w:t>
      </w:r>
      <w:r w:rsidR="00A21522" w:rsidRPr="005C0924">
        <w:t>m²</w:t>
      </w:r>
      <w:r w:rsidR="005C0924" w:rsidRPr="005C0924">
        <w:t>/</w:t>
      </w:r>
      <w:r w:rsidR="00A21522" w:rsidRPr="005C0924">
        <w:t>aastas ja enamgi (nt täisrekonstrueerimisel investe</w:t>
      </w:r>
      <w:r w:rsidR="005C0924" w:rsidRPr="005C0924">
        <w:t>eringu algväärtusega 1500 eurot/</w:t>
      </w:r>
      <w:r w:rsidR="00A21522" w:rsidRPr="005C0924">
        <w:t>m², tagasimaksmise</w:t>
      </w:r>
      <w:r w:rsidR="00A428A0" w:rsidRPr="005C0924">
        <w:t>ga</w:t>
      </w:r>
      <w:r w:rsidR="00A21522" w:rsidRPr="005C0924">
        <w:t xml:space="preserve"> </w:t>
      </w:r>
      <w:r w:rsidR="009B6141" w:rsidRPr="005C0924">
        <w:t>2</w:t>
      </w:r>
      <w:r w:rsidR="00A21522" w:rsidRPr="005C0924">
        <w:t>0-aasta</w:t>
      </w:r>
      <w:r w:rsidR="00A428A0" w:rsidRPr="005C0924">
        <w:t xml:space="preserve"> jooksul</w:t>
      </w:r>
      <w:r w:rsidR="00A21522" w:rsidRPr="005C0924">
        <w:t xml:space="preserve"> tulumääraga 5,5% on aastamakse 12</w:t>
      </w:r>
      <w:r w:rsidR="009B6141" w:rsidRPr="005C0924">
        <w:t>4</w:t>
      </w:r>
      <w:r w:rsidR="00A21522" w:rsidRPr="005C0924">
        <w:t xml:space="preserve"> </w:t>
      </w:r>
      <w:r w:rsidR="004B0D7A" w:rsidRPr="005C0924">
        <w:t xml:space="preserve">eurot). </w:t>
      </w:r>
    </w:p>
    <w:p w:rsidR="00666499" w:rsidRPr="005C0924" w:rsidRDefault="00B3789F" w:rsidP="002F4A30">
      <w:pPr>
        <w:pStyle w:val="ListParagraph"/>
        <w:numPr>
          <w:ilvl w:val="0"/>
          <w:numId w:val="45"/>
        </w:numPr>
      </w:pPr>
      <w:r w:rsidRPr="005C0924">
        <w:t xml:space="preserve">Täiendavad </w:t>
      </w:r>
      <w:r w:rsidR="00CF576F" w:rsidRPr="005C0924">
        <w:t xml:space="preserve">aastamakseks teisendatud </w:t>
      </w:r>
      <w:r w:rsidRPr="005C0924">
        <w:t>k</w:t>
      </w:r>
      <w:r w:rsidR="00666499" w:rsidRPr="005C0924">
        <w:t xml:space="preserve">apitalikulud </w:t>
      </w:r>
      <w:r w:rsidR="00CF576F" w:rsidRPr="005C0924">
        <w:t xml:space="preserve">on </w:t>
      </w:r>
      <w:r w:rsidR="009B6141" w:rsidRPr="005C0924">
        <w:rPr>
          <w:b/>
        </w:rPr>
        <w:t>14</w:t>
      </w:r>
      <w:r w:rsidR="005C0924" w:rsidRPr="005C0924">
        <w:rPr>
          <w:b/>
        </w:rPr>
        <w:t xml:space="preserve"> eurot/m²/</w:t>
      </w:r>
      <w:r w:rsidR="00CF576F" w:rsidRPr="005C0924">
        <w:rPr>
          <w:b/>
        </w:rPr>
        <w:t>aastas</w:t>
      </w:r>
      <w:r w:rsidR="00CF576F" w:rsidRPr="005C0924">
        <w:t xml:space="preserve"> (arvestades </w:t>
      </w:r>
      <w:r w:rsidRPr="005C0924">
        <w:t xml:space="preserve">investeeringuvajadust </w:t>
      </w:r>
      <w:r w:rsidR="005C0924" w:rsidRPr="005C0924">
        <w:t>166 eurot/</w:t>
      </w:r>
      <w:r w:rsidR="00CF576F" w:rsidRPr="005C0924">
        <w:t xml:space="preserve">m², </w:t>
      </w:r>
      <w:r w:rsidR="005C0924" w:rsidRPr="005C0924">
        <w:t>(</w:t>
      </w:r>
      <w:r w:rsidR="00CF576F" w:rsidRPr="005C0924">
        <w:t xml:space="preserve">vt ptk 3.2.3) tagasimaksmisega </w:t>
      </w:r>
      <w:r w:rsidR="009B6141" w:rsidRPr="005C0924">
        <w:t>2</w:t>
      </w:r>
      <w:r w:rsidR="00666499" w:rsidRPr="005C0924">
        <w:t>0-aasta</w:t>
      </w:r>
      <w:r w:rsidR="00CF576F" w:rsidRPr="005C0924">
        <w:t xml:space="preserve"> jooksul </w:t>
      </w:r>
      <w:r w:rsidR="00666499" w:rsidRPr="005C0924">
        <w:t>tulumääraga 5,5%</w:t>
      </w:r>
      <w:r w:rsidR="00CF576F" w:rsidRPr="005C0924">
        <w:t>).</w:t>
      </w:r>
      <w:r w:rsidR="00666499" w:rsidRPr="005C0924">
        <w:t xml:space="preserve"> </w:t>
      </w:r>
    </w:p>
    <w:p w:rsidR="005C0924" w:rsidRPr="005C0924" w:rsidRDefault="004F50EF" w:rsidP="004F50EF">
      <w:pPr>
        <w:rPr>
          <w:color w:val="000000"/>
        </w:rPr>
      </w:pPr>
      <w:r w:rsidRPr="005C0924">
        <w:rPr>
          <w:color w:val="000000"/>
        </w:rPr>
        <w:t>Selleks, et viia kinnisvara vajadused kooskõlla eelarve võimalustega on kaks peamist meedet</w:t>
      </w:r>
      <w:r w:rsidR="005C0924" w:rsidRPr="005C0924">
        <w:rPr>
          <w:color w:val="000000"/>
        </w:rPr>
        <w:t>, mille mõlema rakendamisele tuleb panustada:</w:t>
      </w:r>
    </w:p>
    <w:p w:rsidR="004F50EF" w:rsidRPr="005C0924" w:rsidRDefault="004F50EF" w:rsidP="004F50EF">
      <w:pPr>
        <w:pStyle w:val="ListParagraph"/>
        <w:numPr>
          <w:ilvl w:val="0"/>
          <w:numId w:val="0"/>
        </w:numPr>
        <w:ind w:left="720"/>
        <w:rPr>
          <w:color w:val="000000"/>
        </w:rPr>
      </w:pPr>
      <w:r w:rsidRPr="005C0924">
        <w:rPr>
          <w:color w:val="000000"/>
        </w:rPr>
        <w:t xml:space="preserve">1) kasutatava pinna oluline vähendamine ehk optimeerimine, mida on võimalik läbi viia ruumikasutuse ümberkorraldamisega ja põhitegevuse tõhustamisega (avalike teenuste ümber korraldamisega). </w:t>
      </w:r>
    </w:p>
    <w:p w:rsidR="004F50EF" w:rsidRPr="005C0924" w:rsidRDefault="004F50EF" w:rsidP="004F50EF">
      <w:pPr>
        <w:pStyle w:val="ListParagraph"/>
        <w:numPr>
          <w:ilvl w:val="0"/>
          <w:numId w:val="0"/>
        </w:numPr>
        <w:ind w:left="720"/>
      </w:pPr>
      <w:r w:rsidRPr="005C0924">
        <w:rPr>
          <w:color w:val="000000"/>
        </w:rPr>
        <w:t>2) väga täpsed, kestlikkusele ja elueakulude kokkuhoiule suunatud investeerimisotsused.</w:t>
      </w:r>
    </w:p>
    <w:p w:rsidR="004F50EF" w:rsidRPr="005C0924" w:rsidRDefault="004F50EF" w:rsidP="004F50EF">
      <w:r w:rsidRPr="005C0924">
        <w:t xml:space="preserve">Mõlema meetme rakendamine eeldab senisest korrastatumat juhtimissüsteemi, protsesside parandamist ja keskse koordineerimise võimekuse kasvatamist, millest oli juttu ka käesoleva aruande teises peatükis.   </w:t>
      </w:r>
    </w:p>
    <w:p w:rsidR="004F50EF" w:rsidRDefault="004F50EF" w:rsidP="004F50EF">
      <w:r w:rsidRPr="005C0924">
        <w:t>Lisaks eeltoodule tuleb otsida võimalusi valitsussektori väliste investeeringute tegemiseks, kuna majandamiskulude osakaal võrreldes investeeringutega proportsionaalselt kasvab ja seeläbi vähendab valitsussektori investeerimisvõimekust.</w:t>
      </w:r>
      <w:r>
        <w:t xml:space="preserve"> </w:t>
      </w:r>
    </w:p>
    <w:p w:rsidR="00CC7DD6" w:rsidRPr="00EE5B87" w:rsidRDefault="00CC7DD6" w:rsidP="00161C57">
      <w:pPr>
        <w:pStyle w:val="Pealkiri3"/>
      </w:pPr>
      <w:bookmarkStart w:id="418" w:name="_Toc421202247"/>
      <w:bookmarkStart w:id="419" w:name="_Toc433980752"/>
      <w:r>
        <w:t xml:space="preserve">Analüüsi </w:t>
      </w:r>
      <w:r w:rsidRPr="00161C57">
        <w:t>küsimused</w:t>
      </w:r>
      <w:bookmarkEnd w:id="418"/>
      <w:bookmarkEnd w:id="419"/>
      <w:r w:rsidRPr="00EE5B87">
        <w:t xml:space="preserve"> </w:t>
      </w:r>
    </w:p>
    <w:p w:rsidR="00CC7DD6" w:rsidRDefault="00CC7DD6" w:rsidP="00611B1A">
      <w:pPr>
        <w:spacing w:before="0"/>
      </w:pPr>
      <w:r w:rsidRPr="00EE5B87">
        <w:t>Tulenevalt eespool esitatud probleemi</w:t>
      </w:r>
      <w:r>
        <w:t>de</w:t>
      </w:r>
      <w:r w:rsidRPr="00EE5B87">
        <w:t xml:space="preserve">st anti Rahandusministeeriumile </w:t>
      </w:r>
      <w:r w:rsidR="00646745">
        <w:t>ülesanne</w:t>
      </w:r>
      <w:r w:rsidRPr="00EE5B87">
        <w:t xml:space="preserve"> viia läbi analüüs eesmärgiga </w:t>
      </w:r>
      <w:r w:rsidR="00646745">
        <w:t xml:space="preserve">esitada ettepanekud </w:t>
      </w:r>
      <w:r w:rsidRPr="001A7A4A">
        <w:rPr>
          <w:b/>
        </w:rPr>
        <w:t>keskvalitsuse riigieelarveliste asutuste</w:t>
      </w:r>
      <w:r w:rsidRPr="00EE5B87">
        <w:t xml:space="preserve"> </w:t>
      </w:r>
      <w:r w:rsidRPr="00646745">
        <w:t>(</w:t>
      </w:r>
      <w:r w:rsidR="001A7A4A">
        <w:t xml:space="preserve">edaspidi – </w:t>
      </w:r>
      <w:r w:rsidRPr="00646745">
        <w:t>riigiasutuste)</w:t>
      </w:r>
      <w:r>
        <w:t xml:space="preserve"> hoonestatud kinnisvara vajaduste</w:t>
      </w:r>
      <w:r w:rsidRPr="00EE5B87">
        <w:t xml:space="preserve"> vastavusse </w:t>
      </w:r>
      <w:r>
        <w:t xml:space="preserve">viimiseks </w:t>
      </w:r>
      <w:r w:rsidRPr="00EE5B87">
        <w:t xml:space="preserve">riigieelarvest ja </w:t>
      </w:r>
      <w:r>
        <w:t>valitsussektor</w:t>
      </w:r>
      <w:r w:rsidRPr="00EE5B87">
        <w:t>i eelarve tasakaalust tulenevate võimalustega.</w:t>
      </w:r>
    </w:p>
    <w:p w:rsidR="00646745" w:rsidRPr="00EE5B87" w:rsidRDefault="00646745" w:rsidP="00611B1A">
      <w:pPr>
        <w:spacing w:before="0"/>
      </w:pPr>
    </w:p>
    <w:p w:rsidR="00CC7DD6" w:rsidRDefault="00CC7DD6" w:rsidP="00611B1A">
      <w:pPr>
        <w:spacing w:before="0"/>
      </w:pPr>
      <w:r w:rsidRPr="00EE5B87">
        <w:t>Selleks, et leida praktikas toimiv, vajadusi ja võimalusi arvestav tegevuskava, võeti analüüsi ala</w:t>
      </w:r>
      <w:r>
        <w:t>m</w:t>
      </w:r>
      <w:r w:rsidRPr="00EE5B87">
        <w:t>eesmärkideks lahendada järgmised küsimused:</w:t>
      </w:r>
    </w:p>
    <w:p w:rsidR="00CC7DD6" w:rsidRPr="00EE5B87" w:rsidRDefault="00CC7DD6" w:rsidP="002F4A30">
      <w:pPr>
        <w:pStyle w:val="ListParagraph"/>
        <w:numPr>
          <w:ilvl w:val="0"/>
          <w:numId w:val="18"/>
        </w:numPr>
        <w:spacing w:before="0" w:after="0"/>
      </w:pPr>
      <w:r w:rsidRPr="00EE5B87">
        <w:t>Millised on riigiasut</w:t>
      </w:r>
      <w:r>
        <w:t>us</w:t>
      </w:r>
      <w:r w:rsidRPr="00EE5B87">
        <w:t>te tulevased vajadused hoonestatud kinnisvarale? Sealhulgas:</w:t>
      </w:r>
    </w:p>
    <w:p w:rsidR="00CC7DD6" w:rsidRPr="00EE5B87" w:rsidRDefault="00CC7DD6" w:rsidP="002F4A30">
      <w:pPr>
        <w:pStyle w:val="ListParagraph"/>
        <w:numPr>
          <w:ilvl w:val="1"/>
          <w:numId w:val="18"/>
        </w:numPr>
        <w:spacing w:before="0" w:after="0"/>
      </w:pPr>
      <w:r w:rsidRPr="00EE5B87">
        <w:t xml:space="preserve">Millised on riigi kinnisvarasse investeerimise vajadused arvestades kvaliteedi tõstmist </w:t>
      </w:r>
      <w:r w:rsidR="008C674F">
        <w:t xml:space="preserve">piisavale </w:t>
      </w:r>
      <w:r w:rsidRPr="00EE5B87">
        <w:t>tasemele?</w:t>
      </w:r>
      <w:r w:rsidR="00F96800">
        <w:t xml:space="preserve"> </w:t>
      </w:r>
    </w:p>
    <w:p w:rsidR="00CC7DD6" w:rsidRPr="00EE5B87" w:rsidRDefault="00CC7DD6" w:rsidP="002F4A30">
      <w:pPr>
        <w:pStyle w:val="ListParagraph"/>
        <w:numPr>
          <w:ilvl w:val="1"/>
          <w:numId w:val="18"/>
        </w:numPr>
        <w:spacing w:before="0" w:after="0"/>
      </w:pPr>
      <w:r w:rsidRPr="00EE5B87">
        <w:t xml:space="preserve">Milline on </w:t>
      </w:r>
      <w:r w:rsidR="00646745">
        <w:t xml:space="preserve">soovitav ja otstarbekaim </w:t>
      </w:r>
      <w:r w:rsidRPr="00EE5B87">
        <w:t>korraldusmudel?</w:t>
      </w:r>
    </w:p>
    <w:p w:rsidR="00CC7DD6" w:rsidRPr="00EE5B87" w:rsidRDefault="00CC7DD6" w:rsidP="002F4A30">
      <w:pPr>
        <w:pStyle w:val="ListParagraph"/>
        <w:numPr>
          <w:ilvl w:val="1"/>
          <w:numId w:val="18"/>
        </w:numPr>
        <w:spacing w:before="0" w:after="0"/>
      </w:pPr>
      <w:r w:rsidRPr="00EE5B87">
        <w:t>Kui palju</w:t>
      </w:r>
      <w:r w:rsidR="001C34FE">
        <w:t xml:space="preserve"> on</w:t>
      </w:r>
      <w:r w:rsidRPr="00EE5B87">
        <w:t xml:space="preserve"> või</w:t>
      </w:r>
      <w:r w:rsidR="001C34FE">
        <w:t>malik teenida tulu mittevajalik</w:t>
      </w:r>
      <w:r w:rsidRPr="00EE5B87">
        <w:t>u kinnisvara realiseerimisest?</w:t>
      </w:r>
    </w:p>
    <w:p w:rsidR="00CC7DD6" w:rsidRPr="00EE5B87" w:rsidRDefault="00CC7DD6" w:rsidP="002F4A30">
      <w:pPr>
        <w:pStyle w:val="ListParagraph"/>
        <w:numPr>
          <w:ilvl w:val="0"/>
          <w:numId w:val="18"/>
        </w:numPr>
        <w:spacing w:before="0" w:after="0"/>
      </w:pPr>
      <w:r w:rsidRPr="00EE5B87">
        <w:t>Kui palju on riigieelarves raha hoonestatud kinnisvara ülalpidamiseks?</w:t>
      </w:r>
    </w:p>
    <w:p w:rsidR="00CC7DD6" w:rsidRPr="00EE5B87" w:rsidRDefault="00CC7DD6" w:rsidP="002F4A30">
      <w:pPr>
        <w:pStyle w:val="ListParagraph"/>
        <w:numPr>
          <w:ilvl w:val="0"/>
          <w:numId w:val="18"/>
        </w:numPr>
        <w:spacing w:before="0" w:after="0"/>
      </w:pPr>
      <w:r w:rsidRPr="00EE5B87">
        <w:t xml:space="preserve">Millised on võimalused kaasata investeeringuid viisil, kus selle mõju </w:t>
      </w:r>
      <w:r>
        <w:t>valitsussektor</w:t>
      </w:r>
      <w:r w:rsidRPr="00EE5B87">
        <w:t>i tasakaalule ja võlakoormisele on neutraalne</w:t>
      </w:r>
      <w:r>
        <w:t xml:space="preserve"> või positiivne</w:t>
      </w:r>
      <w:r w:rsidRPr="00EE5B87">
        <w:t>?</w:t>
      </w:r>
    </w:p>
    <w:p w:rsidR="00CC7DD6" w:rsidRPr="00EE5B87" w:rsidRDefault="00CC7DD6" w:rsidP="002F4A30">
      <w:pPr>
        <w:pStyle w:val="ListParagraph"/>
        <w:numPr>
          <w:ilvl w:val="0"/>
          <w:numId w:val="18"/>
        </w:numPr>
        <w:spacing w:before="0" w:after="0"/>
      </w:pPr>
      <w:r w:rsidRPr="00EE5B87">
        <w:t>Milline on majanduslikult aktsepteeritav tegevuskava, mis arvestab:</w:t>
      </w:r>
    </w:p>
    <w:p w:rsidR="00CC7DD6" w:rsidRPr="00EE5B87" w:rsidRDefault="00CC7DD6" w:rsidP="002F4A30">
      <w:pPr>
        <w:pStyle w:val="ListParagraph"/>
        <w:numPr>
          <w:ilvl w:val="1"/>
          <w:numId w:val="18"/>
        </w:numPr>
        <w:spacing w:before="0" w:after="0"/>
      </w:pPr>
      <w:r w:rsidRPr="00EE5B87">
        <w:t xml:space="preserve">Vabariigi Valitsuse valdkondlikke prioriteete, </w:t>
      </w:r>
    </w:p>
    <w:p w:rsidR="00CC7DD6" w:rsidRPr="00EE5B87" w:rsidRDefault="00CC7DD6" w:rsidP="002F4A30">
      <w:pPr>
        <w:pStyle w:val="ListParagraph"/>
        <w:numPr>
          <w:ilvl w:val="1"/>
          <w:numId w:val="18"/>
        </w:numPr>
        <w:spacing w:before="0" w:after="0"/>
      </w:pPr>
      <w:r w:rsidRPr="00EE5B87">
        <w:t xml:space="preserve">riigieelarvest tulenevaid võimalusi, </w:t>
      </w:r>
    </w:p>
    <w:p w:rsidR="00CC7DD6" w:rsidRPr="00EE5B87" w:rsidRDefault="00CC7DD6" w:rsidP="002F4A30">
      <w:pPr>
        <w:pStyle w:val="ListParagraph"/>
        <w:numPr>
          <w:ilvl w:val="1"/>
          <w:numId w:val="18"/>
        </w:numPr>
        <w:spacing w:before="0" w:after="0"/>
      </w:pPr>
      <w:r w:rsidRPr="00EE5B87">
        <w:t>võimalusi kaasata valitsussektori tasakaal</w:t>
      </w:r>
      <w:r w:rsidR="00646745">
        <w:t>u</w:t>
      </w:r>
      <w:r w:rsidRPr="00EE5B87">
        <w:t xml:space="preserve"> väliseid investeeringuid,</w:t>
      </w:r>
    </w:p>
    <w:p w:rsidR="00CC7DD6" w:rsidRDefault="00CC7DD6" w:rsidP="002F4A30">
      <w:pPr>
        <w:pStyle w:val="ListParagraph"/>
        <w:numPr>
          <w:ilvl w:val="1"/>
          <w:numId w:val="18"/>
        </w:numPr>
        <w:spacing w:before="0" w:after="0"/>
      </w:pPr>
      <w:r w:rsidRPr="00EE5B87">
        <w:t>valitsejate vajadusi.</w:t>
      </w:r>
    </w:p>
    <w:p w:rsidR="00611B1A" w:rsidRPr="00EE5B87" w:rsidRDefault="00611B1A" w:rsidP="00611B1A">
      <w:pPr>
        <w:pStyle w:val="ListParagraph"/>
        <w:numPr>
          <w:ilvl w:val="0"/>
          <w:numId w:val="0"/>
        </w:numPr>
        <w:spacing w:before="0" w:after="0"/>
        <w:ind w:left="1440"/>
      </w:pPr>
    </w:p>
    <w:p w:rsidR="00CC7DD6" w:rsidRPr="00EE5B87" w:rsidRDefault="00CC7DD6" w:rsidP="00611B1A">
      <w:pPr>
        <w:pStyle w:val="Pealkiri3"/>
        <w:spacing w:before="0" w:after="0"/>
      </w:pPr>
      <w:bookmarkStart w:id="420" w:name="_Toc421202248"/>
      <w:bookmarkStart w:id="421" w:name="_Ref427307340"/>
      <w:bookmarkStart w:id="422" w:name="_Toc433980753"/>
      <w:r w:rsidRPr="00EE5B87">
        <w:t xml:space="preserve">Analüüsitava </w:t>
      </w:r>
      <w:r w:rsidRPr="00161C57">
        <w:t>portfelli</w:t>
      </w:r>
      <w:r w:rsidRPr="00EE5B87">
        <w:t xml:space="preserve"> </w:t>
      </w:r>
      <w:r w:rsidRPr="00B35D2F">
        <w:t>kirjeldus</w:t>
      </w:r>
      <w:bookmarkEnd w:id="420"/>
      <w:bookmarkEnd w:id="421"/>
      <w:bookmarkEnd w:id="422"/>
      <w:r w:rsidRPr="00EE5B87">
        <w:t xml:space="preserve"> </w:t>
      </w:r>
    </w:p>
    <w:p w:rsidR="00611B1A" w:rsidRDefault="00611B1A" w:rsidP="00611B1A">
      <w:pPr>
        <w:spacing w:before="0"/>
      </w:pPr>
    </w:p>
    <w:p w:rsidR="00CC7DD6" w:rsidRPr="00EE5B87" w:rsidRDefault="00CC7DD6" w:rsidP="00611B1A">
      <w:pPr>
        <w:spacing w:before="0"/>
      </w:pPr>
      <w:r w:rsidRPr="00EE5B87">
        <w:t>Analüüsitud hoonete portfell hõlmas kõiki riigiasutusi seisuga 30.08.</w:t>
      </w:r>
      <w:r>
        <w:t>20</w:t>
      </w:r>
      <w:r w:rsidRPr="00EE5B87">
        <w:t xml:space="preserve">14 (riigi keskvalitsuse riigieelarvelised asutused) v.a. Kaitseministeerium koos valitsemisalaga. </w:t>
      </w:r>
    </w:p>
    <w:p w:rsidR="00CC7DD6" w:rsidRPr="00EE5B87" w:rsidRDefault="00CC7DD6" w:rsidP="00611B1A">
      <w:pPr>
        <w:spacing w:before="0"/>
      </w:pPr>
      <w:r w:rsidRPr="00EE5B87">
        <w:t>Täiendavalt välistati portfellist, sõltumata riigiasutusest, hooned mis:</w:t>
      </w:r>
    </w:p>
    <w:p w:rsidR="00CC7DD6" w:rsidRPr="00EE5B87" w:rsidRDefault="00CC7DD6" w:rsidP="00611B1A">
      <w:pPr>
        <w:pStyle w:val="ListParagraph"/>
        <w:spacing w:before="0" w:after="0"/>
      </w:pPr>
      <w:r w:rsidRPr="00EE5B87">
        <w:t>asuvad väljaspool Eesti Vabariigi territooriumi (saatkonnahooned) või väikesaartel (majakad);</w:t>
      </w:r>
    </w:p>
    <w:p w:rsidR="00CC7DD6" w:rsidRPr="00EE5B87" w:rsidRDefault="00CC7DD6" w:rsidP="00611B1A">
      <w:pPr>
        <w:pStyle w:val="ListParagraph"/>
        <w:spacing w:before="0" w:after="0"/>
      </w:pPr>
      <w:r w:rsidRPr="00EE5B87">
        <w:t>on lammutatud või ehitamisel;</w:t>
      </w:r>
    </w:p>
    <w:p w:rsidR="00CC7DD6" w:rsidRDefault="00CC7DD6" w:rsidP="00611B1A">
      <w:pPr>
        <w:pStyle w:val="ListParagraph"/>
        <w:spacing w:before="0" w:after="0"/>
      </w:pPr>
      <w:r w:rsidRPr="00EE5B87">
        <w:t>eristaatusega hooned</w:t>
      </w:r>
      <w:r>
        <w:t>,</w:t>
      </w:r>
      <w:r w:rsidRPr="00EE5B87">
        <w:t xml:space="preserve"> mille</w:t>
      </w:r>
      <w:r>
        <w:t xml:space="preserve"> </w:t>
      </w:r>
      <w:r w:rsidRPr="00EE5B87">
        <w:t>majandamine pole riigiasutuse kohus</w:t>
      </w:r>
      <w:r>
        <w:t>tus</w:t>
      </w:r>
      <w:r w:rsidRPr="00EE5B87">
        <w:t xml:space="preserve"> (nt Kuremäe kloostri hooned);</w:t>
      </w:r>
    </w:p>
    <w:p w:rsidR="00611B1A" w:rsidRPr="00EE5B87" w:rsidRDefault="00611B1A" w:rsidP="00611B1A">
      <w:pPr>
        <w:pStyle w:val="ListParagraph"/>
        <w:numPr>
          <w:ilvl w:val="0"/>
          <w:numId w:val="0"/>
        </w:numPr>
        <w:spacing w:before="0" w:after="0"/>
        <w:ind w:left="1440"/>
      </w:pPr>
    </w:p>
    <w:p w:rsidR="00CC7DD6" w:rsidRPr="00EE5B87" w:rsidRDefault="00CC7DD6" w:rsidP="00611B1A">
      <w:pPr>
        <w:spacing w:before="0"/>
      </w:pPr>
      <w:r w:rsidRPr="00EE5B87">
        <w:t>Arvestades eeltoodud välistusi on analüüsitud portfelli põhiomadused järgmised:</w:t>
      </w:r>
    </w:p>
    <w:p w:rsidR="00CC7DD6" w:rsidRPr="00EE5B87" w:rsidRDefault="00CC7DD6" w:rsidP="00611B1A">
      <w:pPr>
        <w:spacing w:before="0"/>
        <w:ind w:left="708"/>
      </w:pPr>
      <w:r w:rsidRPr="00EE5B87">
        <w:t xml:space="preserve">Hoonete arv: </w:t>
      </w:r>
      <w:r w:rsidRPr="00EE5B87">
        <w:tab/>
      </w:r>
      <w:r w:rsidRPr="00EE5B87">
        <w:tab/>
        <w:t xml:space="preserve">1 </w:t>
      </w:r>
      <w:r>
        <w:t>700</w:t>
      </w:r>
    </w:p>
    <w:p w:rsidR="00CC7DD6" w:rsidRPr="00EE5B87" w:rsidRDefault="00CC7DD6" w:rsidP="00611B1A">
      <w:pPr>
        <w:spacing w:before="0"/>
        <w:ind w:left="708"/>
        <w:rPr>
          <w:vertAlign w:val="superscript"/>
        </w:rPr>
      </w:pPr>
      <w:r w:rsidRPr="00EE5B87">
        <w:t xml:space="preserve">Registrivarapind: </w:t>
      </w:r>
      <w:r w:rsidRPr="00EE5B87">
        <w:tab/>
        <w:t>1</w:t>
      </w:r>
      <w:r>
        <w:t> 520 258,3</w:t>
      </w:r>
      <w:r w:rsidRPr="00EE5B87">
        <w:t xml:space="preserve"> m</w:t>
      </w:r>
      <w:r w:rsidRPr="00EE5B87">
        <w:rPr>
          <w:vertAlign w:val="superscript"/>
        </w:rPr>
        <w:t xml:space="preserve">2 </w:t>
      </w:r>
    </w:p>
    <w:p w:rsidR="00CC7DD6" w:rsidRPr="006D1292" w:rsidRDefault="00CC7DD6" w:rsidP="00611B1A">
      <w:pPr>
        <w:spacing w:before="0"/>
        <w:ind w:left="708"/>
      </w:pPr>
      <w:r w:rsidRPr="00EE5B87">
        <w:tab/>
        <w:t>Sh RKAS</w:t>
      </w:r>
      <w:r>
        <w:t>-</w:t>
      </w:r>
      <w:r w:rsidRPr="00EE5B87">
        <w:t>il:</w:t>
      </w:r>
      <w:r w:rsidRPr="00EE5B87">
        <w:tab/>
      </w:r>
      <w:r>
        <w:t>499 608,6</w:t>
      </w:r>
      <w:r w:rsidRPr="00EE5B87">
        <w:t xml:space="preserve"> m</w:t>
      </w:r>
      <w:r w:rsidRPr="00EE5B87">
        <w:rPr>
          <w:vertAlign w:val="superscript"/>
        </w:rPr>
        <w:t>2</w:t>
      </w:r>
      <w:r>
        <w:rPr>
          <w:vertAlign w:val="superscript"/>
        </w:rPr>
        <w:t xml:space="preserve"> </w:t>
      </w:r>
      <w:r>
        <w:t>(sh pinnad mida RKAS vahendab)</w:t>
      </w:r>
    </w:p>
    <w:p w:rsidR="00CC7DD6" w:rsidRPr="00EE5B87" w:rsidRDefault="00CC7DD6" w:rsidP="00611B1A">
      <w:pPr>
        <w:spacing w:before="0"/>
        <w:ind w:left="708"/>
      </w:pPr>
      <w:r>
        <w:tab/>
        <w:t>Sh Riigil:</w:t>
      </w:r>
      <w:r>
        <w:tab/>
        <w:t>1 020 649</w:t>
      </w:r>
      <w:r w:rsidRPr="00EE5B87">
        <w:t>, 7 m</w:t>
      </w:r>
      <w:r w:rsidRPr="00EE5B87">
        <w:rPr>
          <w:vertAlign w:val="superscript"/>
        </w:rPr>
        <w:t>2</w:t>
      </w:r>
    </w:p>
    <w:p w:rsidR="00611B1A" w:rsidRDefault="00611B1A" w:rsidP="00611B1A">
      <w:pPr>
        <w:spacing w:before="0"/>
      </w:pPr>
    </w:p>
    <w:p w:rsidR="00A75493" w:rsidRDefault="000873C9" w:rsidP="00611B1A">
      <w:pPr>
        <w:spacing w:before="0"/>
      </w:pPr>
      <w:r>
        <w:t>Alljärgnevas tabelis on esitatud riigile edaspidi vajalik</w:t>
      </w:r>
      <w:r w:rsidR="002E1A84">
        <w:t>e hoonete portfell</w:t>
      </w:r>
      <w:r>
        <w:t xml:space="preserve"> (ei sisalda mittevajalikke hooneid)</w:t>
      </w:r>
      <w:r w:rsidR="00145AF8">
        <w:t>,</w:t>
      </w:r>
      <w:r w:rsidR="002E1A84">
        <w:t xml:space="preserve"> kus on näha vajatav investeeringu maht sõltuvalt hoonete seisukorra tasemest. Hoone seisukorra tasemeid on neli: </w:t>
      </w:r>
      <w:r w:rsidR="00A75493" w:rsidRPr="00A75493">
        <w:t>hinnang „5“ tähendab kaasaegsetele nõuetele vastavat rekonstrueeritud ehitist</w:t>
      </w:r>
      <w:r w:rsidR="00145AF8">
        <w:t>,</w:t>
      </w:r>
      <w:r w:rsidR="00A75493" w:rsidRPr="00A75493">
        <w:t xml:space="preserve"> </w:t>
      </w:r>
      <w:r w:rsidR="00145AF8">
        <w:t>h</w:t>
      </w:r>
      <w:r w:rsidR="00A75493" w:rsidRPr="00A75493">
        <w:t>innang „4“ tähendab rahuldavas seisukorras hoonet (tuleohutus-, tervisekaitse- jm nõuetele vastav, kuid "värskendamist" vajav hoone)</w:t>
      </w:r>
      <w:r w:rsidR="00145AF8">
        <w:t>, h</w:t>
      </w:r>
      <w:r w:rsidR="00A75493" w:rsidRPr="00A75493">
        <w:t>innang „3“ t</w:t>
      </w:r>
      <w:r w:rsidR="00145AF8">
        <w:t>ähendab remonti vajavat hoonet, h</w:t>
      </w:r>
      <w:r w:rsidR="00A75493" w:rsidRPr="00A75493">
        <w:t>innang „2“ rekonstrueerimist ehk kapitaalremonti vajavat hoonet.</w:t>
      </w:r>
      <w:r w:rsidR="00F96800">
        <w:t xml:space="preserve"> </w:t>
      </w:r>
      <w:r w:rsidR="00A75493">
        <w:t>Hinnangu andsid ankeetküsitluse tulemusena igale hoonele valitsejad 2014 a. augustis.</w:t>
      </w:r>
    </w:p>
    <w:p w:rsidR="00567D01" w:rsidRDefault="0048675E">
      <w:r>
        <w:t xml:space="preserve">Vajatava investeeringu maht on esitatud tabelis </w:t>
      </w:r>
      <w:r w:rsidR="00635636">
        <w:t>(</w:t>
      </w:r>
      <w:r w:rsidR="00A85FDC">
        <w:fldChar w:fldCharType="begin"/>
      </w:r>
      <w:r w:rsidR="00635636">
        <w:instrText xml:space="preserve"> REF _Ref427322498 \h </w:instrText>
      </w:r>
      <w:r w:rsidR="00A85FDC">
        <w:fldChar w:fldCharType="separate"/>
      </w:r>
      <w:r w:rsidR="00477322">
        <w:t xml:space="preserve">Tabel </w:t>
      </w:r>
      <w:r w:rsidR="00477322">
        <w:rPr>
          <w:noProof/>
        </w:rPr>
        <w:t>21</w:t>
      </w:r>
      <w:r w:rsidR="00A85FDC">
        <w:fldChar w:fldCharType="end"/>
      </w:r>
      <w:r w:rsidR="00635636">
        <w:t xml:space="preserve">) </w:t>
      </w:r>
      <w:r>
        <w:t>kahe alternatiivina. Esimene alternatiiv (tasemele 4 ja 5) on ühtlasi põhivalik järgnevas analüüsis. Põhivalikus eeldatakse, et ainult põhiseaduslike institutsioonide hooned viiakse tasemele 5 (ehituskvaliteet tasemel A) ja ülejäänud hooned viiakse tasemele 4 (ehituskvaliteet tasemel B)</w:t>
      </w:r>
      <w:r w:rsidR="00145AF8">
        <w:t xml:space="preserve">, mis vastab ehituslikult kõikidele õigusaktidest tulenevatele nõuetele ning on kooskõlas visiooniga </w:t>
      </w:r>
      <w:r>
        <w:t>säästlikult toimiva</w:t>
      </w:r>
      <w:r w:rsidR="00145AF8">
        <w:t>st</w:t>
      </w:r>
      <w:r>
        <w:t xml:space="preserve"> riigi</w:t>
      </w:r>
      <w:r w:rsidR="00145AF8">
        <w:t>st. Teine alternatiiv</w:t>
      </w:r>
      <w:r w:rsidR="00AA0DE5">
        <w:t>,</w:t>
      </w:r>
      <w:r w:rsidR="00145AF8">
        <w:t xml:space="preserve"> kus viiakse kõik hooned tasemele 5</w:t>
      </w:r>
      <w:r w:rsidR="00AA0DE5">
        <w:t>,</w:t>
      </w:r>
      <w:r w:rsidR="00145AF8">
        <w:t xml:space="preserve"> on esitatud näitamaks </w:t>
      </w:r>
      <w:r w:rsidR="00AA0DE5">
        <w:t>kaasneva</w:t>
      </w:r>
      <w:r w:rsidR="00145AF8">
        <w:t xml:space="preserve"> investeeringu vajadust, mis on üle kahe korra suurem võrrelduna esimese alternatiiviga. Põhjuseks asjaolu, et esimeses alternatiivis vastab ca kolmandik portfellist tasemele 4.</w:t>
      </w:r>
    </w:p>
    <w:p w:rsidR="00635636" w:rsidRDefault="00A75493" w:rsidP="00635636">
      <w:pPr>
        <w:pStyle w:val="Caption"/>
      </w:pPr>
      <w:r>
        <w:t xml:space="preserve"> </w:t>
      </w:r>
      <w:bookmarkStart w:id="423" w:name="_Ref427322498"/>
      <w:r w:rsidR="00635636">
        <w:t xml:space="preserve">Tabel </w:t>
      </w:r>
      <w:fldSimple w:instr=" SEQ Tabel \* ARABIC ">
        <w:r w:rsidR="00477322">
          <w:rPr>
            <w:noProof/>
          </w:rPr>
          <w:t>21</w:t>
        </w:r>
      </w:fldSimple>
      <w:bookmarkEnd w:id="423"/>
      <w:r w:rsidR="00635636">
        <w:t>. Vajalik investeeringu maht riigi hoonetesse</w:t>
      </w:r>
    </w:p>
    <w:tbl>
      <w:tblPr>
        <w:tblW w:w="8578" w:type="dxa"/>
        <w:jc w:val="center"/>
        <w:tblInd w:w="56" w:type="dxa"/>
        <w:tblCellMar>
          <w:left w:w="70" w:type="dxa"/>
          <w:right w:w="70" w:type="dxa"/>
        </w:tblCellMar>
        <w:tblLook w:val="04A0"/>
      </w:tblPr>
      <w:tblGrid>
        <w:gridCol w:w="1400"/>
        <w:gridCol w:w="1140"/>
        <w:gridCol w:w="1020"/>
        <w:gridCol w:w="2052"/>
        <w:gridCol w:w="685"/>
        <w:gridCol w:w="1596"/>
        <w:gridCol w:w="685"/>
      </w:tblGrid>
      <w:tr w:rsidR="00FA1E35" w:rsidRPr="00FA1E35" w:rsidTr="00635636">
        <w:trPr>
          <w:trHeight w:val="330"/>
          <w:jc w:val="center"/>
        </w:trPr>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A1E35" w:rsidRPr="00FA1E35" w:rsidRDefault="00FA1E35" w:rsidP="00FA1E35">
            <w:pPr>
              <w:spacing w:before="0"/>
              <w:jc w:val="center"/>
              <w:rPr>
                <w:rFonts w:eastAsia="Times New Roman"/>
                <w:b/>
                <w:bCs/>
                <w:color w:val="000000"/>
                <w:lang w:eastAsia="et-EE"/>
              </w:rPr>
            </w:pPr>
            <w:r w:rsidRPr="00FA1E35">
              <w:rPr>
                <w:rFonts w:eastAsia="Times New Roman"/>
                <w:b/>
                <w:bCs/>
                <w:color w:val="000000"/>
                <w:lang w:eastAsia="et-EE"/>
              </w:rPr>
              <w:t xml:space="preserve">Seisukorra </w:t>
            </w:r>
            <w:r>
              <w:rPr>
                <w:rFonts w:eastAsia="Times New Roman"/>
                <w:b/>
                <w:bCs/>
                <w:color w:val="000000"/>
                <w:lang w:eastAsia="et-EE"/>
              </w:rPr>
              <w:t>tase</w:t>
            </w:r>
          </w:p>
        </w:tc>
        <w:tc>
          <w:tcPr>
            <w:tcW w:w="2160" w:type="dxa"/>
            <w:gridSpan w:val="2"/>
            <w:tcBorders>
              <w:top w:val="single" w:sz="4" w:space="0" w:color="auto"/>
              <w:left w:val="single" w:sz="4" w:space="0" w:color="auto"/>
              <w:bottom w:val="nil"/>
              <w:right w:val="nil"/>
            </w:tcBorders>
            <w:shd w:val="clear" w:color="auto" w:fill="auto"/>
            <w:noWrap/>
            <w:vAlign w:val="center"/>
            <w:hideMark/>
          </w:tcPr>
          <w:p w:rsidR="00FA1E35" w:rsidRPr="00FA1E35" w:rsidRDefault="00FA1E35" w:rsidP="00FA1E35">
            <w:pPr>
              <w:spacing w:before="0"/>
              <w:jc w:val="left"/>
              <w:rPr>
                <w:rFonts w:eastAsia="Times New Roman"/>
                <w:b/>
                <w:bCs/>
                <w:color w:val="000000"/>
                <w:lang w:eastAsia="et-EE"/>
              </w:rPr>
            </w:pPr>
            <w:r w:rsidRPr="00FA1E35">
              <w:rPr>
                <w:rFonts w:eastAsia="Times New Roman"/>
                <w:b/>
                <w:bCs/>
                <w:color w:val="000000"/>
                <w:lang w:eastAsia="et-EE"/>
              </w:rPr>
              <w:t>Registrivara pind</w:t>
            </w:r>
          </w:p>
        </w:tc>
        <w:tc>
          <w:tcPr>
            <w:tcW w:w="5018" w:type="dxa"/>
            <w:gridSpan w:val="4"/>
            <w:tcBorders>
              <w:top w:val="single" w:sz="4" w:space="0" w:color="auto"/>
              <w:left w:val="single" w:sz="4" w:space="0" w:color="auto"/>
              <w:bottom w:val="nil"/>
              <w:right w:val="single" w:sz="4" w:space="0" w:color="auto"/>
            </w:tcBorders>
            <w:shd w:val="clear" w:color="auto" w:fill="auto"/>
            <w:noWrap/>
            <w:vAlign w:val="center"/>
            <w:hideMark/>
          </w:tcPr>
          <w:p w:rsidR="00FA1E35" w:rsidRPr="00FA1E35" w:rsidRDefault="00FA1E35" w:rsidP="00FA1E35">
            <w:pPr>
              <w:spacing w:before="0"/>
              <w:jc w:val="center"/>
              <w:rPr>
                <w:rFonts w:eastAsia="Times New Roman"/>
                <w:b/>
                <w:bCs/>
                <w:color w:val="000000"/>
                <w:lang w:eastAsia="et-EE"/>
              </w:rPr>
            </w:pPr>
            <w:r w:rsidRPr="00FA1E35">
              <w:rPr>
                <w:rFonts w:eastAsia="Times New Roman"/>
                <w:b/>
                <w:bCs/>
                <w:color w:val="000000"/>
                <w:lang w:eastAsia="et-EE"/>
              </w:rPr>
              <w:t>Vajatav investeering</w:t>
            </w:r>
          </w:p>
        </w:tc>
      </w:tr>
      <w:tr w:rsidR="00FA1E35" w:rsidRPr="00FA1E35" w:rsidTr="00635636">
        <w:trPr>
          <w:trHeight w:val="330"/>
          <w:jc w:val="center"/>
        </w:trPr>
        <w:tc>
          <w:tcPr>
            <w:tcW w:w="1400" w:type="dxa"/>
            <w:vMerge/>
            <w:tcBorders>
              <w:top w:val="nil"/>
              <w:left w:val="single" w:sz="4" w:space="0" w:color="auto"/>
              <w:bottom w:val="single" w:sz="4" w:space="0" w:color="000000"/>
              <w:right w:val="single" w:sz="4" w:space="0" w:color="auto"/>
            </w:tcBorders>
            <w:vAlign w:val="center"/>
            <w:hideMark/>
          </w:tcPr>
          <w:p w:rsidR="00FA1E35" w:rsidRPr="00FA1E35" w:rsidRDefault="00FA1E35" w:rsidP="00FA1E35">
            <w:pPr>
              <w:spacing w:before="0"/>
              <w:jc w:val="left"/>
              <w:rPr>
                <w:rFonts w:eastAsia="Times New Roman"/>
                <w:b/>
                <w:bCs/>
                <w:color w:val="000000"/>
                <w:lang w:eastAsia="et-EE"/>
              </w:rPr>
            </w:pPr>
          </w:p>
        </w:tc>
        <w:tc>
          <w:tcPr>
            <w:tcW w:w="1140" w:type="dxa"/>
            <w:tcBorders>
              <w:top w:val="nil"/>
              <w:left w:val="nil"/>
              <w:bottom w:val="nil"/>
              <w:right w:val="nil"/>
            </w:tcBorders>
            <w:shd w:val="clear" w:color="auto" w:fill="auto"/>
            <w:vAlign w:val="center"/>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m²</w:t>
            </w:r>
          </w:p>
        </w:tc>
        <w:tc>
          <w:tcPr>
            <w:tcW w:w="1020" w:type="dxa"/>
            <w:tcBorders>
              <w:top w:val="nil"/>
              <w:left w:val="nil"/>
              <w:bottom w:val="nil"/>
              <w:right w:val="nil"/>
            </w:tcBorders>
            <w:shd w:val="clear" w:color="auto" w:fill="auto"/>
            <w:vAlign w:val="bottom"/>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w:t>
            </w:r>
          </w:p>
        </w:tc>
        <w:tc>
          <w:tcPr>
            <w:tcW w:w="2052"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tasemele 4 ja 5 (€)</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w:t>
            </w:r>
          </w:p>
        </w:tc>
        <w:tc>
          <w:tcPr>
            <w:tcW w:w="1596" w:type="dxa"/>
            <w:tcBorders>
              <w:top w:val="nil"/>
              <w:left w:val="nil"/>
              <w:bottom w:val="nil"/>
              <w:right w:val="nil"/>
            </w:tcBorders>
            <w:shd w:val="clear" w:color="auto" w:fill="auto"/>
            <w:noWrap/>
            <w:vAlign w:val="center"/>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tasemele 5 (€)</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center"/>
              <w:rPr>
                <w:rFonts w:eastAsia="Times New Roman"/>
                <w:color w:val="000000"/>
                <w:lang w:eastAsia="et-EE"/>
              </w:rPr>
            </w:pPr>
            <w:r w:rsidRPr="00FA1E35">
              <w:rPr>
                <w:rFonts w:eastAsia="Times New Roman"/>
                <w:color w:val="000000"/>
                <w:lang w:eastAsia="et-EE"/>
              </w:rPr>
              <w:t>%</w:t>
            </w:r>
          </w:p>
        </w:tc>
      </w:tr>
      <w:tr w:rsidR="00FA1E35" w:rsidRPr="00FA1E35" w:rsidTr="00635636">
        <w:trPr>
          <w:trHeight w:val="330"/>
          <w:jc w:val="center"/>
        </w:trPr>
        <w:tc>
          <w:tcPr>
            <w:tcW w:w="1400"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w:t>
            </w:r>
          </w:p>
        </w:tc>
        <w:tc>
          <w:tcPr>
            <w:tcW w:w="1140" w:type="dxa"/>
            <w:tcBorders>
              <w:top w:val="single" w:sz="4" w:space="0" w:color="auto"/>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27 943</w:t>
            </w:r>
          </w:p>
        </w:tc>
        <w:tc>
          <w:tcPr>
            <w:tcW w:w="1020" w:type="dxa"/>
            <w:tcBorders>
              <w:top w:val="single" w:sz="4" w:space="0" w:color="auto"/>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w:t>
            </w:r>
          </w:p>
        </w:tc>
        <w:tc>
          <w:tcPr>
            <w:tcW w:w="2052" w:type="dxa"/>
            <w:tcBorders>
              <w:top w:val="single" w:sz="4" w:space="0" w:color="auto"/>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24 536 203</w:t>
            </w:r>
          </w:p>
        </w:tc>
        <w:tc>
          <w:tcPr>
            <w:tcW w:w="685" w:type="dxa"/>
            <w:tcBorders>
              <w:top w:val="single" w:sz="4" w:space="0" w:color="auto"/>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11%</w:t>
            </w:r>
          </w:p>
        </w:tc>
        <w:tc>
          <w:tcPr>
            <w:tcW w:w="1596" w:type="dxa"/>
            <w:tcBorders>
              <w:top w:val="single" w:sz="4" w:space="0" w:color="auto"/>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35 186 268</w:t>
            </w:r>
          </w:p>
        </w:tc>
        <w:tc>
          <w:tcPr>
            <w:tcW w:w="685" w:type="dxa"/>
            <w:tcBorders>
              <w:top w:val="single" w:sz="4" w:space="0" w:color="auto"/>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8%</w:t>
            </w:r>
          </w:p>
        </w:tc>
      </w:tr>
      <w:tr w:rsidR="00FA1E35" w:rsidRPr="00FA1E35" w:rsidTr="00635636">
        <w:trPr>
          <w:trHeight w:val="330"/>
          <w:jc w:val="center"/>
        </w:trPr>
        <w:tc>
          <w:tcPr>
            <w:tcW w:w="1400"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3</w:t>
            </w:r>
          </w:p>
        </w:tc>
        <w:tc>
          <w:tcPr>
            <w:tcW w:w="1140"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297 553</w:t>
            </w:r>
          </w:p>
        </w:tc>
        <w:tc>
          <w:tcPr>
            <w:tcW w:w="1020" w:type="dxa"/>
            <w:tcBorders>
              <w:top w:val="nil"/>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22%</w:t>
            </w:r>
          </w:p>
        </w:tc>
        <w:tc>
          <w:tcPr>
            <w:tcW w:w="2052"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199 933 133</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89%</w:t>
            </w:r>
          </w:p>
        </w:tc>
        <w:tc>
          <w:tcPr>
            <w:tcW w:w="1596" w:type="dxa"/>
            <w:tcBorders>
              <w:top w:val="nil"/>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276 488 503</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59%</w:t>
            </w:r>
          </w:p>
        </w:tc>
      </w:tr>
      <w:tr w:rsidR="00FA1E35" w:rsidRPr="00FA1E35" w:rsidTr="00635636">
        <w:trPr>
          <w:trHeight w:val="330"/>
          <w:jc w:val="center"/>
        </w:trPr>
        <w:tc>
          <w:tcPr>
            <w:tcW w:w="1400"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4</w:t>
            </w:r>
          </w:p>
        </w:tc>
        <w:tc>
          <w:tcPr>
            <w:tcW w:w="1140"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382 643</w:t>
            </w:r>
          </w:p>
        </w:tc>
        <w:tc>
          <w:tcPr>
            <w:tcW w:w="1020" w:type="dxa"/>
            <w:tcBorders>
              <w:top w:val="nil"/>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28%</w:t>
            </w:r>
          </w:p>
        </w:tc>
        <w:tc>
          <w:tcPr>
            <w:tcW w:w="2052" w:type="dxa"/>
            <w:tcBorders>
              <w:top w:val="nil"/>
              <w:left w:val="single" w:sz="4" w:space="0" w:color="auto"/>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1 293 635</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w:t>
            </w:r>
          </w:p>
        </w:tc>
        <w:tc>
          <w:tcPr>
            <w:tcW w:w="1596" w:type="dxa"/>
            <w:tcBorders>
              <w:top w:val="nil"/>
              <w:left w:val="nil"/>
              <w:bottom w:val="nil"/>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153 450 643</w:t>
            </w:r>
          </w:p>
        </w:tc>
        <w:tc>
          <w:tcPr>
            <w:tcW w:w="685" w:type="dxa"/>
            <w:tcBorders>
              <w:top w:val="nil"/>
              <w:left w:val="nil"/>
              <w:bottom w:val="nil"/>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33%</w:t>
            </w:r>
          </w:p>
        </w:tc>
      </w:tr>
      <w:tr w:rsidR="00FA1E35" w:rsidRPr="00FA1E35" w:rsidTr="00635636">
        <w:trPr>
          <w:trHeight w:val="330"/>
          <w:jc w:val="center"/>
        </w:trPr>
        <w:tc>
          <w:tcPr>
            <w:tcW w:w="1400" w:type="dxa"/>
            <w:tcBorders>
              <w:top w:val="nil"/>
              <w:left w:val="single" w:sz="4" w:space="0" w:color="auto"/>
              <w:bottom w:val="double" w:sz="6"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5</w:t>
            </w:r>
          </w:p>
        </w:tc>
        <w:tc>
          <w:tcPr>
            <w:tcW w:w="1140" w:type="dxa"/>
            <w:tcBorders>
              <w:top w:val="nil"/>
              <w:left w:val="single" w:sz="4" w:space="0" w:color="auto"/>
              <w:bottom w:val="double" w:sz="6"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651 164</w:t>
            </w:r>
          </w:p>
        </w:tc>
        <w:tc>
          <w:tcPr>
            <w:tcW w:w="1020" w:type="dxa"/>
            <w:tcBorders>
              <w:top w:val="nil"/>
              <w:left w:val="nil"/>
              <w:bottom w:val="double" w:sz="6"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48%</w:t>
            </w:r>
          </w:p>
        </w:tc>
        <w:tc>
          <w:tcPr>
            <w:tcW w:w="2052" w:type="dxa"/>
            <w:tcBorders>
              <w:top w:val="nil"/>
              <w:left w:val="single" w:sz="4" w:space="0" w:color="auto"/>
              <w:bottom w:val="double" w:sz="6"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0</w:t>
            </w:r>
          </w:p>
        </w:tc>
        <w:tc>
          <w:tcPr>
            <w:tcW w:w="685" w:type="dxa"/>
            <w:tcBorders>
              <w:top w:val="nil"/>
              <w:left w:val="nil"/>
              <w:bottom w:val="double" w:sz="6" w:space="0" w:color="auto"/>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0%</w:t>
            </w:r>
          </w:p>
        </w:tc>
        <w:tc>
          <w:tcPr>
            <w:tcW w:w="1596" w:type="dxa"/>
            <w:tcBorders>
              <w:top w:val="nil"/>
              <w:left w:val="nil"/>
              <w:bottom w:val="double" w:sz="6"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0</w:t>
            </w:r>
          </w:p>
        </w:tc>
        <w:tc>
          <w:tcPr>
            <w:tcW w:w="685" w:type="dxa"/>
            <w:tcBorders>
              <w:top w:val="nil"/>
              <w:left w:val="nil"/>
              <w:bottom w:val="double" w:sz="6" w:space="0" w:color="auto"/>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0%</w:t>
            </w:r>
          </w:p>
        </w:tc>
      </w:tr>
      <w:tr w:rsidR="00FA1E35" w:rsidRPr="00FA1E35" w:rsidTr="00635636">
        <w:trPr>
          <w:trHeight w:val="330"/>
          <w:jc w:val="center"/>
        </w:trPr>
        <w:tc>
          <w:tcPr>
            <w:tcW w:w="1400" w:type="dxa"/>
            <w:tcBorders>
              <w:top w:val="nil"/>
              <w:left w:val="single" w:sz="4" w:space="0" w:color="auto"/>
              <w:bottom w:val="single" w:sz="4" w:space="0" w:color="auto"/>
              <w:right w:val="nil"/>
            </w:tcBorders>
            <w:shd w:val="clear" w:color="auto" w:fill="auto"/>
            <w:noWrap/>
            <w:vAlign w:val="center"/>
            <w:hideMark/>
          </w:tcPr>
          <w:p w:rsidR="00FA1E35" w:rsidRPr="00FA1E35" w:rsidRDefault="00FA1E35" w:rsidP="00FA1E35">
            <w:pPr>
              <w:spacing w:before="0"/>
              <w:jc w:val="left"/>
              <w:rPr>
                <w:rFonts w:eastAsia="Times New Roman"/>
                <w:color w:val="000000"/>
                <w:lang w:eastAsia="et-EE"/>
              </w:rPr>
            </w:pPr>
            <w:r w:rsidRPr="00FA1E35">
              <w:rPr>
                <w:rFonts w:eastAsia="Times New Roman"/>
                <w:color w:val="000000"/>
                <w:lang w:eastAsia="et-EE"/>
              </w:rPr>
              <w:t>Kokku</w:t>
            </w:r>
          </w:p>
        </w:tc>
        <w:tc>
          <w:tcPr>
            <w:tcW w:w="1140" w:type="dxa"/>
            <w:tcBorders>
              <w:top w:val="nil"/>
              <w:left w:val="single" w:sz="4" w:space="0" w:color="auto"/>
              <w:bottom w:val="single" w:sz="4"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1 359 302</w:t>
            </w:r>
          </w:p>
        </w:tc>
        <w:tc>
          <w:tcPr>
            <w:tcW w:w="1020" w:type="dxa"/>
            <w:tcBorders>
              <w:top w:val="nil"/>
              <w:left w:val="nil"/>
              <w:bottom w:val="single" w:sz="4"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100%</w:t>
            </w:r>
          </w:p>
        </w:tc>
        <w:tc>
          <w:tcPr>
            <w:tcW w:w="2052" w:type="dxa"/>
            <w:tcBorders>
              <w:top w:val="nil"/>
              <w:left w:val="single" w:sz="4" w:space="0" w:color="auto"/>
              <w:bottom w:val="single" w:sz="4"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225 762 970</w:t>
            </w:r>
          </w:p>
        </w:tc>
        <w:tc>
          <w:tcPr>
            <w:tcW w:w="685" w:type="dxa"/>
            <w:tcBorders>
              <w:top w:val="nil"/>
              <w:left w:val="nil"/>
              <w:bottom w:val="single" w:sz="4" w:space="0" w:color="auto"/>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100%</w:t>
            </w:r>
          </w:p>
        </w:tc>
        <w:tc>
          <w:tcPr>
            <w:tcW w:w="1596" w:type="dxa"/>
            <w:tcBorders>
              <w:top w:val="nil"/>
              <w:left w:val="nil"/>
              <w:bottom w:val="single" w:sz="4" w:space="0" w:color="auto"/>
              <w:right w:val="nil"/>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465 125 414</w:t>
            </w:r>
          </w:p>
        </w:tc>
        <w:tc>
          <w:tcPr>
            <w:tcW w:w="685" w:type="dxa"/>
            <w:tcBorders>
              <w:top w:val="nil"/>
              <w:left w:val="nil"/>
              <w:bottom w:val="single" w:sz="4" w:space="0" w:color="auto"/>
              <w:right w:val="single" w:sz="4" w:space="0" w:color="auto"/>
            </w:tcBorders>
            <w:shd w:val="clear" w:color="auto" w:fill="auto"/>
            <w:noWrap/>
            <w:vAlign w:val="center"/>
            <w:hideMark/>
          </w:tcPr>
          <w:p w:rsidR="00FA1E35" w:rsidRPr="00FA1E35" w:rsidRDefault="00FA1E35" w:rsidP="00FA1E35">
            <w:pPr>
              <w:spacing w:before="0"/>
              <w:jc w:val="right"/>
              <w:rPr>
                <w:rFonts w:eastAsia="Times New Roman"/>
                <w:color w:val="000000"/>
                <w:lang w:eastAsia="et-EE"/>
              </w:rPr>
            </w:pPr>
            <w:r w:rsidRPr="00FA1E35">
              <w:rPr>
                <w:rFonts w:eastAsia="Times New Roman"/>
                <w:color w:val="000000"/>
                <w:lang w:eastAsia="et-EE"/>
              </w:rPr>
              <w:t>100%</w:t>
            </w:r>
          </w:p>
        </w:tc>
      </w:tr>
    </w:tbl>
    <w:p w:rsidR="00FA1E35" w:rsidRDefault="00FA1E35" w:rsidP="00FA1E35">
      <w:r>
        <w:t xml:space="preserve">Järgnev analüüs </w:t>
      </w:r>
      <w:r w:rsidRPr="00EE5B87">
        <w:t xml:space="preserve">ja selle </w:t>
      </w:r>
      <w:r>
        <w:t>aluseks</w:t>
      </w:r>
      <w:r w:rsidRPr="00EE5B87">
        <w:t xml:space="preserve"> ole</w:t>
      </w:r>
      <w:r>
        <w:t xml:space="preserve">v tegevuskava hõlmab ainult </w:t>
      </w:r>
      <w:r w:rsidR="00145AF8">
        <w:t xml:space="preserve">eespool </w:t>
      </w:r>
      <w:r>
        <w:t>esitatu</w:t>
      </w:r>
      <w:r w:rsidRPr="00EE5B87">
        <w:t>d omadustega portfelli</w:t>
      </w:r>
      <w:r w:rsidR="00145AF8">
        <w:t xml:space="preserve"> (sh</w:t>
      </w:r>
      <w:r w:rsidR="00AA0DE5">
        <w:t xml:space="preserve"> </w:t>
      </w:r>
      <w:r w:rsidR="00AA0DE5" w:rsidRPr="001A7A4A">
        <w:rPr>
          <w:b/>
        </w:rPr>
        <w:t>vajatav investeering kogumahus</w:t>
      </w:r>
      <w:r w:rsidR="00145AF8" w:rsidRPr="001A7A4A">
        <w:rPr>
          <w:b/>
        </w:rPr>
        <w:t xml:space="preserve"> 225,</w:t>
      </w:r>
      <w:r w:rsidR="00036103">
        <w:rPr>
          <w:b/>
        </w:rPr>
        <w:t>8</w:t>
      </w:r>
      <w:r w:rsidR="00145AF8" w:rsidRPr="001A7A4A">
        <w:rPr>
          <w:b/>
        </w:rPr>
        <w:t xml:space="preserve"> mln eurot</w:t>
      </w:r>
      <w:r w:rsidR="009B3618" w:rsidRPr="009B3618">
        <w:t xml:space="preserve">, mis on </w:t>
      </w:r>
      <w:r w:rsidR="009B3618">
        <w:t>keskmiselt 166 €/m</w:t>
      </w:r>
      <w:r w:rsidR="009B3618">
        <w:rPr>
          <w:rFonts w:ascii="Calibri" w:hAnsi="Calibri"/>
        </w:rPr>
        <w:t>²</w:t>
      </w:r>
      <w:r w:rsidR="009B3618">
        <w:t>/aastas)</w:t>
      </w:r>
      <w:r w:rsidR="00145AF8">
        <w:t>)</w:t>
      </w:r>
      <w:r w:rsidRPr="00EE5B87">
        <w:t xml:space="preserve">. </w:t>
      </w:r>
    </w:p>
    <w:p w:rsidR="00CC7DD6" w:rsidRPr="00A443B8" w:rsidRDefault="00CC7DD6" w:rsidP="00161C57">
      <w:pPr>
        <w:pStyle w:val="Pealkiri3"/>
      </w:pPr>
      <w:bookmarkStart w:id="424" w:name="_Toc421202249"/>
      <w:bookmarkStart w:id="425" w:name="_Toc433980754"/>
      <w:r w:rsidRPr="00A443B8">
        <w:t xml:space="preserve">Analüüsi </w:t>
      </w:r>
      <w:r w:rsidRPr="00161C57">
        <w:t>etapid</w:t>
      </w:r>
      <w:bookmarkEnd w:id="424"/>
      <w:bookmarkEnd w:id="425"/>
    </w:p>
    <w:p w:rsidR="00CC7DD6" w:rsidRPr="00EE5B87" w:rsidRDefault="00CC7DD6" w:rsidP="00CC7DD6">
      <w:r w:rsidRPr="00EE5B87">
        <w:t>Analüüs koosneb viiest, sisuliselt üksteisele järgnevast osast. Iga osa teostamise aeg, tegevused ja teostajad on esitatud alljär</w:t>
      </w:r>
      <w:r>
        <w:t>g</w:t>
      </w:r>
      <w:r w:rsidRPr="00EE5B87">
        <w:t>nevas tabelis</w:t>
      </w:r>
      <w:r w:rsidR="00635636">
        <w:t xml:space="preserve"> (</w:t>
      </w:r>
      <w:r w:rsidR="00A85FDC">
        <w:fldChar w:fldCharType="begin"/>
      </w:r>
      <w:r w:rsidR="00635636">
        <w:instrText xml:space="preserve"> REF _Ref427322554 \h </w:instrText>
      </w:r>
      <w:r w:rsidR="00A85FDC">
        <w:fldChar w:fldCharType="separate"/>
      </w:r>
      <w:r w:rsidR="00477322">
        <w:t xml:space="preserve">Tabel </w:t>
      </w:r>
      <w:r w:rsidR="00477322">
        <w:rPr>
          <w:noProof/>
        </w:rPr>
        <w:t>22</w:t>
      </w:r>
      <w:r w:rsidR="00A85FDC">
        <w:fldChar w:fldCharType="end"/>
      </w:r>
      <w:r w:rsidR="00635636">
        <w:t>)</w:t>
      </w:r>
      <w:r w:rsidRPr="00EE5B87">
        <w:t>.</w:t>
      </w:r>
    </w:p>
    <w:p w:rsidR="00635636" w:rsidRDefault="00635636" w:rsidP="00635636">
      <w:pPr>
        <w:pStyle w:val="Caption"/>
      </w:pPr>
      <w:bookmarkStart w:id="426" w:name="_Ref427322554"/>
      <w:r>
        <w:t xml:space="preserve">Tabel </w:t>
      </w:r>
      <w:fldSimple w:instr=" SEQ Tabel \* ARABIC ">
        <w:r w:rsidR="00477322">
          <w:rPr>
            <w:noProof/>
          </w:rPr>
          <w:t>22</w:t>
        </w:r>
      </w:fldSimple>
      <w:bookmarkEnd w:id="426"/>
      <w:r>
        <w:t>. Analüüsi osad</w:t>
      </w:r>
    </w:p>
    <w:tbl>
      <w:tblPr>
        <w:tblStyle w:val="TableGrid"/>
        <w:tblW w:w="0" w:type="auto"/>
        <w:tblInd w:w="108" w:type="dxa"/>
        <w:tblLook w:val="04A0"/>
      </w:tblPr>
      <w:tblGrid>
        <w:gridCol w:w="516"/>
        <w:gridCol w:w="1134"/>
        <w:gridCol w:w="1876"/>
        <w:gridCol w:w="4291"/>
        <w:gridCol w:w="1317"/>
      </w:tblGrid>
      <w:tr w:rsidR="00CC7DD6" w:rsidRPr="00EE5B87" w:rsidTr="00635636">
        <w:tc>
          <w:tcPr>
            <w:tcW w:w="516" w:type="dxa"/>
          </w:tcPr>
          <w:p w:rsidR="00CC7DD6" w:rsidRPr="00FA7076" w:rsidRDefault="00CC7DD6" w:rsidP="002924FD">
            <w:pPr>
              <w:rPr>
                <w:b/>
                <w:lang w:val="et-EE"/>
              </w:rPr>
            </w:pPr>
            <w:r w:rsidRPr="00FA7076">
              <w:rPr>
                <w:b/>
                <w:lang w:val="et-EE"/>
              </w:rPr>
              <w:t>Nr</w:t>
            </w:r>
          </w:p>
        </w:tc>
        <w:tc>
          <w:tcPr>
            <w:tcW w:w="1134" w:type="dxa"/>
          </w:tcPr>
          <w:p w:rsidR="00CC7DD6" w:rsidRPr="00FA7076" w:rsidRDefault="00CC7DD6" w:rsidP="002924FD">
            <w:pPr>
              <w:rPr>
                <w:b/>
                <w:lang w:val="et-EE"/>
              </w:rPr>
            </w:pPr>
            <w:r w:rsidRPr="00FA7076">
              <w:rPr>
                <w:b/>
                <w:lang w:val="et-EE"/>
              </w:rPr>
              <w:t>Periood</w:t>
            </w:r>
          </w:p>
        </w:tc>
        <w:tc>
          <w:tcPr>
            <w:tcW w:w="1876" w:type="dxa"/>
          </w:tcPr>
          <w:p w:rsidR="00CC7DD6" w:rsidRPr="00FA7076" w:rsidRDefault="00CC7DD6" w:rsidP="002924FD">
            <w:pPr>
              <w:rPr>
                <w:b/>
                <w:lang w:val="et-EE"/>
              </w:rPr>
            </w:pPr>
            <w:r w:rsidRPr="00FA7076">
              <w:rPr>
                <w:b/>
                <w:lang w:val="et-EE"/>
              </w:rPr>
              <w:t>Nimetus</w:t>
            </w:r>
          </w:p>
        </w:tc>
        <w:tc>
          <w:tcPr>
            <w:tcW w:w="4291" w:type="dxa"/>
          </w:tcPr>
          <w:p w:rsidR="00CC7DD6" w:rsidRPr="00FA7076" w:rsidRDefault="00CC7DD6" w:rsidP="002924FD">
            <w:pPr>
              <w:rPr>
                <w:b/>
                <w:lang w:val="et-EE"/>
              </w:rPr>
            </w:pPr>
            <w:r w:rsidRPr="00FA7076">
              <w:rPr>
                <w:b/>
                <w:lang w:val="et-EE"/>
              </w:rPr>
              <w:t>Peamised tegevused</w:t>
            </w:r>
          </w:p>
        </w:tc>
        <w:tc>
          <w:tcPr>
            <w:tcW w:w="1317" w:type="dxa"/>
          </w:tcPr>
          <w:p w:rsidR="00CC7DD6" w:rsidRPr="00FA7076" w:rsidRDefault="00CC7DD6" w:rsidP="002924FD">
            <w:pPr>
              <w:rPr>
                <w:b/>
                <w:lang w:val="et-EE"/>
              </w:rPr>
            </w:pPr>
            <w:r w:rsidRPr="00FA7076">
              <w:rPr>
                <w:b/>
                <w:lang w:val="et-EE"/>
              </w:rPr>
              <w:t>Teostajad</w:t>
            </w:r>
          </w:p>
        </w:tc>
      </w:tr>
      <w:tr w:rsidR="00CC7DD6" w:rsidRPr="00EE5B87" w:rsidTr="00635636">
        <w:tc>
          <w:tcPr>
            <w:tcW w:w="516" w:type="dxa"/>
          </w:tcPr>
          <w:p w:rsidR="00CC7DD6" w:rsidRPr="00FA7076" w:rsidRDefault="00CC7DD6" w:rsidP="002924FD">
            <w:pPr>
              <w:spacing w:before="60" w:after="60"/>
              <w:rPr>
                <w:lang w:val="et-EE"/>
              </w:rPr>
            </w:pPr>
            <w:r w:rsidRPr="00FA7076">
              <w:rPr>
                <w:lang w:val="et-EE"/>
              </w:rPr>
              <w:t>1.</w:t>
            </w:r>
          </w:p>
        </w:tc>
        <w:tc>
          <w:tcPr>
            <w:tcW w:w="1134" w:type="dxa"/>
          </w:tcPr>
          <w:p w:rsidR="00CC7DD6" w:rsidRPr="00FA7076" w:rsidRDefault="00CC7DD6" w:rsidP="002924FD">
            <w:pPr>
              <w:spacing w:before="60" w:after="60"/>
              <w:rPr>
                <w:lang w:val="et-EE"/>
              </w:rPr>
            </w:pPr>
            <w:r w:rsidRPr="00FA7076">
              <w:rPr>
                <w:lang w:val="et-EE"/>
              </w:rPr>
              <w:t>04-08.14</w:t>
            </w:r>
          </w:p>
        </w:tc>
        <w:tc>
          <w:tcPr>
            <w:tcW w:w="1876" w:type="dxa"/>
          </w:tcPr>
          <w:p w:rsidR="00CC7DD6" w:rsidRPr="00FA7076" w:rsidRDefault="00CC7DD6" w:rsidP="002924FD">
            <w:pPr>
              <w:spacing w:before="60" w:after="60"/>
              <w:rPr>
                <w:lang w:val="et-EE"/>
              </w:rPr>
            </w:pPr>
            <w:r w:rsidRPr="00FA7076">
              <w:rPr>
                <w:lang w:val="et-EE"/>
              </w:rPr>
              <w:t>Info koondamine</w:t>
            </w:r>
          </w:p>
        </w:tc>
        <w:tc>
          <w:tcPr>
            <w:tcW w:w="4291" w:type="dxa"/>
          </w:tcPr>
          <w:p w:rsidR="00CC7DD6" w:rsidRPr="00FA7076" w:rsidRDefault="00CC7DD6" w:rsidP="002924FD">
            <w:pPr>
              <w:spacing w:before="60" w:after="60"/>
              <w:jc w:val="left"/>
              <w:rPr>
                <w:lang w:val="et-EE"/>
              </w:rPr>
            </w:pPr>
            <w:r w:rsidRPr="00FA7076">
              <w:rPr>
                <w:lang w:val="et-EE"/>
              </w:rPr>
              <w:t>Andmekorje metoodika koostamine, riigi kinnisvararegistri arendused, ametnike koolitamine.</w:t>
            </w:r>
          </w:p>
        </w:tc>
        <w:tc>
          <w:tcPr>
            <w:tcW w:w="1317" w:type="dxa"/>
          </w:tcPr>
          <w:p w:rsidR="00CC7DD6" w:rsidRPr="00FA7076" w:rsidRDefault="00CC7DD6" w:rsidP="002924FD">
            <w:pPr>
              <w:spacing w:before="60" w:after="60"/>
              <w:rPr>
                <w:lang w:val="et-EE"/>
              </w:rPr>
            </w:pPr>
            <w:r w:rsidRPr="00FA7076">
              <w:rPr>
                <w:lang w:val="et-EE"/>
              </w:rPr>
              <w:t>RM, RKAS</w:t>
            </w:r>
          </w:p>
        </w:tc>
      </w:tr>
      <w:tr w:rsidR="00CC7DD6" w:rsidRPr="00EE5B87" w:rsidTr="00635636">
        <w:tc>
          <w:tcPr>
            <w:tcW w:w="516" w:type="dxa"/>
          </w:tcPr>
          <w:p w:rsidR="00CC7DD6" w:rsidRPr="00FA7076" w:rsidRDefault="00CC7DD6" w:rsidP="002924FD">
            <w:pPr>
              <w:spacing w:before="60" w:after="60"/>
              <w:rPr>
                <w:lang w:val="et-EE"/>
              </w:rPr>
            </w:pPr>
            <w:r w:rsidRPr="00FA7076">
              <w:rPr>
                <w:lang w:val="et-EE"/>
              </w:rPr>
              <w:t>2.</w:t>
            </w:r>
          </w:p>
        </w:tc>
        <w:tc>
          <w:tcPr>
            <w:tcW w:w="1134" w:type="dxa"/>
          </w:tcPr>
          <w:p w:rsidR="00CC7DD6" w:rsidRPr="00FA7076" w:rsidRDefault="00CC7DD6" w:rsidP="002924FD">
            <w:pPr>
              <w:spacing w:before="60" w:after="60"/>
              <w:rPr>
                <w:lang w:val="et-EE"/>
              </w:rPr>
            </w:pPr>
            <w:r w:rsidRPr="00FA7076">
              <w:rPr>
                <w:lang w:val="et-EE"/>
              </w:rPr>
              <w:t>07-10.14</w:t>
            </w:r>
          </w:p>
        </w:tc>
        <w:tc>
          <w:tcPr>
            <w:tcW w:w="1876" w:type="dxa"/>
          </w:tcPr>
          <w:p w:rsidR="00CC7DD6" w:rsidRPr="00FA7076" w:rsidRDefault="00CC7DD6" w:rsidP="002924FD">
            <w:pPr>
              <w:spacing w:before="60" w:after="60"/>
              <w:rPr>
                <w:lang w:val="et-EE"/>
              </w:rPr>
            </w:pPr>
            <w:r w:rsidRPr="00FA7076">
              <w:rPr>
                <w:lang w:val="et-EE"/>
              </w:rPr>
              <w:t>Analüüsi metoodika koostamine</w:t>
            </w:r>
          </w:p>
        </w:tc>
        <w:tc>
          <w:tcPr>
            <w:tcW w:w="4291" w:type="dxa"/>
          </w:tcPr>
          <w:p w:rsidR="00CC7DD6" w:rsidRPr="00FA7076" w:rsidRDefault="00CC7DD6" w:rsidP="002924FD">
            <w:pPr>
              <w:spacing w:before="60" w:after="60"/>
              <w:jc w:val="left"/>
              <w:rPr>
                <w:lang w:val="et-EE"/>
              </w:rPr>
            </w:pPr>
            <w:r w:rsidRPr="00FA7076">
              <w:rPr>
                <w:lang w:val="et-EE"/>
              </w:rPr>
              <w:t>Riigi hoonestatud kinnisvara portfelli analüüsi metoodika koostamine.</w:t>
            </w:r>
          </w:p>
          <w:p w:rsidR="00CC7DD6" w:rsidRPr="00FA7076" w:rsidRDefault="00CC7DD6" w:rsidP="002924FD">
            <w:pPr>
              <w:spacing w:before="60" w:after="60"/>
              <w:jc w:val="left"/>
              <w:rPr>
                <w:lang w:val="et-EE"/>
              </w:rPr>
            </w:pPr>
            <w:r w:rsidRPr="00FA7076">
              <w:rPr>
                <w:lang w:val="et-EE"/>
              </w:rPr>
              <w:t>Riigi Kinnisvara ASi ümberstruktureerimise ja/või portfelli osalise müügi võimaluste ja otstarbekuse analüüsimine.</w:t>
            </w:r>
          </w:p>
        </w:tc>
        <w:tc>
          <w:tcPr>
            <w:tcW w:w="1317" w:type="dxa"/>
          </w:tcPr>
          <w:p w:rsidR="00CC7DD6" w:rsidRPr="00FA7076" w:rsidRDefault="00CC7DD6" w:rsidP="002924FD">
            <w:pPr>
              <w:spacing w:before="60" w:after="60"/>
              <w:rPr>
                <w:lang w:val="et-EE"/>
              </w:rPr>
            </w:pPr>
            <w:r w:rsidRPr="00FA7076">
              <w:rPr>
                <w:lang w:val="et-EE"/>
              </w:rPr>
              <w:t>RM, RKAS</w:t>
            </w:r>
          </w:p>
          <w:p w:rsidR="00CC7DD6" w:rsidRPr="00FA7076" w:rsidRDefault="00CC7DD6" w:rsidP="002924FD">
            <w:pPr>
              <w:spacing w:before="60" w:after="60"/>
              <w:rPr>
                <w:lang w:val="et-EE"/>
              </w:rPr>
            </w:pPr>
            <w:r w:rsidRPr="00FA7076">
              <w:rPr>
                <w:lang w:val="et-EE"/>
              </w:rPr>
              <w:t>RL&amp;N</w:t>
            </w:r>
          </w:p>
        </w:tc>
      </w:tr>
      <w:tr w:rsidR="00CC7DD6" w:rsidRPr="00EE5B87" w:rsidTr="00635636">
        <w:tc>
          <w:tcPr>
            <w:tcW w:w="516" w:type="dxa"/>
          </w:tcPr>
          <w:p w:rsidR="00CC7DD6" w:rsidRPr="00FA7076" w:rsidRDefault="00CC7DD6" w:rsidP="002924FD">
            <w:pPr>
              <w:spacing w:before="60" w:after="60"/>
              <w:rPr>
                <w:lang w:val="et-EE"/>
              </w:rPr>
            </w:pPr>
            <w:r w:rsidRPr="00FA7076">
              <w:rPr>
                <w:lang w:val="et-EE"/>
              </w:rPr>
              <w:t>3.</w:t>
            </w:r>
          </w:p>
        </w:tc>
        <w:tc>
          <w:tcPr>
            <w:tcW w:w="1134" w:type="dxa"/>
          </w:tcPr>
          <w:p w:rsidR="00CC7DD6" w:rsidRPr="00FA7076" w:rsidRDefault="00CC7DD6" w:rsidP="002924FD">
            <w:pPr>
              <w:spacing w:before="60" w:after="60"/>
              <w:rPr>
                <w:lang w:val="et-EE"/>
              </w:rPr>
            </w:pPr>
            <w:r w:rsidRPr="00FA7076">
              <w:rPr>
                <w:lang w:val="et-EE"/>
              </w:rPr>
              <w:t>11-12.14</w:t>
            </w:r>
          </w:p>
        </w:tc>
        <w:tc>
          <w:tcPr>
            <w:tcW w:w="1876" w:type="dxa"/>
          </w:tcPr>
          <w:p w:rsidR="00CC7DD6" w:rsidRPr="00FA7076" w:rsidRDefault="00CC7DD6" w:rsidP="002924FD">
            <w:pPr>
              <w:spacing w:before="60" w:after="60"/>
              <w:rPr>
                <w:lang w:val="et-EE"/>
              </w:rPr>
            </w:pPr>
            <w:r w:rsidRPr="00FA7076">
              <w:rPr>
                <w:lang w:val="et-EE"/>
              </w:rPr>
              <w:t>Rahastamise struktureerimine</w:t>
            </w:r>
          </w:p>
        </w:tc>
        <w:tc>
          <w:tcPr>
            <w:tcW w:w="4291" w:type="dxa"/>
          </w:tcPr>
          <w:p w:rsidR="00CC7DD6" w:rsidRPr="00FA7076" w:rsidRDefault="00CC7DD6" w:rsidP="002924FD">
            <w:pPr>
              <w:spacing w:before="60" w:after="60"/>
              <w:jc w:val="left"/>
              <w:rPr>
                <w:lang w:val="et-EE"/>
              </w:rPr>
            </w:pPr>
            <w:r w:rsidRPr="00FA7076">
              <w:rPr>
                <w:lang w:val="et-EE"/>
              </w:rPr>
              <w:t xml:space="preserve">Andmete korrastamine ja täpsustamine, hoonekomplekside moodustamine riigi hoonete kohta. </w:t>
            </w:r>
          </w:p>
          <w:p w:rsidR="00CC7DD6" w:rsidRPr="00FA7076" w:rsidRDefault="00CC7DD6" w:rsidP="002924FD">
            <w:pPr>
              <w:spacing w:before="60" w:after="60"/>
              <w:jc w:val="left"/>
              <w:rPr>
                <w:lang w:val="et-EE"/>
              </w:rPr>
            </w:pPr>
            <w:r w:rsidRPr="00FA7076">
              <w:rPr>
                <w:lang w:val="et-EE"/>
              </w:rPr>
              <w:t>Tehingute struktureerimise võimaluste ning RKASi struktureerimise vajaduste analüüs.</w:t>
            </w:r>
          </w:p>
        </w:tc>
        <w:tc>
          <w:tcPr>
            <w:tcW w:w="1317" w:type="dxa"/>
          </w:tcPr>
          <w:p w:rsidR="00CC7DD6" w:rsidRPr="00FA7076" w:rsidRDefault="00CC7DD6" w:rsidP="002924FD">
            <w:pPr>
              <w:spacing w:before="60" w:after="60"/>
              <w:rPr>
                <w:lang w:val="et-EE"/>
              </w:rPr>
            </w:pPr>
            <w:r w:rsidRPr="00FA7076">
              <w:rPr>
                <w:lang w:val="et-EE"/>
              </w:rPr>
              <w:t>RM, RKAS,</w:t>
            </w:r>
          </w:p>
        </w:tc>
      </w:tr>
      <w:tr w:rsidR="00CC7DD6" w:rsidRPr="00EE5B87" w:rsidTr="00635636">
        <w:tc>
          <w:tcPr>
            <w:tcW w:w="516" w:type="dxa"/>
          </w:tcPr>
          <w:p w:rsidR="00CC7DD6" w:rsidRPr="00FA7076" w:rsidRDefault="00CC7DD6" w:rsidP="002924FD">
            <w:pPr>
              <w:spacing w:before="60" w:after="60"/>
              <w:rPr>
                <w:lang w:val="et-EE"/>
              </w:rPr>
            </w:pPr>
            <w:r w:rsidRPr="00FA7076">
              <w:rPr>
                <w:lang w:val="et-EE"/>
              </w:rPr>
              <w:t>4.</w:t>
            </w:r>
          </w:p>
        </w:tc>
        <w:tc>
          <w:tcPr>
            <w:tcW w:w="1134" w:type="dxa"/>
          </w:tcPr>
          <w:p w:rsidR="00CC7DD6" w:rsidRPr="00FA7076" w:rsidRDefault="00CC7DD6" w:rsidP="002924FD">
            <w:pPr>
              <w:spacing w:before="60" w:after="60"/>
              <w:rPr>
                <w:lang w:val="et-EE"/>
              </w:rPr>
            </w:pPr>
            <w:r w:rsidRPr="00FA7076">
              <w:rPr>
                <w:lang w:val="et-EE"/>
              </w:rPr>
              <w:t>12.14-01.15</w:t>
            </w:r>
          </w:p>
        </w:tc>
        <w:tc>
          <w:tcPr>
            <w:tcW w:w="1876" w:type="dxa"/>
          </w:tcPr>
          <w:p w:rsidR="00CC7DD6" w:rsidRPr="00FA7076" w:rsidRDefault="00CC7DD6" w:rsidP="002924FD">
            <w:pPr>
              <w:spacing w:before="60" w:after="60"/>
              <w:rPr>
                <w:lang w:val="et-EE"/>
              </w:rPr>
            </w:pPr>
            <w:r w:rsidRPr="00FA7076">
              <w:rPr>
                <w:lang w:val="et-EE"/>
              </w:rPr>
              <w:t>Tehingute analüüs</w:t>
            </w:r>
          </w:p>
        </w:tc>
        <w:tc>
          <w:tcPr>
            <w:tcW w:w="4291" w:type="dxa"/>
          </w:tcPr>
          <w:p w:rsidR="00CC7DD6" w:rsidRPr="00FA7076" w:rsidRDefault="00CC7DD6" w:rsidP="002924FD">
            <w:pPr>
              <w:spacing w:before="60" w:after="60"/>
              <w:jc w:val="left"/>
              <w:rPr>
                <w:lang w:val="et-EE"/>
              </w:rPr>
            </w:pPr>
            <w:r w:rsidRPr="00FA7076">
              <w:rPr>
                <w:lang w:val="et-EE"/>
              </w:rPr>
              <w:t>Riigi kinnisvara finantseerimise struktureerimise analüüs.</w:t>
            </w:r>
          </w:p>
        </w:tc>
        <w:tc>
          <w:tcPr>
            <w:tcW w:w="1317" w:type="dxa"/>
          </w:tcPr>
          <w:p w:rsidR="00CC7DD6" w:rsidRPr="00FA7076" w:rsidRDefault="00CC7DD6" w:rsidP="002924FD">
            <w:pPr>
              <w:spacing w:before="60" w:after="60"/>
              <w:rPr>
                <w:lang w:val="et-EE"/>
              </w:rPr>
            </w:pPr>
            <w:r w:rsidRPr="00FA7076">
              <w:rPr>
                <w:lang w:val="et-EE"/>
              </w:rPr>
              <w:t>RM, RKAS, PwC</w:t>
            </w:r>
          </w:p>
        </w:tc>
      </w:tr>
      <w:tr w:rsidR="00CC7DD6" w:rsidRPr="00EE5B87" w:rsidTr="00635636">
        <w:tc>
          <w:tcPr>
            <w:tcW w:w="516" w:type="dxa"/>
          </w:tcPr>
          <w:p w:rsidR="00CC7DD6" w:rsidRPr="00FA7076" w:rsidRDefault="00CC7DD6" w:rsidP="002924FD">
            <w:pPr>
              <w:spacing w:before="60" w:after="60"/>
              <w:rPr>
                <w:lang w:val="et-EE"/>
              </w:rPr>
            </w:pPr>
            <w:r w:rsidRPr="00FA7076">
              <w:rPr>
                <w:lang w:val="et-EE"/>
              </w:rPr>
              <w:t>5.</w:t>
            </w:r>
          </w:p>
        </w:tc>
        <w:tc>
          <w:tcPr>
            <w:tcW w:w="1134" w:type="dxa"/>
          </w:tcPr>
          <w:p w:rsidR="00CC7DD6" w:rsidRPr="00FA7076" w:rsidRDefault="00CC7DD6" w:rsidP="002924FD">
            <w:pPr>
              <w:spacing w:before="60" w:after="60"/>
              <w:rPr>
                <w:lang w:val="et-EE"/>
              </w:rPr>
            </w:pPr>
            <w:r w:rsidRPr="00FA7076">
              <w:rPr>
                <w:lang w:val="et-EE"/>
              </w:rPr>
              <w:t>03-06.15</w:t>
            </w:r>
          </w:p>
        </w:tc>
        <w:tc>
          <w:tcPr>
            <w:tcW w:w="1876" w:type="dxa"/>
          </w:tcPr>
          <w:p w:rsidR="00CC7DD6" w:rsidRPr="00FA7076" w:rsidRDefault="00CC7DD6" w:rsidP="002924FD">
            <w:pPr>
              <w:spacing w:before="60" w:after="60"/>
              <w:rPr>
                <w:lang w:val="et-EE"/>
              </w:rPr>
            </w:pPr>
            <w:r w:rsidRPr="00FA7076">
              <w:rPr>
                <w:lang w:val="et-EE"/>
              </w:rPr>
              <w:t>Rahastamiskava koostamine</w:t>
            </w:r>
          </w:p>
        </w:tc>
        <w:tc>
          <w:tcPr>
            <w:tcW w:w="4291" w:type="dxa"/>
          </w:tcPr>
          <w:p w:rsidR="00CC7DD6" w:rsidRPr="00FA7076" w:rsidRDefault="00CC7DD6" w:rsidP="002924FD">
            <w:pPr>
              <w:spacing w:before="60" w:after="60"/>
              <w:jc w:val="left"/>
              <w:rPr>
                <w:lang w:val="et-EE"/>
              </w:rPr>
            </w:pPr>
            <w:r w:rsidRPr="00FA7076">
              <w:rPr>
                <w:lang w:val="et-EE"/>
              </w:rPr>
              <w:t>Riigi hoonete portfelli pikaajalise rahastamiskava ja tegevuskava koostamine.</w:t>
            </w:r>
          </w:p>
        </w:tc>
        <w:tc>
          <w:tcPr>
            <w:tcW w:w="1317" w:type="dxa"/>
          </w:tcPr>
          <w:p w:rsidR="00CC7DD6" w:rsidRPr="00FA7076" w:rsidRDefault="00CC7DD6" w:rsidP="002924FD">
            <w:pPr>
              <w:spacing w:before="60" w:after="60"/>
              <w:rPr>
                <w:lang w:val="et-EE"/>
              </w:rPr>
            </w:pPr>
            <w:r w:rsidRPr="00FA7076">
              <w:rPr>
                <w:lang w:val="et-EE"/>
              </w:rPr>
              <w:t>RM</w:t>
            </w:r>
          </w:p>
        </w:tc>
      </w:tr>
    </w:tbl>
    <w:p w:rsidR="00CC7DD6" w:rsidRPr="00EE5B87" w:rsidRDefault="00CC7DD6" w:rsidP="00CC7DD6">
      <w:r w:rsidRPr="00EE5B87">
        <w:t>Analüüsi teostamiseks kaasati Riigi Kinnisvara AS (RKAS), Advokaadibüroo Raidla Lejins &amp; Norcous (RL&amp;N) ja PwC Advisors (PwC).</w:t>
      </w:r>
    </w:p>
    <w:p w:rsidR="00CC7DD6" w:rsidRPr="00EE5B87" w:rsidRDefault="00CC7DD6" w:rsidP="00CC7DD6">
      <w:r w:rsidRPr="00EE5B87">
        <w:t>Analüüsi eestvedaja oli Rahandusministeeriumis (RM) riigivaraosakond, lisaks olid kaasatud osakonnad sõltuvalt etapist: riigieelarve osakond, kohalike omavalitsuste finantsjuhtimise osakond, fiskaalpoliitika osakond ja riigikassa osakond</w:t>
      </w:r>
      <w:r w:rsidR="00EE5EFD">
        <w:t xml:space="preserve">. </w:t>
      </w:r>
      <w:r w:rsidRPr="00EE5B87">
        <w:t>Tä</w:t>
      </w:r>
      <w:r>
        <w:t>i</w:t>
      </w:r>
      <w:r w:rsidRPr="00EE5B87">
        <w:t>end</w:t>
      </w:r>
      <w:r>
        <w:t>a</w:t>
      </w:r>
      <w:r w:rsidRPr="00EE5B87">
        <w:t>valt konsulteeriti Statistikaametiga ja Riigi tugiteenuste keskusega</w:t>
      </w:r>
    </w:p>
    <w:p w:rsidR="00CC7DD6" w:rsidRPr="00EE5B87" w:rsidRDefault="00CC7DD6" w:rsidP="00CC7DD6">
      <w:r w:rsidRPr="00EE5B87">
        <w:t>RKAS-</w:t>
      </w:r>
      <w:r>
        <w:t>i</w:t>
      </w:r>
      <w:r w:rsidRPr="00EE5B87">
        <w:t>st olid kaasatud lisaks juhtkonnale kinnisvaraportfelli juhtimise osakond ja finantsanalüüsi osakond</w:t>
      </w:r>
      <w:r w:rsidR="00EE5EFD">
        <w:t>.</w:t>
      </w:r>
    </w:p>
    <w:p w:rsidR="00CC7DD6" w:rsidRPr="00EE5B87" w:rsidRDefault="00CC7DD6" w:rsidP="00CC7DD6">
      <w:r w:rsidRPr="00EE5B87">
        <w:t>PwC kaasas analüüsi pankade Swedbank ja Nordea esindajad, ehitajate Fund ja Merko Ehitused esindajad ja investorite EfTEN ja East Capital esindajad.</w:t>
      </w:r>
    </w:p>
    <w:p w:rsidR="00CC7DD6" w:rsidRPr="00EE5B87" w:rsidRDefault="00CC7DD6" w:rsidP="00CC7DD6">
      <w:r w:rsidRPr="00EE5B87">
        <w:t>Hoonestatud kinnisvara vajaduste määratlemise ja nõutud informatsiooni koondamise riigi kinnisvararegistrisse teostasid valitsejate eestvedamisel kõikide (v.a. Kaitseministeerium) riigias</w:t>
      </w:r>
      <w:r>
        <w:t>u</w:t>
      </w:r>
      <w:r w:rsidRPr="00EE5B87">
        <w:t>tuste haldusstruktuuriüksuste töötajad.</w:t>
      </w:r>
    </w:p>
    <w:p w:rsidR="00CC7DD6" w:rsidRPr="00EE5B87" w:rsidRDefault="00CC7DD6" w:rsidP="00CC7DD6">
      <w:r w:rsidRPr="00EE5B87">
        <w:t>Käesoleva tervikanalüüsi ja tegevuskava koostamiseks kulus hinnang</w:t>
      </w:r>
      <w:r>
        <w:t>u</w:t>
      </w:r>
      <w:r w:rsidRPr="00EE5B87">
        <w:t>liselt ca 2 400 töötundi.</w:t>
      </w:r>
    </w:p>
    <w:p w:rsidR="00CC7DD6" w:rsidRPr="00EE5B87" w:rsidRDefault="00CC7DD6" w:rsidP="00CC7DD6">
      <w:r w:rsidRPr="00EE5B87">
        <w:t>Järgmises alapeatükis esitatakse analüüsi põhitulemused ja järeldused. Teostatud analüüsi osade (vt tabel) järeldusi käesolevas aruandes eraldi välja ei tooda v.a. osana põhijäreldustes. Analüüsi osad</w:t>
      </w:r>
      <w:r>
        <w:t>e töödokumendid, infobaasid on R</w:t>
      </w:r>
      <w:r w:rsidRPr="00EE5B87">
        <w:t>ahandusministeeriumi riigivara</w:t>
      </w:r>
      <w:r>
        <w:t xml:space="preserve"> </w:t>
      </w:r>
      <w:r w:rsidRPr="00EE5B87">
        <w:t>osakonna valduses ja kättesaadavad päringu alusel.</w:t>
      </w:r>
    </w:p>
    <w:p w:rsidR="00582EA4" w:rsidRPr="00161C57" w:rsidRDefault="00582EA4" w:rsidP="00161C57">
      <w:pPr>
        <w:pStyle w:val="Pealkiri3"/>
      </w:pPr>
      <w:bookmarkStart w:id="427" w:name="_Toc433980755"/>
      <w:r w:rsidRPr="00161C57">
        <w:t xml:space="preserve">Analüüsi </w:t>
      </w:r>
      <w:r w:rsidR="00161C57">
        <w:t>ja selle tulemuste kasutamis</w:t>
      </w:r>
      <w:r w:rsidRPr="00161C57">
        <w:t>e</w:t>
      </w:r>
      <w:r w:rsidR="00161C57">
        <w:t xml:space="preserve"> </w:t>
      </w:r>
      <w:r w:rsidRPr="00161C57">
        <w:t>piirangud</w:t>
      </w:r>
      <w:bookmarkEnd w:id="427"/>
      <w:r w:rsidRPr="00161C57">
        <w:t xml:space="preserve"> </w:t>
      </w:r>
    </w:p>
    <w:p w:rsidR="00582EA4" w:rsidRDefault="00582EA4" w:rsidP="00EE5EFD">
      <w:r w:rsidRPr="00EE5B87">
        <w:t>Ana</w:t>
      </w:r>
      <w:r w:rsidR="00EE5EFD">
        <w:t xml:space="preserve">lüüsi tulemusena antav hinnang selle kohta, </w:t>
      </w:r>
      <w:r w:rsidRPr="00EE5B87">
        <w:t xml:space="preserve">milline tehing/tegevuskava oleks konkreetse hoone/hoonekompleksi suhtes sobivaim (arvestades neutraalset või positiivset mõju </w:t>
      </w:r>
      <w:r>
        <w:t>valitsussektor</w:t>
      </w:r>
      <w:r w:rsidRPr="00EE5B87">
        <w:t xml:space="preserve">i tasakaalule ja võlale) koos finantsmõjudega, on </w:t>
      </w:r>
      <w:r w:rsidR="00306412" w:rsidRPr="00EE5EFD">
        <w:rPr>
          <w:b/>
        </w:rPr>
        <w:t xml:space="preserve">masshindamise meetodil antud </w:t>
      </w:r>
      <w:r w:rsidRPr="00EE5EFD">
        <w:rPr>
          <w:b/>
        </w:rPr>
        <w:t>kvalitatiivne eelhinnang</w:t>
      </w:r>
      <w:r w:rsidRPr="00EE5B87">
        <w:t>, mille täpsus kõigub suurtes piirides. Antav hinnang on praktikas kasutatav eelvaliku alusena leidmaks hoonekomplekse, mille osas algatada süvaanalüüs eesmärgiga teha kindlaks lõplik lahendus koos mõjudega.</w:t>
      </w:r>
    </w:p>
    <w:p w:rsidR="00306412" w:rsidRPr="00EE5B87" w:rsidRDefault="00306412" w:rsidP="00EE5EFD">
      <w:r>
        <w:t xml:space="preserve">Analüüsis </w:t>
      </w:r>
      <w:r w:rsidRPr="00EE5B87">
        <w:t>modelleeritakse kulusid, tulusid ja tehinguid arvestamata kehtivaid lepinguid, võetud kohustusi ja plaane. Teisisõnu ei võrsu stsenaariumid ja sellest tulenevad tegevuskavad olemasol</w:t>
      </w:r>
      <w:r w:rsidR="00EE5EFD">
        <w:t>evatest lepingutest, plaanidest ning a</w:t>
      </w:r>
      <w:r>
        <w:t xml:space="preserve">nalüüsi </w:t>
      </w:r>
      <w:r w:rsidRPr="00EE5B87">
        <w:t>seos kehtiva või planeeritava riigieelarve strateegiaga (RES-ga)</w:t>
      </w:r>
      <w:r w:rsidR="00EE5EFD">
        <w:t xml:space="preserve"> objektide tasandil puudub</w:t>
      </w:r>
      <w:r w:rsidRPr="00EE5B87">
        <w:t>.</w:t>
      </w:r>
    </w:p>
    <w:p w:rsidR="00582EA4" w:rsidRDefault="00582EA4" w:rsidP="00EE5EFD">
      <w:r w:rsidRPr="00EE5B87">
        <w:t xml:space="preserve">Hilisema (peale VV vastavaid otsuseid, eelduslikult alates 2015 III kv) kvalitatiivse ja kvantitatiivse </w:t>
      </w:r>
      <w:r>
        <w:t>detail</w:t>
      </w:r>
      <w:r w:rsidRPr="00EE5B87">
        <w:t xml:space="preserve">analüüsi raames tuleb hoone/hoonekompleksi tulevik seostada </w:t>
      </w:r>
      <w:r>
        <w:t xml:space="preserve">valitsemisala </w:t>
      </w:r>
      <w:r w:rsidRPr="00EE5B87">
        <w:t xml:space="preserve">strateegiliste </w:t>
      </w:r>
      <w:r>
        <w:t>eesmärkidega (arengukavadega)</w:t>
      </w:r>
      <w:r w:rsidRPr="00EE5B87">
        <w:t xml:space="preserve">, lahendada optimeerimisülesanne ning asjakohaste ekspertide abiga leida nii </w:t>
      </w:r>
      <w:r w:rsidRPr="00EE5EFD">
        <w:rPr>
          <w:b/>
        </w:rPr>
        <w:t>rahvamajanduse arvestuse kriteeriumitest sobivaim, kui ka majanduslikult mõistlikum tehing</w:t>
      </w:r>
      <w:r w:rsidRPr="00EE5B87">
        <w:t xml:space="preserve">. Kvantitatiivse hinnangu läbiviimiseks on vajalik läbi viia iga hoone/hoonekompleksi tehingu finantsmõjude detailanalüüs hindamaks tehinguga seotud riskide jagunemist. Loetletud </w:t>
      </w:r>
      <w:r>
        <w:t>detail</w:t>
      </w:r>
      <w:r w:rsidRPr="00EE5B87">
        <w:t>analüüsi tegevusi käesolevas analüüsis ei hõlmata, mistõttu ei tohi analüüsi tulemuste alusel langetada lõplikku otsust konkreetse hoonekompleksi suhtes.</w:t>
      </w:r>
    </w:p>
    <w:p w:rsidR="00582EA4" w:rsidRDefault="00582EA4" w:rsidP="00EE5EFD">
      <w:r>
        <w:t xml:space="preserve">Peale hoonete üle andmist RKAS-le (tsentraliseerimist) viiakse läbi portfelli </w:t>
      </w:r>
      <w:r w:rsidRPr="00EE5EFD">
        <w:rPr>
          <w:b/>
        </w:rPr>
        <w:t xml:space="preserve">optimeerimine </w:t>
      </w:r>
      <w:r>
        <w:t>ja tehakse investeeringuotsused selgitamaks välja kõige kriitilisemad investeeringuobjektid. Analüüsis ei tehta optimeerimise prognoose,</w:t>
      </w:r>
      <w:r w:rsidR="00694822">
        <w:t xml:space="preserve"> kuid </w:t>
      </w:r>
      <w:r>
        <w:t xml:space="preserve">eeldatakse, et investeeringuid alustatakse kõige kriitilisematest objektidest, mistõttu vähem prioriteetsed hooned </w:t>
      </w:r>
      <w:r w:rsidR="00EE5EFD">
        <w:t>„</w:t>
      </w:r>
      <w:r>
        <w:t>optimeeruvad loodusliku valiku teel“, st neisse ei tehta investeeringuid</w:t>
      </w:r>
      <w:r w:rsidR="00EE5EFD">
        <w:t xml:space="preserve">, </w:t>
      </w:r>
      <w:r>
        <w:t>need amortiseeruvad</w:t>
      </w:r>
      <w:r w:rsidR="00EE5EFD">
        <w:t xml:space="preserve"> ja muutuvad mittevajalikuks ja seetõttu on ka investeerimisvajadus hinnatust väiksem.</w:t>
      </w:r>
    </w:p>
    <w:p w:rsidR="00582EA4" w:rsidRDefault="00582EA4" w:rsidP="00EE5EFD">
      <w:r w:rsidRPr="00EE5B87">
        <w:t xml:space="preserve">Analüüsis toodud tehingute (kasutusrent ja PPP) hindamisel tuleb ennekõike vaadelda ESA10 reeglistikku kui põhialust </w:t>
      </w:r>
      <w:r>
        <w:t>valitsussektor</w:t>
      </w:r>
      <w:r w:rsidRPr="00EE5B87">
        <w:t>i tasakaalu ja võla arvestuses</w:t>
      </w:r>
      <w:r w:rsidR="00EE5EFD">
        <w:t>. L</w:t>
      </w:r>
      <w:r w:rsidRPr="00EE5B87">
        <w:t>isaks vaadeldakse raamatupidamise reeglitest tulenevaid (eelkõige RTJ9, kuid ka RTJ 17 ja IFRS-IAS 17 ja IPSAS 13) piiranguid.</w:t>
      </w:r>
    </w:p>
    <w:p w:rsidR="00725BCB" w:rsidRPr="00725BCB" w:rsidRDefault="00725BCB" w:rsidP="00725BCB">
      <w:r w:rsidRPr="00725BCB">
        <w:rPr>
          <w:b/>
          <w:bCs/>
        </w:rPr>
        <w:t>Kasutusrent</w:t>
      </w:r>
    </w:p>
    <w:p w:rsidR="00725BCB" w:rsidRPr="00725BCB" w:rsidRDefault="00725BCB" w:rsidP="002F4A30">
      <w:pPr>
        <w:numPr>
          <w:ilvl w:val="0"/>
          <w:numId w:val="37"/>
        </w:numPr>
        <w:spacing w:before="0"/>
      </w:pPr>
      <w:r w:rsidRPr="00725BCB">
        <w:t>Kasutusrendi objektiks on vara (nt büroohoone), mida riik soovib järgnevatel aastatel kasutada, aga ei soovi olla selle pikaajaline omanik.</w:t>
      </w:r>
    </w:p>
    <w:p w:rsidR="00725BCB" w:rsidRPr="00725BCB" w:rsidRDefault="00725BCB" w:rsidP="002F4A30">
      <w:pPr>
        <w:numPr>
          <w:ilvl w:val="0"/>
          <w:numId w:val="37"/>
        </w:numPr>
        <w:spacing w:before="0"/>
      </w:pPr>
      <w:r w:rsidRPr="00725BCB">
        <w:t>Vara peab olema piisava atraktiivsusega ka muule kui riigile suunatud turule.</w:t>
      </w:r>
    </w:p>
    <w:p w:rsidR="00725BCB" w:rsidRPr="00725BCB" w:rsidRDefault="00725BCB" w:rsidP="002F4A30">
      <w:pPr>
        <w:numPr>
          <w:ilvl w:val="0"/>
          <w:numId w:val="37"/>
        </w:numPr>
        <w:spacing w:before="0"/>
      </w:pPr>
      <w:r w:rsidRPr="00725BCB">
        <w:t>Tehingu struktuuri järgselt müüb riik tehingu alguses vara erapartnerile (erasektori osapoolele), eesmärgiga see tagasi rentida.</w:t>
      </w:r>
    </w:p>
    <w:p w:rsidR="00725BCB" w:rsidRPr="00725BCB" w:rsidRDefault="00725BCB" w:rsidP="002F4A30">
      <w:pPr>
        <w:numPr>
          <w:ilvl w:val="0"/>
          <w:numId w:val="37"/>
        </w:numPr>
        <w:spacing w:before="0"/>
      </w:pPr>
      <w:r w:rsidRPr="00725BCB">
        <w:t>Rendileandja (erapartner) peab teostama vajalikud investeeringud.</w:t>
      </w:r>
    </w:p>
    <w:p w:rsidR="00725BCB" w:rsidRPr="00725BCB" w:rsidRDefault="00725BCB" w:rsidP="002F4A30">
      <w:pPr>
        <w:numPr>
          <w:ilvl w:val="0"/>
          <w:numId w:val="37"/>
        </w:numPr>
        <w:spacing w:before="0"/>
      </w:pPr>
      <w:r w:rsidRPr="00725BCB">
        <w:t>Rendimaksed vara kasutamise eest on turutingimustel.</w:t>
      </w:r>
    </w:p>
    <w:p w:rsidR="00725BCB" w:rsidRPr="00725BCB" w:rsidRDefault="00725BCB" w:rsidP="002F4A30">
      <w:pPr>
        <w:numPr>
          <w:ilvl w:val="0"/>
          <w:numId w:val="37"/>
        </w:numPr>
        <w:spacing w:before="0"/>
      </w:pPr>
      <w:r w:rsidRPr="00725BCB">
        <w:t>Peamised varaga kaasnevad riskid on rendileandja kanda.</w:t>
      </w:r>
    </w:p>
    <w:p w:rsidR="00725BCB" w:rsidRPr="00725BCB" w:rsidRDefault="00725BCB" w:rsidP="002F4A30">
      <w:pPr>
        <w:numPr>
          <w:ilvl w:val="0"/>
          <w:numId w:val="37"/>
        </w:numPr>
        <w:spacing w:before="0"/>
      </w:pPr>
      <w:r w:rsidRPr="00725BCB">
        <w:t>Tehingu lepingu pikkus on kuni 20 aastat.</w:t>
      </w:r>
    </w:p>
    <w:p w:rsidR="00725BCB" w:rsidRDefault="00725BCB" w:rsidP="00725BCB">
      <w:pPr>
        <w:spacing w:before="0"/>
        <w:rPr>
          <w:b/>
          <w:bCs/>
        </w:rPr>
      </w:pPr>
    </w:p>
    <w:p w:rsidR="00725BCB" w:rsidRPr="00725BCB" w:rsidRDefault="00725BCB" w:rsidP="00725BCB">
      <w:pPr>
        <w:spacing w:before="0"/>
      </w:pPr>
      <w:r w:rsidRPr="00725BCB">
        <w:rPr>
          <w:b/>
          <w:bCs/>
        </w:rPr>
        <w:t>PPP</w:t>
      </w:r>
      <w:r w:rsidR="005E0388">
        <w:rPr>
          <w:b/>
          <w:bCs/>
        </w:rPr>
        <w:t xml:space="preserve">, </w:t>
      </w:r>
      <w:r w:rsidR="005E0388" w:rsidRPr="003E51C3">
        <w:rPr>
          <w:b/>
        </w:rPr>
        <w:t>mis kajastatakse kasutusrendi tingimustel</w:t>
      </w:r>
    </w:p>
    <w:p w:rsidR="00725BCB" w:rsidRPr="00725BCB" w:rsidRDefault="00725BCB" w:rsidP="002F4A30">
      <w:pPr>
        <w:numPr>
          <w:ilvl w:val="0"/>
          <w:numId w:val="38"/>
        </w:numPr>
        <w:spacing w:before="0"/>
      </w:pPr>
      <w:r w:rsidRPr="00725BCB">
        <w:t>PPP objektiks on vara, mille pikaajaliseks optimaalseks omanikuks on riik.</w:t>
      </w:r>
    </w:p>
    <w:p w:rsidR="00725BCB" w:rsidRPr="00725BCB" w:rsidRDefault="00725BCB" w:rsidP="002F4A30">
      <w:pPr>
        <w:numPr>
          <w:ilvl w:val="0"/>
          <w:numId w:val="38"/>
        </w:numPr>
        <w:spacing w:before="0"/>
      </w:pPr>
      <w:r w:rsidRPr="00725BCB">
        <w:t xml:space="preserve">Vara iseloom on enamasti kas avalike teenuste osutamine </w:t>
      </w:r>
      <w:r w:rsidRPr="00725BCB">
        <w:br/>
        <w:t xml:space="preserve">(nt päästeteenused) või ei võimalda kaasnevad tingimused </w:t>
      </w:r>
      <w:r w:rsidRPr="00725BCB">
        <w:br/>
        <w:t>(nt atraktiivsus turu jaoks) kasutusrendi tehingut sõlmida.</w:t>
      </w:r>
    </w:p>
    <w:p w:rsidR="00725BCB" w:rsidRPr="00725BCB" w:rsidRDefault="00725BCB" w:rsidP="002F4A30">
      <w:pPr>
        <w:numPr>
          <w:ilvl w:val="0"/>
          <w:numId w:val="38"/>
        </w:numPr>
        <w:spacing w:before="0"/>
      </w:pPr>
      <w:r w:rsidRPr="00725BCB">
        <w:t>Tehingu aluseks oleva vara loomiseks/korda tegemiseks vajalik investeering ületab 50% selle vara tulevasest kogumaksumusest.</w:t>
      </w:r>
    </w:p>
    <w:p w:rsidR="00725BCB" w:rsidRPr="00725BCB" w:rsidRDefault="00725BCB" w:rsidP="002F4A30">
      <w:pPr>
        <w:numPr>
          <w:ilvl w:val="0"/>
          <w:numId w:val="38"/>
        </w:numPr>
        <w:spacing w:before="0"/>
      </w:pPr>
      <w:r w:rsidRPr="00725BCB">
        <w:t>Varaga seotud peamised riskid (nt ehitusrisk, kasutusvalmidusrisk, finantseerimisrisk, lõppväärtuse risk jne) on erapartneri kanda.</w:t>
      </w:r>
    </w:p>
    <w:p w:rsidR="00725BCB" w:rsidRPr="00725BCB" w:rsidRDefault="00725BCB" w:rsidP="002F4A30">
      <w:pPr>
        <w:numPr>
          <w:ilvl w:val="0"/>
          <w:numId w:val="38"/>
        </w:numPr>
        <w:spacing w:before="0"/>
      </w:pPr>
      <w:r w:rsidRPr="00725BCB">
        <w:t>Lepingu pikkuseks on eeldatud</w:t>
      </w:r>
      <w:r w:rsidR="00F96800">
        <w:t xml:space="preserve"> </w:t>
      </w:r>
      <w:r w:rsidRPr="00725BCB">
        <w:t>30 aastat.</w:t>
      </w:r>
    </w:p>
    <w:p w:rsidR="00725BCB" w:rsidRPr="00725BCB" w:rsidRDefault="00725BCB" w:rsidP="002F4A30">
      <w:pPr>
        <w:numPr>
          <w:ilvl w:val="0"/>
          <w:numId w:val="38"/>
        </w:numPr>
        <w:spacing w:before="0"/>
      </w:pPr>
      <w:r w:rsidRPr="00725BCB">
        <w:t xml:space="preserve">Lepinguperioodi lõppedes läheb vara ilma täiendava makseta riigi omandisse. </w:t>
      </w:r>
    </w:p>
    <w:p w:rsidR="00725BCB" w:rsidRDefault="00725BCB" w:rsidP="00725BCB">
      <w:pPr>
        <w:spacing w:before="0"/>
      </w:pPr>
    </w:p>
    <w:p w:rsidR="00B35D2F" w:rsidRPr="00EE5B87" w:rsidRDefault="00B35D2F" w:rsidP="00161C57">
      <w:pPr>
        <w:pStyle w:val="Pealkiri2"/>
      </w:pPr>
      <w:bookmarkStart w:id="428" w:name="_Toc433980756"/>
      <w:r w:rsidRPr="00EE5B87">
        <w:t>Rahastamisvõimaluste analüüs</w:t>
      </w:r>
      <w:bookmarkEnd w:id="415"/>
      <w:r w:rsidR="00CC7DD6">
        <w:t>i järeldused</w:t>
      </w:r>
      <w:bookmarkEnd w:id="428"/>
    </w:p>
    <w:p w:rsidR="00FE6DF9" w:rsidRDefault="00FE6DF9" w:rsidP="00161C57">
      <w:pPr>
        <w:pStyle w:val="Pealkiri3"/>
      </w:pPr>
      <w:bookmarkStart w:id="429" w:name="_Toc433980757"/>
      <w:r>
        <w:t xml:space="preserve">Kinnisvara rahastamise </w:t>
      </w:r>
      <w:r w:rsidRPr="00161C57">
        <w:t>võimalused</w:t>
      </w:r>
      <w:r>
        <w:t xml:space="preserve"> riigieelarves</w:t>
      </w:r>
      <w:bookmarkEnd w:id="429"/>
    </w:p>
    <w:p w:rsidR="00FE6DF9" w:rsidRPr="00EE5B87" w:rsidRDefault="00F10486" w:rsidP="00FE6DF9">
      <w:r>
        <w:t>Võttes</w:t>
      </w:r>
      <w:r w:rsidR="0087409C">
        <w:t xml:space="preserve"> aluseks analüüsitavale </w:t>
      </w:r>
      <w:r w:rsidR="00FE6DF9" w:rsidRPr="00EE5B87">
        <w:t>portfellile (1,</w:t>
      </w:r>
      <w:r w:rsidR="00FE6DF9">
        <w:t>52</w:t>
      </w:r>
      <w:r w:rsidR="00FE6DF9" w:rsidRPr="00EE5B87">
        <w:t xml:space="preserve"> mln m</w:t>
      </w:r>
      <w:r w:rsidR="00FE6DF9" w:rsidRPr="00EE5B87">
        <w:rPr>
          <w:vertAlign w:val="superscript"/>
        </w:rPr>
        <w:t>2</w:t>
      </w:r>
      <w:r w:rsidR="00FE6DF9" w:rsidRPr="00EE5B87">
        <w:t xml:space="preserve">) riigieelarvest tehtud </w:t>
      </w:r>
      <w:r w:rsidRPr="00EE5B87">
        <w:t>kulutus</w:t>
      </w:r>
      <w:r>
        <w:t>te</w:t>
      </w:r>
      <w:r w:rsidRPr="00EE5B87">
        <w:t xml:space="preserve"> </w:t>
      </w:r>
      <w:r w:rsidR="00FE6DF9" w:rsidRPr="00EE5B87">
        <w:t>(perioodi</w:t>
      </w:r>
      <w:r w:rsidR="0087409C">
        <w:t>-</w:t>
      </w:r>
      <w:r w:rsidR="00FE6DF9" w:rsidRPr="00EE5B87">
        <w:t xml:space="preserve"> ja kapitalikulud kokku) viie aasta (2010-14) </w:t>
      </w:r>
      <w:r w:rsidRPr="00EE5B87">
        <w:t>keskmi</w:t>
      </w:r>
      <w:r>
        <w:t>sed koostati</w:t>
      </w:r>
      <w:r w:rsidR="0087409C">
        <w:t xml:space="preserve"> kolm prognoosi</w:t>
      </w:r>
      <w:r w:rsidR="00FE6DF9" w:rsidRPr="00EE5B87">
        <w:t xml:space="preserve">: </w:t>
      </w:r>
    </w:p>
    <w:p w:rsidR="00FE6DF9" w:rsidRPr="00EE5B87" w:rsidRDefault="0087409C" w:rsidP="002F4A30">
      <w:pPr>
        <w:pStyle w:val="ListParagraph"/>
        <w:numPr>
          <w:ilvl w:val="0"/>
          <w:numId w:val="19"/>
        </w:numPr>
      </w:pPr>
      <w:r>
        <w:t xml:space="preserve">ekstrapoleerides kinnisvarakulusid </w:t>
      </w:r>
      <w:r w:rsidR="00FE6DF9" w:rsidRPr="00EE5B87">
        <w:t>tarbijahinnaindeksi</w:t>
      </w:r>
      <w:r>
        <w:t xml:space="preserve"> (THI) prognoosiga, mille alusel kujundati THI-prognoos – edaspidi nimetatud kui </w:t>
      </w:r>
      <w:r w:rsidR="0077640C" w:rsidRPr="0077640C">
        <w:rPr>
          <w:b/>
        </w:rPr>
        <w:t xml:space="preserve">pessimistlik </w:t>
      </w:r>
      <w:r w:rsidRPr="0087409C">
        <w:rPr>
          <w:b/>
        </w:rPr>
        <w:t>prognoos</w:t>
      </w:r>
      <w:r>
        <w:t>;</w:t>
      </w:r>
    </w:p>
    <w:p w:rsidR="0087409C" w:rsidRPr="0087409C" w:rsidRDefault="0087409C" w:rsidP="002F4A30">
      <w:pPr>
        <w:pStyle w:val="ListParagraph"/>
        <w:numPr>
          <w:ilvl w:val="0"/>
          <w:numId w:val="19"/>
        </w:numPr>
      </w:pPr>
      <w:r>
        <w:t xml:space="preserve">analüüsides kinnisvarakulude </w:t>
      </w:r>
      <w:r w:rsidR="00FE6DF9" w:rsidRPr="00EE5B87">
        <w:t>keskmi</w:t>
      </w:r>
      <w:r>
        <w:t>st</w:t>
      </w:r>
      <w:r w:rsidR="00FE6DF9" w:rsidRPr="00EE5B87">
        <w:t xml:space="preserve"> suhe</w:t>
      </w:r>
      <w:r>
        <w:t xml:space="preserve">t SKP prognoosi, mille alusel tuletati SKP-prognoos - edaspidi nimetatud kui </w:t>
      </w:r>
      <w:r w:rsidR="0077640C">
        <w:rPr>
          <w:b/>
        </w:rPr>
        <w:t>optimistlik</w:t>
      </w:r>
      <w:r w:rsidRPr="0087409C">
        <w:rPr>
          <w:b/>
        </w:rPr>
        <w:t xml:space="preserve"> prognoos; </w:t>
      </w:r>
    </w:p>
    <w:p w:rsidR="0087409C" w:rsidRPr="00F10486" w:rsidRDefault="0077640C" w:rsidP="002F4A30">
      <w:pPr>
        <w:pStyle w:val="ListParagraph"/>
        <w:numPr>
          <w:ilvl w:val="0"/>
          <w:numId w:val="19"/>
        </w:numPr>
      </w:pPr>
      <w:r>
        <w:t>kahe</w:t>
      </w:r>
      <w:r w:rsidR="0087409C">
        <w:t xml:space="preserve"> prognoosi </w:t>
      </w:r>
      <w:r w:rsidR="00FE6DF9" w:rsidRPr="00EE5B87">
        <w:t xml:space="preserve">keskmine </w:t>
      </w:r>
      <w:r w:rsidR="0087409C">
        <w:t xml:space="preserve">– edaspidi nimetatud kui </w:t>
      </w:r>
      <w:r w:rsidR="00467742">
        <w:rPr>
          <w:b/>
        </w:rPr>
        <w:t>keskmine</w:t>
      </w:r>
      <w:r w:rsidR="00467742" w:rsidRPr="0087409C">
        <w:rPr>
          <w:b/>
        </w:rPr>
        <w:t xml:space="preserve"> </w:t>
      </w:r>
      <w:r w:rsidR="0087409C" w:rsidRPr="0087409C">
        <w:rPr>
          <w:b/>
        </w:rPr>
        <w:t>prognoos</w:t>
      </w:r>
      <w:r w:rsidR="0087409C">
        <w:rPr>
          <w:b/>
        </w:rPr>
        <w:t>.</w:t>
      </w:r>
    </w:p>
    <w:p w:rsidR="00CF75A2" w:rsidRDefault="00F10486">
      <w:r>
        <w:t xml:space="preserve">THI ja SKP 2015-2045 prognoosi koostas rahandusministeeriumi </w:t>
      </w:r>
      <w:r w:rsidR="0072543C">
        <w:t xml:space="preserve">fiskaalpoliitika </w:t>
      </w:r>
      <w:r>
        <w:t>osakond.</w:t>
      </w:r>
    </w:p>
    <w:p w:rsidR="00FE6DF9" w:rsidRPr="00EE5B87" w:rsidRDefault="00FE6DF9" w:rsidP="0087409C">
      <w:r w:rsidRPr="00EE5B87">
        <w:t xml:space="preserve">Saadud kolm riigieelarve </w:t>
      </w:r>
      <w:r w:rsidR="00635636">
        <w:t>prognoosi</w:t>
      </w:r>
      <w:r w:rsidR="00F10486">
        <w:t xml:space="preserve"> </w:t>
      </w:r>
      <w:r w:rsidRPr="00EE5B87">
        <w:t>on esitatud alljärgneval joonisel</w:t>
      </w:r>
      <w:r w:rsidR="00635636">
        <w:t xml:space="preserve"> (</w:t>
      </w:r>
      <w:r w:rsidR="00A85FDC">
        <w:fldChar w:fldCharType="begin"/>
      </w:r>
      <w:r w:rsidR="00635636">
        <w:instrText xml:space="preserve"> REF _Ref427322840 \h </w:instrText>
      </w:r>
      <w:r w:rsidR="00A85FDC">
        <w:fldChar w:fldCharType="separate"/>
      </w:r>
      <w:r w:rsidR="00477322">
        <w:t xml:space="preserve">Joonis </w:t>
      </w:r>
      <w:r w:rsidR="00477322">
        <w:rPr>
          <w:noProof/>
        </w:rPr>
        <w:t>29</w:t>
      </w:r>
      <w:r w:rsidR="00A85FDC">
        <w:fldChar w:fldCharType="end"/>
      </w:r>
      <w:r w:rsidR="00635636">
        <w:t>)</w:t>
      </w:r>
      <w:r w:rsidRPr="00EE5B87">
        <w:t>:</w:t>
      </w:r>
    </w:p>
    <w:p w:rsidR="00635636" w:rsidRDefault="00635636" w:rsidP="00635636">
      <w:pPr>
        <w:pStyle w:val="Caption"/>
      </w:pPr>
      <w:bookmarkStart w:id="430" w:name="_Ref427322840"/>
      <w:r>
        <w:t xml:space="preserve">Joonis </w:t>
      </w:r>
      <w:fldSimple w:instr=" SEQ Joonis \* ARABIC ">
        <w:r w:rsidR="00477322">
          <w:rPr>
            <w:noProof/>
          </w:rPr>
          <w:t>29</w:t>
        </w:r>
      </w:fldSimple>
      <w:bookmarkEnd w:id="430"/>
      <w:r>
        <w:t>. Riigieelarves olevate kinnisvarakulude prognoos</w:t>
      </w:r>
    </w:p>
    <w:p w:rsidR="00FE6DF9" w:rsidRPr="00EE5B87" w:rsidRDefault="003E359D" w:rsidP="003E359D">
      <w:pPr>
        <w:jc w:val="left"/>
      </w:pPr>
      <w:r w:rsidRPr="003E359D">
        <w:rPr>
          <w:noProof/>
          <w:lang w:eastAsia="et-EE"/>
        </w:rPr>
        <w:drawing>
          <wp:inline distT="0" distB="0" distL="0" distR="0">
            <wp:extent cx="5210737" cy="3171265"/>
            <wp:effectExtent l="0" t="0" r="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E6DF9" w:rsidRPr="00EE5B87" w:rsidRDefault="00FE6DF9" w:rsidP="00FE6DF9">
      <w:r w:rsidRPr="00EE5B87">
        <w:t xml:space="preserve">Joonisel on näha, et </w:t>
      </w:r>
      <w:r w:rsidR="00567166" w:rsidRPr="00EE5B87">
        <w:t>optimistliku</w:t>
      </w:r>
      <w:r w:rsidRPr="00EE5B87">
        <w:t xml:space="preserve"> riigieelarve</w:t>
      </w:r>
      <w:r w:rsidR="00F10486">
        <w:t xml:space="preserve"> prognoosi</w:t>
      </w:r>
      <w:r w:rsidRPr="00EE5B87">
        <w:t xml:space="preserve"> (SKP) kasv on oluliselt kiirem võrrelduna pessimistliku riigieelarve</w:t>
      </w:r>
      <w:r w:rsidR="00F10486">
        <w:t xml:space="preserve"> prognoosi</w:t>
      </w:r>
      <w:r w:rsidRPr="00EE5B87">
        <w:t xml:space="preserve"> (THI) kasvuga, aastaks 2045 on </w:t>
      </w:r>
      <w:r w:rsidR="00F10486">
        <w:t xml:space="preserve">optimistliku prognoosi </w:t>
      </w:r>
      <w:r w:rsidRPr="00EE5B87">
        <w:t xml:space="preserve">järgi riigieelarves ca 2,4 korda rohkem vahendeid kui </w:t>
      </w:r>
      <w:r w:rsidR="00F10486">
        <w:t>pessimistliku prognoosi järgi</w:t>
      </w:r>
      <w:r w:rsidRPr="00EE5B87">
        <w:t>. Võrdlusena saab välja tuua algusaastad</w:t>
      </w:r>
      <w:r w:rsidR="00B56DDB">
        <w:t>,</w:t>
      </w:r>
      <w:r w:rsidRPr="00EE5B87">
        <w:t xml:space="preserve"> mil vahe on ca 20%.</w:t>
      </w:r>
    </w:p>
    <w:p w:rsidR="00FE6DF9" w:rsidRPr="00EE5B87" w:rsidRDefault="00FE6DF9" w:rsidP="00FE6DF9">
      <w:r w:rsidRPr="00EE5B87">
        <w:t xml:space="preserve">Joonisel on näha riigieelarve mahu langused sõltumata </w:t>
      </w:r>
      <w:r w:rsidR="00157FCB">
        <w:t>prognoosist</w:t>
      </w:r>
      <w:r w:rsidR="00157FCB" w:rsidRPr="00EE5B87">
        <w:t xml:space="preserve"> </w:t>
      </w:r>
      <w:r w:rsidRPr="00EE5B87">
        <w:t>aastatel 2020-2021 mil toimub välisvahendi</w:t>
      </w:r>
      <w:r>
        <w:t>t</w:t>
      </w:r>
      <w:r w:rsidRPr="00EE5B87">
        <w:t>e hulga oluline vähenemine. Kerge väl</w:t>
      </w:r>
      <w:r>
        <w:t>i</w:t>
      </w:r>
      <w:r w:rsidRPr="00EE5B87">
        <w:t>svahendite vähenemine toimub ka aastal 2027.</w:t>
      </w:r>
    </w:p>
    <w:p w:rsidR="00FE6DF9" w:rsidRDefault="0077640C" w:rsidP="00FE6DF9">
      <w:r>
        <w:t>Raha</w:t>
      </w:r>
      <w:r w:rsidR="00341FC4">
        <w:t xml:space="preserve">ndusministeerium analüüsis </w:t>
      </w:r>
      <w:r>
        <w:t>kehtiv</w:t>
      </w:r>
      <w:r w:rsidR="002C7366">
        <w:t>a</w:t>
      </w:r>
      <w:r>
        <w:t xml:space="preserve"> riigi kinnisvarastrateegia </w:t>
      </w:r>
      <w:r w:rsidR="00341FC4">
        <w:t xml:space="preserve">eesmärke ja </w:t>
      </w:r>
      <w:r>
        <w:t>rakendamisel kujunenud praktika</w:t>
      </w:r>
      <w:r w:rsidR="002C7366">
        <w:t>t</w:t>
      </w:r>
      <w:r>
        <w:t xml:space="preserve"> </w:t>
      </w:r>
      <w:r w:rsidR="00341FC4">
        <w:t xml:space="preserve">ning </w:t>
      </w:r>
      <w:r w:rsidR="005624A4">
        <w:t>selle elluviimise jätkusuutlikkust</w:t>
      </w:r>
      <w:r w:rsidR="002C7366">
        <w:t xml:space="preserve"> arvestades </w:t>
      </w:r>
      <w:r>
        <w:t>riigieelarve</w:t>
      </w:r>
      <w:r w:rsidR="002C7366">
        <w:t>st tulenevaid võimalusi</w:t>
      </w:r>
      <w:r>
        <w:t xml:space="preserve">. </w:t>
      </w:r>
    </w:p>
    <w:p w:rsidR="00635636" w:rsidRDefault="00635636" w:rsidP="00635636">
      <w:pPr>
        <w:pStyle w:val="Caption"/>
      </w:pPr>
      <w:bookmarkStart w:id="431" w:name="_Ref427322942"/>
      <w:r w:rsidRPr="00635636">
        <w:t xml:space="preserve">Joonis </w:t>
      </w:r>
      <w:fldSimple w:instr=" SEQ Joonis \* ARABIC ">
        <w:r w:rsidR="00477322">
          <w:rPr>
            <w:noProof/>
          </w:rPr>
          <w:t>30</w:t>
        </w:r>
      </w:fldSimple>
      <w:bookmarkEnd w:id="431"/>
      <w:r w:rsidRPr="00635636">
        <w:t>.</w:t>
      </w:r>
      <w:r w:rsidRPr="00635636">
        <w:rPr>
          <w:b w:val="0"/>
          <w:bCs w:val="0"/>
          <w:color w:val="000000"/>
          <w:sz w:val="24"/>
          <w:lang w:eastAsia="et-EE"/>
        </w:rPr>
        <w:t xml:space="preserve"> </w:t>
      </w:r>
      <w:r w:rsidRPr="00635636">
        <w:t xml:space="preserve">Eelarve jääk perioodi lõpus riigi kinnisvarastrateegia elluviimise jätkamisel erinevate eelarveprognoosidega </w:t>
      </w:r>
    </w:p>
    <w:p w:rsidR="00FE6DF9" w:rsidRDefault="00CF75A2" w:rsidP="00FE6DF9">
      <w:pPr>
        <w:jc w:val="center"/>
      </w:pPr>
      <w:r>
        <w:rPr>
          <w:noProof/>
          <w:lang w:eastAsia="et-EE"/>
        </w:rPr>
        <w:drawing>
          <wp:inline distT="0" distB="0" distL="0" distR="0">
            <wp:extent cx="5648327" cy="320040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157FCB" w:rsidRPr="00157FCB" w:rsidDel="0072543C">
        <w:t xml:space="preserve"> </w:t>
      </w:r>
    </w:p>
    <w:p w:rsidR="002C7366" w:rsidRDefault="00FE6DF9" w:rsidP="00FE6DF9">
      <w:r>
        <w:t xml:space="preserve">Jooniselt </w:t>
      </w:r>
      <w:r w:rsidR="00635636">
        <w:t>(</w:t>
      </w:r>
      <w:r w:rsidR="00A85FDC">
        <w:fldChar w:fldCharType="begin"/>
      </w:r>
      <w:r w:rsidR="00635636">
        <w:instrText xml:space="preserve"> REF _Ref427322942 \h </w:instrText>
      </w:r>
      <w:r w:rsidR="00A85FDC">
        <w:fldChar w:fldCharType="separate"/>
      </w:r>
      <w:r w:rsidR="00477322" w:rsidRPr="00635636">
        <w:t xml:space="preserve">Joonis </w:t>
      </w:r>
      <w:r w:rsidR="00477322">
        <w:rPr>
          <w:noProof/>
        </w:rPr>
        <w:t>30</w:t>
      </w:r>
      <w:r w:rsidR="00A85FDC">
        <w:fldChar w:fldCharType="end"/>
      </w:r>
      <w:r w:rsidR="00635636">
        <w:t xml:space="preserve">) </w:t>
      </w:r>
      <w:r>
        <w:t xml:space="preserve">nähtub, et mitte ühegi eelarve prognoosi korral ei ole </w:t>
      </w:r>
      <w:r w:rsidR="00157FCB">
        <w:t xml:space="preserve">rakendatav </w:t>
      </w:r>
      <w:r>
        <w:t>strateegia rahaliselt jätkusuutlik esimesel 15 aastal ja ainult optimistliku</w:t>
      </w:r>
      <w:r w:rsidR="002C7366">
        <w:t xml:space="preserve"> (SKP) </w:t>
      </w:r>
      <w:r>
        <w:t xml:space="preserve">eelarve prognoosi puhul on eelarve jääk positiivne pärast aastat 2030. </w:t>
      </w:r>
    </w:p>
    <w:p w:rsidR="00FE6DF9" w:rsidRDefault="00DF7FE1" w:rsidP="00FE6DF9">
      <w:pPr>
        <w:rPr>
          <w:b/>
        </w:rPr>
      </w:pPr>
      <w:r>
        <w:rPr>
          <w:b/>
        </w:rPr>
        <w:t xml:space="preserve">Kehtiva </w:t>
      </w:r>
      <w:r w:rsidR="00FE6DF9" w:rsidRPr="004B602B">
        <w:rPr>
          <w:b/>
        </w:rPr>
        <w:t xml:space="preserve">riigi kinnisvarategevuse strateegia elluviimine </w:t>
      </w:r>
      <w:r>
        <w:rPr>
          <w:b/>
        </w:rPr>
        <w:t xml:space="preserve">ei ole </w:t>
      </w:r>
      <w:r w:rsidR="00FE6DF9" w:rsidRPr="004B602B">
        <w:rPr>
          <w:b/>
        </w:rPr>
        <w:t>rahaliselt jätkusuutlik</w:t>
      </w:r>
      <w:r>
        <w:rPr>
          <w:b/>
        </w:rPr>
        <w:t>,</w:t>
      </w:r>
      <w:r w:rsidR="00F96800">
        <w:rPr>
          <w:b/>
        </w:rPr>
        <w:t xml:space="preserve"> </w:t>
      </w:r>
      <w:r>
        <w:rPr>
          <w:b/>
        </w:rPr>
        <w:t>t</w:t>
      </w:r>
      <w:r w:rsidR="00FE6DF9" w:rsidRPr="004B602B">
        <w:rPr>
          <w:b/>
        </w:rPr>
        <w:t xml:space="preserve">uleb otsida alternatiivseid lahendusi. </w:t>
      </w:r>
    </w:p>
    <w:p w:rsidR="00B35D2F" w:rsidRPr="00EE5B87" w:rsidRDefault="00F859AC" w:rsidP="00161C57">
      <w:pPr>
        <w:pStyle w:val="Pealkiri3"/>
      </w:pPr>
      <w:bookmarkStart w:id="432" w:name="_Toc433980758"/>
      <w:r>
        <w:t>S</w:t>
      </w:r>
      <w:r w:rsidR="004B602B">
        <w:t>tra</w:t>
      </w:r>
      <w:r w:rsidR="00B55D35">
        <w:t>tee</w:t>
      </w:r>
      <w:r w:rsidR="004B602B">
        <w:t>gi</w:t>
      </w:r>
      <w:r w:rsidR="00B55D35">
        <w:t xml:space="preserve">liste </w:t>
      </w:r>
      <w:r w:rsidR="00DF7FE1">
        <w:t>valikute alternatiivid</w:t>
      </w:r>
      <w:bookmarkEnd w:id="432"/>
    </w:p>
    <w:p w:rsidR="00DF7FE1" w:rsidRDefault="00DF7FE1" w:rsidP="00DF7FE1">
      <w:r w:rsidRPr="00DF7FE1">
        <w:t>Põhjus, miks 2007. aastal Vabariigi Valitsuse poolt heaks kiidetud riigi kinnisvarategevuse strateegia elluviimine ei ole rahaliselt jätkusuutlik</w:t>
      </w:r>
      <w:r>
        <w:t xml:space="preserve"> on tõik, et </w:t>
      </w:r>
      <w:r w:rsidRPr="00AE5BF8">
        <w:rPr>
          <w:b/>
        </w:rPr>
        <w:t>2008. aastal arvati RKAS-i valitsussektorisse ja kõik RKAS-i kaudu tehtavad investeeringud mõjutavad riigieelarve tasakaalu</w:t>
      </w:r>
      <w:r>
        <w:t xml:space="preserve">. See tähendab, et RKAS-i kaudu rahastamisel </w:t>
      </w:r>
      <w:r w:rsidR="00AE5BF8">
        <w:t xml:space="preserve">puudub võimalus kasutada finantsvõimendust, mis oli üheks oluliseks </w:t>
      </w:r>
      <w:r w:rsidR="00F859AC">
        <w:t xml:space="preserve">tsentraalse valitsemise ja </w:t>
      </w:r>
      <w:r w:rsidR="00AE5BF8">
        <w:t xml:space="preserve">RKAS-i kaudu strateegia elluviimise </w:t>
      </w:r>
      <w:r w:rsidR="00F859AC">
        <w:t>kasuks otsuse tegemise põhjuseks.</w:t>
      </w:r>
      <w:r w:rsidR="00F96800">
        <w:t xml:space="preserve"> </w:t>
      </w:r>
    </w:p>
    <w:p w:rsidR="004B602B" w:rsidRPr="00EE5B87" w:rsidRDefault="00F859AC" w:rsidP="004B602B">
      <w:r>
        <w:t xml:space="preserve">Võttes arvesse ka teisi probleeme kinnisvarastrateegia elluviimisel, mida on kirjeldatud käesoleva aruande teises peatükis ja süvenevaid kõhklusi riigi kinnisvarastrateegia elluviimisel, analüüsiti alternatiivseid võimalusi. </w:t>
      </w:r>
      <w:r w:rsidR="00B56DDB">
        <w:t>Alternatiivsed strateegi</w:t>
      </w:r>
      <w:r>
        <w:t xml:space="preserve">lised valikud: </w:t>
      </w:r>
    </w:p>
    <w:p w:rsidR="0015528F" w:rsidRPr="00EE5B87" w:rsidRDefault="0015528F" w:rsidP="0015528F">
      <w:r>
        <w:t>1</w:t>
      </w:r>
      <w:r w:rsidRPr="00EE5B87">
        <w:t xml:space="preserve">) </w:t>
      </w:r>
      <w:r w:rsidRPr="00EB517B">
        <w:rPr>
          <w:b/>
        </w:rPr>
        <w:t>Detsentraliseeritud korraldus</w:t>
      </w:r>
      <w:r w:rsidRPr="00EB517B">
        <w:t>, mille kohaselt külmutatakse riigi kinnisvarastrateegia elluviimine:</w:t>
      </w:r>
      <w:r w:rsidR="00F96800">
        <w:rPr>
          <w:b/>
        </w:rPr>
        <w:t xml:space="preserve"> </w:t>
      </w:r>
      <w:r w:rsidRPr="00EB517B">
        <w:t>ri</w:t>
      </w:r>
      <w:r w:rsidRPr="00EE5B87">
        <w:t xml:space="preserve">igile kuuluvad hooned antakse üle RKAS-le ainult </w:t>
      </w:r>
      <w:r>
        <w:t xml:space="preserve">selles mahus, nagu </w:t>
      </w:r>
      <w:r w:rsidRPr="00EE5B87">
        <w:t xml:space="preserve">valitsejad selleks soovi </w:t>
      </w:r>
      <w:r>
        <w:t xml:space="preserve">on </w:t>
      </w:r>
      <w:r w:rsidRPr="00EE5B87">
        <w:t>avalda</w:t>
      </w:r>
      <w:r>
        <w:t xml:space="preserve">nud </w:t>
      </w:r>
      <w:r w:rsidRPr="00EE5B87">
        <w:t xml:space="preserve">(2014 </w:t>
      </w:r>
      <w:r>
        <w:t>suvel läbiviidud küsitlus, vt pikem selgitus teises peatükis</w:t>
      </w:r>
      <w:r w:rsidRPr="00EE5B87">
        <w:t>).</w:t>
      </w:r>
      <w:r w:rsidR="00F96800">
        <w:t xml:space="preserve"> </w:t>
      </w:r>
      <w:r w:rsidRPr="00EE5B87">
        <w:t>Riigi kinnisvara portfelli korraldamin</w:t>
      </w:r>
      <w:r>
        <w:t>e</w:t>
      </w:r>
      <w:r w:rsidRPr="00EE5B87">
        <w:t xml:space="preserve"> jaguneb kaheks. Sõlt</w:t>
      </w:r>
      <w:r>
        <w:t>u</w:t>
      </w:r>
      <w:r w:rsidRPr="00EE5B87">
        <w:t xml:space="preserve">valt hoone omandist, korraldab kumbki (RKAS ja valitsejad) oma hoonete portfelli. Kuna RKASi portfelli maht jääb selle </w:t>
      </w:r>
      <w:r>
        <w:t xml:space="preserve">alternatiiviga </w:t>
      </w:r>
      <w:r w:rsidRPr="00EE5B87">
        <w:t>tagasihoidlikuks, kaasatakse erasektori investeeringuid ainult kasutusrendi</w:t>
      </w:r>
      <w:r>
        <w:t xml:space="preserve"> </w:t>
      </w:r>
      <w:r w:rsidRPr="00EE5B87">
        <w:t>tehingute (ainult büroohooned Tallinnas ja Tartus) kaudu. PPP tehinguid ei tehta.</w:t>
      </w:r>
    </w:p>
    <w:p w:rsidR="004B602B" w:rsidRPr="00EE5B87" w:rsidRDefault="0015528F" w:rsidP="004B602B">
      <w:r>
        <w:t>2</w:t>
      </w:r>
      <w:r w:rsidR="004B602B" w:rsidRPr="00EE5B87">
        <w:t xml:space="preserve">) </w:t>
      </w:r>
      <w:r w:rsidR="004B602B" w:rsidRPr="00C163E3">
        <w:rPr>
          <w:b/>
        </w:rPr>
        <w:t>Tsentraliseeritud korraldus</w:t>
      </w:r>
      <w:r w:rsidR="00EB517B" w:rsidRPr="00C163E3">
        <w:rPr>
          <w:b/>
        </w:rPr>
        <w:t xml:space="preserve">, </w:t>
      </w:r>
      <w:r w:rsidR="00EB517B" w:rsidRPr="00EB517B">
        <w:t xml:space="preserve">millega </w:t>
      </w:r>
      <w:r w:rsidR="00F859AC" w:rsidRPr="00EB517B">
        <w:t>jätka</w:t>
      </w:r>
      <w:r w:rsidR="00EB517B" w:rsidRPr="00EB517B">
        <w:t xml:space="preserve">takse riigi kinnisvara strateegia elluviimist </w:t>
      </w:r>
      <w:r w:rsidR="00C163E3">
        <w:t xml:space="preserve">mahus </w:t>
      </w:r>
      <w:r w:rsidR="00C163E3" w:rsidRPr="00EE5B87">
        <w:t>200 000 m</w:t>
      </w:r>
      <w:r w:rsidR="00C163E3" w:rsidRPr="00C163E3">
        <w:rPr>
          <w:vertAlign w:val="superscript"/>
        </w:rPr>
        <w:t>2</w:t>
      </w:r>
      <w:r w:rsidR="00C163E3">
        <w:t xml:space="preserve"> aastas </w:t>
      </w:r>
      <w:r w:rsidR="00EB517B" w:rsidRPr="00EB517B">
        <w:t>suurendades oluliselt erasektori kaasatust:</w:t>
      </w:r>
      <w:r w:rsidR="00F96800">
        <w:t xml:space="preserve"> </w:t>
      </w:r>
      <w:r w:rsidR="00EB517B">
        <w:t>r</w:t>
      </w:r>
      <w:r w:rsidR="004B602B" w:rsidRPr="00EE5B87">
        <w:t>iigile kuuluvad hooned antakse üle RKAS-le</w:t>
      </w:r>
      <w:r w:rsidR="00EB517B">
        <w:t>,</w:t>
      </w:r>
      <w:r w:rsidR="004B602B" w:rsidRPr="00EE5B87">
        <w:t xml:space="preserve"> kes edaspidi jääb kor</w:t>
      </w:r>
      <w:r w:rsidR="004B602B">
        <w:t>raldama kogu riigi hoonete port</w:t>
      </w:r>
      <w:r w:rsidR="004B602B" w:rsidRPr="00EE5B87">
        <w:t>felli</w:t>
      </w:r>
      <w:r w:rsidR="00EB517B">
        <w:t>, e</w:t>
      </w:r>
      <w:r w:rsidR="004B602B" w:rsidRPr="00EE5B87">
        <w:t xml:space="preserve">rasektori investeeringuid (mis ei mõjuta </w:t>
      </w:r>
      <w:r w:rsidR="004B602B">
        <w:t>valitsussektor</w:t>
      </w:r>
      <w:r w:rsidR="004B602B" w:rsidRPr="00EE5B87">
        <w:t>i tasakaalu ega võlga) kaasatakse võimalikult suures ulatuses, rakendades kasutusrendi ja PPP tehingutest tulenevaid võimalusi.</w:t>
      </w:r>
    </w:p>
    <w:p w:rsidR="004B602B" w:rsidRPr="00EE5B87" w:rsidRDefault="004B602B" w:rsidP="004B602B">
      <w:r w:rsidRPr="00EE5B87">
        <w:t>Alljärgneva</w:t>
      </w:r>
      <w:r w:rsidR="00161C57">
        <w:t>l joonisel</w:t>
      </w:r>
      <w:r w:rsidRPr="00EE5B87">
        <w:t xml:space="preserve"> </w:t>
      </w:r>
      <w:r w:rsidR="00635636">
        <w:t>(</w:t>
      </w:r>
      <w:r w:rsidR="00A85FDC">
        <w:fldChar w:fldCharType="begin"/>
      </w:r>
      <w:r w:rsidR="00635636">
        <w:instrText xml:space="preserve"> REF _Ref427322992 \h </w:instrText>
      </w:r>
      <w:r w:rsidR="00A85FDC">
        <w:fldChar w:fldCharType="separate"/>
      </w:r>
      <w:r w:rsidR="00477322">
        <w:t xml:space="preserve">Joonis </w:t>
      </w:r>
      <w:r w:rsidR="00477322">
        <w:rPr>
          <w:noProof/>
        </w:rPr>
        <w:t>31</w:t>
      </w:r>
      <w:r w:rsidR="00A85FDC">
        <w:fldChar w:fldCharType="end"/>
      </w:r>
      <w:r w:rsidR="00635636">
        <w:t xml:space="preserve">) </w:t>
      </w:r>
      <w:r w:rsidRPr="00EE5B87">
        <w:t xml:space="preserve">on näha </w:t>
      </w:r>
      <w:r w:rsidR="0015528F">
        <w:t xml:space="preserve">analüüsitud </w:t>
      </w:r>
      <w:r w:rsidRPr="00EE5B87">
        <w:t xml:space="preserve">portfelli </w:t>
      </w:r>
      <w:r w:rsidR="0015528F">
        <w:t>maht kahe erineva strateegilise valiku korra</w:t>
      </w:r>
      <w:r w:rsidR="00EE5EFD">
        <w:t>l</w:t>
      </w:r>
      <w:r w:rsidRPr="00EE5B87">
        <w:t>:</w:t>
      </w:r>
    </w:p>
    <w:p w:rsidR="00635636" w:rsidRDefault="00635636" w:rsidP="00635636">
      <w:pPr>
        <w:pStyle w:val="Caption"/>
      </w:pPr>
      <w:bookmarkStart w:id="433" w:name="_Ref427322992"/>
      <w:r>
        <w:t xml:space="preserve">Joonis </w:t>
      </w:r>
      <w:fldSimple w:instr=" SEQ Joonis \* ARABIC ">
        <w:r w:rsidR="00477322">
          <w:rPr>
            <w:noProof/>
          </w:rPr>
          <w:t>31</w:t>
        </w:r>
      </w:fldSimple>
      <w:bookmarkEnd w:id="433"/>
      <w:r>
        <w:t xml:space="preserve">. </w:t>
      </w:r>
      <w:r w:rsidRPr="00714741">
        <w:t>Analüüsitud portfelli maht sõltuvalt strateegilisest valikust</w:t>
      </w:r>
    </w:p>
    <w:p w:rsidR="004B602B" w:rsidRDefault="00CF75A2" w:rsidP="004B602B">
      <w:pPr>
        <w:jc w:val="center"/>
      </w:pPr>
      <w:r>
        <w:rPr>
          <w:noProof/>
          <w:lang w:eastAsia="et-EE"/>
        </w:rPr>
        <w:drawing>
          <wp:inline distT="0" distB="0" distL="0" distR="0">
            <wp:extent cx="4572000" cy="2743200"/>
            <wp:effectExtent l="0" t="0" r="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702F60" w:rsidRPr="00702F60" w:rsidDel="00702F60">
        <w:t xml:space="preserve"> </w:t>
      </w:r>
    </w:p>
    <w:p w:rsidR="004B602B" w:rsidRPr="00EE5B87" w:rsidRDefault="004B602B" w:rsidP="004B602B">
      <w:r w:rsidRPr="00EE5B87">
        <w:t>Mittev</w:t>
      </w:r>
      <w:r w:rsidR="0015528F">
        <w:t xml:space="preserve">ajalik portfell on sõltumata strateegilisest valikust </w:t>
      </w:r>
      <w:r w:rsidRPr="00EE5B87">
        <w:t xml:space="preserve">samane. Kogu analüüsitavast portfellist moodustab sellest mittevajaliku osa ca 10%. See ei tähenda, et kõike sellest saab realiseerida turul turuväärtuse eest. Suur osa mittevajalikust portfellist on kavandatud üle anda kas </w:t>
      </w:r>
      <w:r w:rsidR="0015528F">
        <w:t xml:space="preserve">avaliku sektori </w:t>
      </w:r>
      <w:r w:rsidRPr="00EE5B87">
        <w:t>üksusele (SA-d) või KOV-le.</w:t>
      </w:r>
    </w:p>
    <w:p w:rsidR="004B602B" w:rsidRPr="00EE5B87" w:rsidRDefault="004B602B" w:rsidP="004B602B">
      <w:r w:rsidRPr="00EE5B87">
        <w:t xml:space="preserve">Riigi portfelli osas on näha suurim erinevus sõltuvalt sellest, kas strateegiat viiakse ellu või külmutatakse. Valitsejate soovide kohaselt jääks ca 2/3 analüüsitavast portfellist riigi omandisse. </w:t>
      </w:r>
      <w:r w:rsidR="0015528F">
        <w:t>Jätkates s</w:t>
      </w:r>
      <w:r w:rsidRPr="00EE5B87">
        <w:t>t</w:t>
      </w:r>
      <w:r>
        <w:t>ra</w:t>
      </w:r>
      <w:r w:rsidRPr="00EE5B87">
        <w:t>teegia elluviimis</w:t>
      </w:r>
      <w:r w:rsidR="0015528F">
        <w:t>t ja tsentraliseeritud korraldust,</w:t>
      </w:r>
      <w:r w:rsidRPr="00EE5B87">
        <w:t xml:space="preserve"> jääks väga väike osa </w:t>
      </w:r>
      <w:r w:rsidR="0015528F">
        <w:t xml:space="preserve">hoonetest </w:t>
      </w:r>
      <w:r w:rsidRPr="00EE5B87">
        <w:t>riigi omandisse, milleks on sümbolhooned</w:t>
      </w:r>
      <w:r w:rsidR="007E5C8C">
        <w:t xml:space="preserve"> (nt Toompea loss)</w:t>
      </w:r>
      <w:r w:rsidRPr="00EE5B87">
        <w:t xml:space="preserve"> ja teised hooned</w:t>
      </w:r>
      <w:r>
        <w:t>,</w:t>
      </w:r>
      <w:r w:rsidRPr="00EE5B87">
        <w:t xml:space="preserve"> mille puhul ei ole selle üleandmine RKAS-le poliitiliselt või majanduslikult-juriidiliselt aktsepteeritav.</w:t>
      </w:r>
    </w:p>
    <w:p w:rsidR="004B602B" w:rsidRDefault="004B602B" w:rsidP="004B602B">
      <w:r w:rsidRPr="00EE5B87">
        <w:t xml:space="preserve">RKASi portfell </w:t>
      </w:r>
      <w:r w:rsidR="0015528F">
        <w:t xml:space="preserve">oleks tsentraliseeritud korraldusega </w:t>
      </w:r>
      <w:r w:rsidR="008F3395">
        <w:t xml:space="preserve">jätkamisel üle </w:t>
      </w:r>
      <w:r w:rsidRPr="00EE5B87">
        <w:t>ka</w:t>
      </w:r>
      <w:r w:rsidR="008F3395">
        <w:t xml:space="preserve">he korra </w:t>
      </w:r>
      <w:r w:rsidRPr="00EE5B87">
        <w:t>suurem võrreldes olukorraga</w:t>
      </w:r>
      <w:r>
        <w:t>,</w:t>
      </w:r>
      <w:r w:rsidRPr="00EE5B87">
        <w:t xml:space="preserve"> kus </w:t>
      </w:r>
      <w:r w:rsidR="008F3395">
        <w:t xml:space="preserve">strateegia külmutatakse. </w:t>
      </w:r>
      <w:r w:rsidRPr="00EE5B87">
        <w:t>Strateegia</w:t>
      </w:r>
      <w:r w:rsidR="008F3395">
        <w:t xml:space="preserve">ga jätkamisel </w:t>
      </w:r>
      <w:r w:rsidRPr="00EE5B87">
        <w:t>saab poole RKASi portfelli osas rakendada tehinguid</w:t>
      </w:r>
      <w:r>
        <w:t>,</w:t>
      </w:r>
      <w:r w:rsidRPr="00EE5B87">
        <w:t xml:space="preserve"> mille tulemusena saab kaasata investeeringuid erasektorist (PPP ja kasutusrent). Teise poole osas tuleb teha inv</w:t>
      </w:r>
      <w:r>
        <w:t>e</w:t>
      </w:r>
      <w:r w:rsidRPr="00EE5B87">
        <w:t xml:space="preserve">steeringuid </w:t>
      </w:r>
      <w:r w:rsidR="008F3395">
        <w:t>riigieelarvest v</w:t>
      </w:r>
      <w:r w:rsidRPr="00EE5B87">
        <w:t xml:space="preserve">õi </w:t>
      </w:r>
      <w:r w:rsidR="008F3395">
        <w:t xml:space="preserve">RKAS-i vahenditest ja </w:t>
      </w:r>
      <w:r w:rsidRPr="00EE5B87">
        <w:t xml:space="preserve">teha </w:t>
      </w:r>
      <w:r w:rsidR="008F3395">
        <w:t xml:space="preserve">riigisiseseid </w:t>
      </w:r>
      <w:r w:rsidRPr="00EE5B87">
        <w:t xml:space="preserve">kapitalirendi tehinguid. </w:t>
      </w:r>
      <w:r>
        <w:t>Alloleval joonisel on näha RKASi portfelli jagunemine tehingute lõikes sõltuvalt strateegia rakendamisest.</w:t>
      </w:r>
    </w:p>
    <w:p w:rsidR="00635636" w:rsidRDefault="00635636" w:rsidP="00635636">
      <w:pPr>
        <w:pStyle w:val="Caption"/>
      </w:pPr>
      <w:r>
        <w:t xml:space="preserve">Joonis </w:t>
      </w:r>
      <w:fldSimple w:instr=" SEQ Joonis \* ARABIC ">
        <w:r w:rsidR="00477322">
          <w:rPr>
            <w:noProof/>
          </w:rPr>
          <w:t>32</w:t>
        </w:r>
      </w:fldSimple>
      <w:r>
        <w:t xml:space="preserve">. </w:t>
      </w:r>
      <w:r w:rsidRPr="00F24CA6">
        <w:t>RKAS</w:t>
      </w:r>
      <w:r>
        <w:t>-</w:t>
      </w:r>
      <w:r w:rsidRPr="00F24CA6">
        <w:t>i portfelli jagunemine tehingute lõikes sõltuvalt strateegilisest valikust</w:t>
      </w:r>
    </w:p>
    <w:p w:rsidR="004B602B" w:rsidRPr="00EE5B87" w:rsidRDefault="00CF75A2" w:rsidP="004B602B">
      <w:pPr>
        <w:jc w:val="center"/>
      </w:pPr>
      <w:r>
        <w:rPr>
          <w:noProof/>
          <w:lang w:eastAsia="et-EE"/>
        </w:rPr>
        <w:drawing>
          <wp:inline distT="0" distB="0" distL="0" distR="0">
            <wp:extent cx="4876800" cy="2933700"/>
            <wp:effectExtent l="0" t="0" r="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877FE4" w:rsidRPr="00877FE4" w:rsidDel="00877FE4">
        <w:t xml:space="preserve"> </w:t>
      </w:r>
    </w:p>
    <w:p w:rsidR="004B602B" w:rsidRDefault="004B602B" w:rsidP="004B602B">
      <w:r>
        <w:t>Lisaks eelnimetatud tehingutele (kasutusrent ja PPP) kuulub RKAS</w:t>
      </w:r>
      <w:r w:rsidR="001A3448">
        <w:t>-</w:t>
      </w:r>
      <w:r>
        <w:t>i portfelli hulka ca 9000 m</w:t>
      </w:r>
      <w:r w:rsidR="008F3395">
        <w:rPr>
          <w:rFonts w:ascii="Calibri" w:hAnsi="Calibri"/>
        </w:rPr>
        <w:t>²</w:t>
      </w:r>
      <w:r>
        <w:t xml:space="preserve"> kapitalirendi portfell, mille sisuks on asjaolu, et osale RKASi portfellile on varasemalt sõlmitud kapitalirendi tingimustele vastavad lepingud.</w:t>
      </w:r>
    </w:p>
    <w:p w:rsidR="004B602B" w:rsidRPr="00EE5B87" w:rsidRDefault="004B602B" w:rsidP="004B602B">
      <w:r w:rsidRPr="00EE5B87">
        <w:t>Kokkuvõtvalt on portfellid sõltuvalt strateegia elluviimisest</w:t>
      </w:r>
      <w:r w:rsidR="008F3395">
        <w:t xml:space="preserve"> </w:t>
      </w:r>
      <w:r w:rsidRPr="00EE5B87">
        <w:t>väga erinevad. S</w:t>
      </w:r>
      <w:r w:rsidR="008F3395">
        <w:t>enise s</w:t>
      </w:r>
      <w:r w:rsidRPr="00EE5B87">
        <w:t>trateegia külmutamise korral jääks 2/3 portfellist riigi ja ülejäänu RKAS</w:t>
      </w:r>
      <w:r w:rsidR="001A3448">
        <w:t>-</w:t>
      </w:r>
      <w:r w:rsidRPr="00EE5B87">
        <w:t>i omandisse</w:t>
      </w:r>
      <w:r>
        <w:t>,</w:t>
      </w:r>
      <w:r w:rsidRPr="00EE5B87">
        <w:t xml:space="preserve"> millega kaasnevad vähendatud võimalused investeeringute kaasamiseks erasektorilt. Strateegia elluviimise</w:t>
      </w:r>
      <w:r w:rsidR="008F3395">
        <w:t xml:space="preserve">ga jätkamisel liiguks </w:t>
      </w:r>
      <w:r w:rsidRPr="00EE5B87">
        <w:t>RKASi omandis</w:t>
      </w:r>
      <w:r w:rsidR="008F3395">
        <w:t>se</w:t>
      </w:r>
      <w:r>
        <w:t xml:space="preserve"> peaaegu</w:t>
      </w:r>
      <w:r w:rsidRPr="00EE5B87">
        <w:t xml:space="preserve"> kogu portfell ja sellest tulenevalt on rohkem võimal</w:t>
      </w:r>
      <w:r w:rsidR="008F3395">
        <w:t xml:space="preserve">usi investeeringute kaasamiseks. </w:t>
      </w:r>
    </w:p>
    <w:p w:rsidR="004B602B" w:rsidRPr="00EE5B87" w:rsidRDefault="004B602B" w:rsidP="00161C57">
      <w:pPr>
        <w:pStyle w:val="Pealkiri3"/>
      </w:pPr>
      <w:bookmarkStart w:id="434" w:name="_Toc433980759"/>
      <w:r>
        <w:t>A</w:t>
      </w:r>
      <w:r w:rsidR="008F3395">
        <w:t xml:space="preserve">nalüüsi </w:t>
      </w:r>
      <w:r w:rsidRPr="00161C57">
        <w:t>stsenaariumid</w:t>
      </w:r>
      <w:bookmarkEnd w:id="434"/>
      <w:r w:rsidRPr="00EE5B87">
        <w:t xml:space="preserve"> </w:t>
      </w:r>
    </w:p>
    <w:p w:rsidR="008F3395" w:rsidRPr="00EE5B87" w:rsidRDefault="008F3395" w:rsidP="008F3395">
      <w:r>
        <w:t>Rahastamisvõimaluste analüüsiks koostati 6 stsenaariumi, mille k</w:t>
      </w:r>
      <w:r w:rsidRPr="00EE5B87">
        <w:t xml:space="preserve">avandamisel </w:t>
      </w:r>
      <w:r>
        <w:t>lähtuti</w:t>
      </w:r>
      <w:r w:rsidRPr="00EE5B87">
        <w:t xml:space="preserve"> </w:t>
      </w:r>
      <w:r>
        <w:t>e</w:t>
      </w:r>
      <w:r w:rsidRPr="00EE5B87">
        <w:t>elduse</w:t>
      </w:r>
      <w:r>
        <w:t>st</w:t>
      </w:r>
      <w:r w:rsidRPr="00EE5B87">
        <w:t>, et kaks kõige määramatut tegurit on</w:t>
      </w:r>
      <w:r w:rsidR="00A80246">
        <w:t>:</w:t>
      </w:r>
      <w:r w:rsidRPr="00EE5B87">
        <w:t xml:space="preserve"> </w:t>
      </w:r>
    </w:p>
    <w:p w:rsidR="008F3395" w:rsidRDefault="008F3395" w:rsidP="008F3395">
      <w:pPr>
        <w:pStyle w:val="ListParagraph"/>
      </w:pPr>
      <w:r w:rsidRPr="00EE5B87">
        <w:t>R</w:t>
      </w:r>
      <w:r>
        <w:t>iigieelarve mahu prognoosid</w:t>
      </w:r>
      <w:r w:rsidR="00A80246">
        <w:t>: ala</w:t>
      </w:r>
      <w:r>
        <w:t>p</w:t>
      </w:r>
      <w:r w:rsidR="00A80246">
        <w:t xml:space="preserve">eatükis </w:t>
      </w:r>
      <w:r>
        <w:t xml:space="preserve">3.3.1 </w:t>
      </w:r>
      <w:r w:rsidR="00A80246">
        <w:t xml:space="preserve">kirjeldatud pessimistlik, optimistlik ja </w:t>
      </w:r>
      <w:r w:rsidR="00877FE4">
        <w:t xml:space="preserve">keskmine </w:t>
      </w:r>
      <w:r w:rsidR="00A80246">
        <w:t>prognoos;</w:t>
      </w:r>
    </w:p>
    <w:p w:rsidR="008F3395" w:rsidRDefault="00A80246" w:rsidP="008F3395">
      <w:pPr>
        <w:pStyle w:val="ListParagraph"/>
      </w:pPr>
      <w:r>
        <w:t>Riigi k</w:t>
      </w:r>
      <w:r w:rsidR="008F3395" w:rsidRPr="00EE5B87">
        <w:t>innisvarastrateegia</w:t>
      </w:r>
      <w:r>
        <w:t xml:space="preserve">ga jätkamine: </w:t>
      </w:r>
      <w:r w:rsidR="008F3395">
        <w:t xml:space="preserve">p. 3.3.2 kirjeldatud </w:t>
      </w:r>
      <w:r>
        <w:t>tsentraliseeritud ja</w:t>
      </w:r>
      <w:r w:rsidR="00F96800">
        <w:t xml:space="preserve"> </w:t>
      </w:r>
      <w:r>
        <w:t>detsentraliseeritud korraldus.</w:t>
      </w:r>
    </w:p>
    <w:p w:rsidR="008F3395" w:rsidRPr="00EE5B87" w:rsidRDefault="00A80246" w:rsidP="008F3395">
      <w:r>
        <w:t>Nimetatud t</w:t>
      </w:r>
      <w:r w:rsidR="008F3395" w:rsidRPr="00EE5B87">
        <w:t xml:space="preserve">eguritest koostati alljärgnev maatriks, kus riigieelarve maht asetseb horisontaalsel teljel ja kinnisvarastrateegia elluviimine vertikaalsel teljel nii nagu see alljärgneval joonisel </w:t>
      </w:r>
      <w:r w:rsidR="001A3448">
        <w:t>(</w:t>
      </w:r>
      <w:r w:rsidR="00A85FDC">
        <w:fldChar w:fldCharType="begin"/>
      </w:r>
      <w:r w:rsidR="001A3448">
        <w:instrText xml:space="preserve"> REF _Ref427323144 \h </w:instrText>
      </w:r>
      <w:r w:rsidR="00A85FDC">
        <w:fldChar w:fldCharType="separate"/>
      </w:r>
      <w:r w:rsidR="00477322">
        <w:t xml:space="preserve">Joonis </w:t>
      </w:r>
      <w:r w:rsidR="00477322">
        <w:rPr>
          <w:noProof/>
        </w:rPr>
        <w:t>33</w:t>
      </w:r>
      <w:r w:rsidR="00A85FDC">
        <w:fldChar w:fldCharType="end"/>
      </w:r>
      <w:r w:rsidR="001A3448">
        <w:t xml:space="preserve">) </w:t>
      </w:r>
      <w:r w:rsidR="008F3395" w:rsidRPr="00EE5B87">
        <w:t>kujutatud on:</w:t>
      </w:r>
    </w:p>
    <w:p w:rsidR="008F3395" w:rsidRPr="00EE5B87" w:rsidRDefault="008F3395" w:rsidP="008F3395"/>
    <w:p w:rsidR="001A3448" w:rsidRDefault="001A3448" w:rsidP="001A3448">
      <w:pPr>
        <w:pStyle w:val="Caption"/>
      </w:pPr>
      <w:bookmarkStart w:id="435" w:name="_Ref427323144"/>
      <w:r>
        <w:t xml:space="preserve">Joonis </w:t>
      </w:r>
      <w:fldSimple w:instr=" SEQ Joonis \* ARABIC ">
        <w:r w:rsidR="00477322">
          <w:rPr>
            <w:noProof/>
          </w:rPr>
          <w:t>33</w:t>
        </w:r>
      </w:fldSimple>
      <w:bookmarkEnd w:id="435"/>
      <w:r>
        <w:t>. Analüüsi stsenaariumite maatriks</w:t>
      </w:r>
    </w:p>
    <w:p w:rsidR="008F3395" w:rsidRPr="00EE5B87" w:rsidRDefault="008F3395" w:rsidP="008F3395">
      <w:pPr>
        <w:jc w:val="center"/>
      </w:pPr>
      <w:r w:rsidRPr="00EE5B87">
        <w:rPr>
          <w:noProof/>
          <w:lang w:eastAsia="et-EE"/>
        </w:rPr>
        <w:drawing>
          <wp:inline distT="0" distB="0" distL="0" distR="0">
            <wp:extent cx="4579772" cy="3459027"/>
            <wp:effectExtent l="19050" t="0" r="0" b="0"/>
            <wp:docPr id="32" name="Picture 0" descr="ST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16.png"/>
                    <pic:cNvPicPr/>
                  </pic:nvPicPr>
                  <pic:blipFill>
                    <a:blip r:embed="rId12" cstate="print"/>
                    <a:stretch>
                      <a:fillRect/>
                    </a:stretch>
                  </pic:blipFill>
                  <pic:spPr>
                    <a:xfrm>
                      <a:off x="0" y="0"/>
                      <a:ext cx="4582750" cy="3461276"/>
                    </a:xfrm>
                    <a:prstGeom prst="rect">
                      <a:avLst/>
                    </a:prstGeom>
                  </pic:spPr>
                </pic:pic>
              </a:graphicData>
            </a:graphic>
          </wp:inline>
        </w:drawing>
      </w:r>
    </w:p>
    <w:p w:rsidR="008F3395" w:rsidRDefault="008F3395" w:rsidP="004B602B"/>
    <w:p w:rsidR="00B35D2F" w:rsidRPr="00A80246" w:rsidRDefault="00B35D2F" w:rsidP="00B35D2F">
      <w:pPr>
        <w:rPr>
          <w:b/>
        </w:rPr>
      </w:pPr>
      <w:r w:rsidRPr="00A80246">
        <w:rPr>
          <w:b/>
        </w:rPr>
        <w:t>Stsenaariumite lühiselgitus:</w:t>
      </w:r>
    </w:p>
    <w:p w:rsidR="00B35D2F" w:rsidRPr="00EE5B87" w:rsidRDefault="00B35D2F" w:rsidP="00B35D2F">
      <w:r w:rsidRPr="00EE5B87">
        <w:t>STS 1</w:t>
      </w:r>
      <w:r w:rsidR="00F96800">
        <w:t xml:space="preserve"> </w:t>
      </w:r>
      <w:r w:rsidRPr="00EE5B87">
        <w:t>- Olukord</w:t>
      </w:r>
      <w:r>
        <w:t>,</w:t>
      </w:r>
      <w:r w:rsidRPr="00EE5B87">
        <w:t xml:space="preserve"> kus riigieelarves on raha pessimistliku prognoosi kohaselt ja kinnisvarastrateegiat tänasel </w:t>
      </w:r>
      <w:r>
        <w:t xml:space="preserve">kavandatud kujul ellu ei viida ehk </w:t>
      </w:r>
      <w:r w:rsidRPr="00EE5B87">
        <w:t>suurt osa hooneid jääb iga valitseja ise haldama</w:t>
      </w:r>
      <w:r>
        <w:t>.</w:t>
      </w:r>
      <w:r w:rsidRPr="00EE5B87">
        <w:t xml:space="preserve"> RKASi kaudu korraldatakse väiksemat osa kogu portfellist, kuhu kaasatakse erasektori investeeringuid ainult kasutusrendi tehingute kaudu.</w:t>
      </w:r>
    </w:p>
    <w:p w:rsidR="00A80246" w:rsidRPr="00EE5B87" w:rsidRDefault="00A80246" w:rsidP="00A80246">
      <w:r w:rsidRPr="00EE5B87">
        <w:t>STS 2</w:t>
      </w:r>
      <w:r w:rsidR="00F96800">
        <w:t xml:space="preserve"> </w:t>
      </w:r>
      <w:r w:rsidRPr="00EE5B87">
        <w:t>- Olukord</w:t>
      </w:r>
      <w:r>
        <w:t>,</w:t>
      </w:r>
      <w:r w:rsidRPr="00EE5B87">
        <w:t xml:space="preserve"> kus riigieelarves on raha pessimistliku prognoosi k</w:t>
      </w:r>
      <w:r>
        <w:t>ohaselt ja kinnisvarastrateegia</w:t>
      </w:r>
      <w:r w:rsidRPr="00EE5B87">
        <w:t xml:space="preserve"> viiakse kavandatud kujul ellu</w:t>
      </w:r>
      <w:r>
        <w:t>. Peaaegu kogu</w:t>
      </w:r>
      <w:r w:rsidRPr="00EE5B87">
        <w:t xml:space="preserve"> portfell antakse RKAS-le üle, RKASi kaudu kaasatakse erasektori investeeringuid nii kasutusrendi kui ka PPP tehingute</w:t>
      </w:r>
      <w:r>
        <w:t>ga</w:t>
      </w:r>
      <w:r w:rsidRPr="00EE5B87">
        <w:t>.</w:t>
      </w:r>
    </w:p>
    <w:p w:rsidR="00B35D2F" w:rsidRPr="00EE5B87" w:rsidRDefault="00B35D2F" w:rsidP="00B35D2F">
      <w:r w:rsidRPr="00EE5B87">
        <w:t>STS 3 ja STS 5</w:t>
      </w:r>
      <w:r w:rsidR="00F96800">
        <w:t xml:space="preserve"> </w:t>
      </w:r>
      <w:r w:rsidRPr="00EE5B87">
        <w:t>- Erinevad STS 1-st ainult eelarve prognoosi osas. STS 3-s on aluseks optimistlik prognoos ja STS 5-s on aluseks keskmine prognoos.</w:t>
      </w:r>
    </w:p>
    <w:p w:rsidR="00B35D2F" w:rsidRDefault="00B35D2F" w:rsidP="00B35D2F">
      <w:r w:rsidRPr="00EE5B87">
        <w:t>STS 4 ja STS 6</w:t>
      </w:r>
      <w:r w:rsidR="00F96800">
        <w:t xml:space="preserve"> </w:t>
      </w:r>
      <w:r w:rsidRPr="00EE5B87">
        <w:t>- Erinevad STS 2-st ainult eelarve prognoosi osas. STS 4-s on aluseks optimistlik prognoos ja STS 6-s on aluseks keskmine prognoos.</w:t>
      </w:r>
    </w:p>
    <w:p w:rsidR="00A80246" w:rsidRPr="00EE5B87" w:rsidRDefault="00A80246" w:rsidP="00B35D2F"/>
    <w:p w:rsidR="008F3395" w:rsidRPr="00A80246" w:rsidRDefault="008F3395" w:rsidP="008F3395">
      <w:pPr>
        <w:rPr>
          <w:b/>
        </w:rPr>
      </w:pPr>
      <w:r w:rsidRPr="00A80246">
        <w:rPr>
          <w:b/>
        </w:rPr>
        <w:t>Iga stsenaariumi puhul võeti eesmärgiks perioodile 2015-2045:</w:t>
      </w:r>
    </w:p>
    <w:p w:rsidR="008F3395" w:rsidRDefault="008F3395" w:rsidP="008F3395">
      <w:r>
        <w:t>1) Maksimeerida vajadustele vastavat pinna hulka (prioriteetsed valdkonnad eelkõige)</w:t>
      </w:r>
    </w:p>
    <w:p w:rsidR="008F3395" w:rsidRDefault="008F3395" w:rsidP="008F3395">
      <w:r>
        <w:t>2) Hoida eelarve jääk iga aasta lõpus positiivne (v.a. algusaasta)</w:t>
      </w:r>
    </w:p>
    <w:p w:rsidR="008F3395" w:rsidRDefault="008F3395">
      <w:pPr>
        <w:spacing w:before="0"/>
        <w:jc w:val="left"/>
      </w:pPr>
    </w:p>
    <w:p w:rsidR="00B35D2F" w:rsidRPr="00EE5B87" w:rsidRDefault="006466CD" w:rsidP="00161C57">
      <w:pPr>
        <w:pStyle w:val="Pealkiri3"/>
      </w:pPr>
      <w:bookmarkStart w:id="436" w:name="_Toc433980760"/>
      <w:r>
        <w:t xml:space="preserve">Stsenaariumite </w:t>
      </w:r>
      <w:r w:rsidRPr="00161C57">
        <w:t>analüüsis</w:t>
      </w:r>
      <w:r w:rsidR="00F96800">
        <w:t xml:space="preserve"> </w:t>
      </w:r>
      <w:r w:rsidR="00A80246">
        <w:t>k</w:t>
      </w:r>
      <w:r w:rsidR="00B35D2F" w:rsidRPr="00EE5B87">
        <w:t>asutatud põhieeldused</w:t>
      </w:r>
      <w:r w:rsidR="00306412">
        <w:t xml:space="preserve"> ja sisendid</w:t>
      </w:r>
      <w:bookmarkEnd w:id="436"/>
    </w:p>
    <w:p w:rsidR="00B35D2F" w:rsidRPr="00EE5B87" w:rsidRDefault="00B35D2F" w:rsidP="00B35D2F">
      <w:r w:rsidRPr="00EE5B87">
        <w:t>Selleks, et leida iga stsenaariumi tulemus ja sellele järgnev tegevuskava, modelleeriti igale analüüsitud portfellis olevale hoonele tema kulud-tulud sõltuvalt stsenaariumi</w:t>
      </w:r>
      <w:r w:rsidR="00A80246">
        <w:t>te</w:t>
      </w:r>
      <w:r w:rsidRPr="00EE5B87">
        <w:t>st tulenevatest valikutest ja kuuluvusest riigi või RKASi portfelli. Modelleerimisel võeti eesmärgiks leida võimalikult realistlikud väärtused arvestades tõigaga, et tegu on siiski masshindamisega. Selle saavutamiseks püstitati rida eeldusi, mis on alljärgnevalt esitatud analüüsi läbipaistvuse ja arusaad</w:t>
      </w:r>
      <w:r>
        <w:t>avuse huvides.</w:t>
      </w:r>
      <w:r w:rsidR="00F96800">
        <w:t xml:space="preserve"> </w:t>
      </w:r>
      <w:r>
        <w:t>Esitatud eeldus</w:t>
      </w:r>
      <w:r w:rsidRPr="00EE5B87">
        <w:t>te loetelu ei ole lõplik.</w:t>
      </w:r>
      <w:r w:rsidR="00F96800">
        <w:t xml:space="preserve"> </w:t>
      </w:r>
      <w:r w:rsidRPr="00EE5B87">
        <w:t>Ei korrata eeldusi</w:t>
      </w:r>
      <w:r>
        <w:t>,</w:t>
      </w:r>
      <w:r w:rsidRPr="00EE5B87">
        <w:t xml:space="preserve"> mida on varasemalt käesolevas peatükis juba esitatud nagu ei esitata neist vähemolulisi, mis on esitatud varasemates metoodika dokumentides.</w:t>
      </w:r>
    </w:p>
    <w:p w:rsidR="00306412" w:rsidRPr="008121E8" w:rsidRDefault="005B166B" w:rsidP="00FB04FE">
      <w:pPr>
        <w:rPr>
          <w:b/>
        </w:rPr>
      </w:pPr>
      <w:r>
        <w:rPr>
          <w:b/>
        </w:rPr>
        <w:t>H</w:t>
      </w:r>
      <w:r w:rsidR="00C163E3">
        <w:rPr>
          <w:b/>
        </w:rPr>
        <w:t>oonekompleksid</w:t>
      </w:r>
      <w:r>
        <w:rPr>
          <w:b/>
        </w:rPr>
        <w:t>e</w:t>
      </w:r>
      <w:r w:rsidR="00C163E3">
        <w:rPr>
          <w:b/>
        </w:rPr>
        <w:t xml:space="preserve"> </w:t>
      </w:r>
      <w:r w:rsidR="00FB04FE">
        <w:rPr>
          <w:b/>
        </w:rPr>
        <w:t>moodustamine ja t</w:t>
      </w:r>
      <w:r>
        <w:rPr>
          <w:b/>
        </w:rPr>
        <w:t>ehingute</w:t>
      </w:r>
      <w:r w:rsidR="00C163E3">
        <w:rPr>
          <w:b/>
        </w:rPr>
        <w:t xml:space="preserve"> </w:t>
      </w:r>
      <w:r w:rsidR="00FB04FE">
        <w:rPr>
          <w:b/>
        </w:rPr>
        <w:t>struktureerimine</w:t>
      </w:r>
    </w:p>
    <w:p w:rsidR="005B166B" w:rsidRPr="00EE5EFD" w:rsidRDefault="005B166B" w:rsidP="005B166B">
      <w:pPr>
        <w:pStyle w:val="ListParagraph"/>
      </w:pPr>
      <w:r w:rsidRPr="00EE5EFD">
        <w:t>Analüüsi aluseks o</w:t>
      </w:r>
      <w:r w:rsidR="00694822" w:rsidRPr="00EE5EFD">
        <w:t xml:space="preserve">n hoonekompleksid, mis </w:t>
      </w:r>
      <w:r w:rsidR="007E5C8C" w:rsidRPr="00EE5EFD">
        <w:t>on ühtlasi tehingu alusvara. Hoonekomplekside moodustamisel lähtuti järgmistest põhimõtetest:</w:t>
      </w:r>
    </w:p>
    <w:p w:rsidR="00DE3F4E" w:rsidRDefault="00865A07" w:rsidP="00FA7076">
      <w:pPr>
        <w:pStyle w:val="Loend1"/>
      </w:pPr>
      <w:r>
        <w:t>H</w:t>
      </w:r>
      <w:r w:rsidR="00DE3F4E">
        <w:t>oonekompleks koosneb ühest või mitmest kinnistust</w:t>
      </w:r>
      <w:r>
        <w:t>, millel asub hoone.</w:t>
      </w:r>
    </w:p>
    <w:p w:rsidR="00DE3F4E" w:rsidRDefault="00865A07" w:rsidP="00FA7076">
      <w:pPr>
        <w:pStyle w:val="Loend1"/>
      </w:pPr>
      <w:r>
        <w:t>H</w:t>
      </w:r>
      <w:r w:rsidR="00DE3F4E">
        <w:t>oonekompleksi kasutab üks volitatud asutus või moodustab kompleks funktsionaalse terviku</w:t>
      </w:r>
      <w:r>
        <w:t>.</w:t>
      </w:r>
    </w:p>
    <w:p w:rsidR="00DE3F4E" w:rsidRDefault="00865A07" w:rsidP="00FA7076">
      <w:pPr>
        <w:pStyle w:val="Loend1"/>
      </w:pPr>
      <w:r>
        <w:t>H</w:t>
      </w:r>
      <w:r w:rsidR="00DE3F4E">
        <w:t>oonekompleks kuulub tervikuna ühte turusegmenti (kokku neli segmenti (büroo, ladu ja toot</w:t>
      </w:r>
      <w:r>
        <w:t>mine, elukondlik, ühiskondlik).</w:t>
      </w:r>
    </w:p>
    <w:p w:rsidR="00DE3F4E" w:rsidRDefault="00865A07" w:rsidP="00FA7076">
      <w:pPr>
        <w:pStyle w:val="Loend1"/>
      </w:pPr>
      <w:r>
        <w:t>K</w:t>
      </w:r>
      <w:r w:rsidR="00DE3F4E">
        <w:t>ui üks hoone (sh üks kinnistu) moodustab ühe terviku, on tegu kompleksiga, kuhu kuulub üks hoone</w:t>
      </w:r>
      <w:r>
        <w:t>.</w:t>
      </w:r>
    </w:p>
    <w:p w:rsidR="00DE3F4E" w:rsidRPr="00865A07" w:rsidRDefault="00865A07" w:rsidP="00FA7076">
      <w:pPr>
        <w:pStyle w:val="Loend1"/>
      </w:pPr>
      <w:r>
        <w:t>K</w:t>
      </w:r>
      <w:r w:rsidR="00DE3F4E">
        <w:t>ui moodustatava hoonekompleksi hoonete SNP summa on suurem kui 1000 m2, viidi läbi täiendav analüüs hindamaks, kas on põhjust tükeldada hoonekompleks täiendavalt osadeks, mille igale osale saab konstrueerida eraldiseisva tehingu. Kui jah, siis moodustati suure kompleksi asemel mitu väiksemat hoonekompleksi.</w:t>
      </w:r>
      <w:r w:rsidR="00F96800">
        <w:t xml:space="preserve"> </w:t>
      </w:r>
      <w:r w:rsidR="00DE3F4E">
        <w:t xml:space="preserve">Näiteks suurest kutsekooli kompleksist moodustati eraldiseisvad kompleksid ühiselamutest, tootmishoonetest ja õpihoonetest (kokku kolm </w:t>
      </w:r>
      <w:r w:rsidR="00DE3F4E" w:rsidRPr="00865A07">
        <w:t xml:space="preserve">kompleksi). </w:t>
      </w:r>
    </w:p>
    <w:p w:rsidR="00CF75A2" w:rsidRPr="00865A07" w:rsidRDefault="00DE3F4E" w:rsidP="00FA7076">
      <w:pPr>
        <w:pStyle w:val="Loend1"/>
      </w:pPr>
      <w:r w:rsidRPr="00865A07">
        <w:t>Korteri</w:t>
      </w:r>
      <w:r w:rsidR="00865A07">
        <w:t xml:space="preserve">d kaasati </w:t>
      </w:r>
      <w:r w:rsidRPr="00865A07">
        <w:t>kompleksi põhimõttel, kus üks kompleks moodustati ühe korterelamu kohta sõltumata sellest, kui palju kortereid selles korterelamus riigile kuulub. Näiteks, kui korterelamus on üks riigile kuuluv korter, moodustas see ühe hoonekompleksi. Kui elamus kuuluvad riigile kõik või mitu korterit, moodustas see kogum samuti ühe hoonekompleksi.</w:t>
      </w:r>
    </w:p>
    <w:p w:rsidR="005B166B" w:rsidRPr="00EE5B87" w:rsidRDefault="005B166B" w:rsidP="005B166B">
      <w:pPr>
        <w:pStyle w:val="ListParagraph"/>
      </w:pPr>
      <w:r w:rsidRPr="00EE5B87">
        <w:t xml:space="preserve">Analüüsis eeldatakse peale tehingu (kasutusrent, PPP) või investeeringu teostamist olemasoleva </w:t>
      </w:r>
      <w:r>
        <w:t>hoone</w:t>
      </w:r>
      <w:r w:rsidR="00F96800">
        <w:t xml:space="preserve"> </w:t>
      </w:r>
      <w:r w:rsidRPr="00EE5B87">
        <w:t>jätkuvat kasutamist sama kasutaja poolt (sh hooned, mis on kasutusse antud). Teisisõnu ei nähta töös ette tehinguid, kus loobutakse olemasolevast kompleksist ja võetakse kasu</w:t>
      </w:r>
      <w:r w:rsidR="002F2E49">
        <w:t xml:space="preserve">tusse teises asukohas olev pind või mitte, seda </w:t>
      </w:r>
      <w:r w:rsidRPr="00EE5B87">
        <w:t xml:space="preserve">sõltumata sellest, kas </w:t>
      </w:r>
      <w:r w:rsidR="002F2E49">
        <w:t xml:space="preserve">praktikas selline lahendus realiseeritakse ja </w:t>
      </w:r>
      <w:r w:rsidRPr="00EE5B87">
        <w:t>kolitakse teise kasutajaga ühisele pinnale (</w:t>
      </w:r>
      <w:r w:rsidR="002F2E49">
        <w:t xml:space="preserve">nt </w:t>
      </w:r>
      <w:r w:rsidRPr="00EE5B87">
        <w:t xml:space="preserve">riigimajad) või ehitatakse uus pind (nt </w:t>
      </w:r>
      <w:r w:rsidR="002F2E49">
        <w:t>ministeeriumite ühishoone</w:t>
      </w:r>
      <w:r w:rsidRPr="00EE5B87">
        <w:t>)</w:t>
      </w:r>
      <w:r w:rsidR="002F2E49">
        <w:t xml:space="preserve">. </w:t>
      </w:r>
      <w:r w:rsidRPr="00EE5B87">
        <w:t>Lisaks ei arvesta antud metoodika vara kasutamise optimeerimisega seonduvat kasu ja kulu ning seda võimalust tuleb analüüsida järgnevates etappides. Samuti ei ole arvestatud uute</w:t>
      </w:r>
      <w:r w:rsidR="002F2E49">
        <w:t xml:space="preserve"> vajaduste võimaliku lisandumisega (</w:t>
      </w:r>
      <w:r w:rsidRPr="00EE5B87">
        <w:t xml:space="preserve">nt </w:t>
      </w:r>
      <w:r w:rsidR="002F2E49">
        <w:t>riigi esindushooned</w:t>
      </w:r>
      <w:r w:rsidRPr="00EE5B87">
        <w:t xml:space="preserve"> vms</w:t>
      </w:r>
      <w:r w:rsidR="002F2E49">
        <w:t>)</w:t>
      </w:r>
      <w:r w:rsidRPr="00EE5B87">
        <w:t>.</w:t>
      </w:r>
    </w:p>
    <w:p w:rsidR="00C163E3" w:rsidRPr="00EE5B87" w:rsidRDefault="00C163E3" w:rsidP="00C163E3">
      <w:pPr>
        <w:pStyle w:val="ListParagraph"/>
      </w:pPr>
      <w:r w:rsidRPr="00EE5B87">
        <w:t xml:space="preserve">Tehingute struktureerimisel on võetud eeldus, et hoonekomplekse on võimalik jagada hoonete funktsiooni (büroopinnad, elupinnad, tootmispinnad) alusel osadeks, mille igale </w:t>
      </w:r>
      <w:r>
        <w:t xml:space="preserve">funktsionaalsele </w:t>
      </w:r>
      <w:r w:rsidRPr="00EE5B87">
        <w:t>osale on võimalik viia läbi erinev tehing. Näiteks koolikompleksist on võimalik eraldada tootmishooned ja elamispinnad ülejäänud hoonetest ning teha kolm eraldiseisvat tehingut.</w:t>
      </w:r>
    </w:p>
    <w:p w:rsidR="008121E8" w:rsidRPr="008121E8" w:rsidRDefault="00C163E3" w:rsidP="008121E8">
      <w:pPr>
        <w:rPr>
          <w:b/>
        </w:rPr>
      </w:pPr>
      <w:r>
        <w:rPr>
          <w:b/>
        </w:rPr>
        <w:t>Tehingute finantseerimine ja i</w:t>
      </w:r>
      <w:r w:rsidR="008121E8" w:rsidRPr="008121E8">
        <w:rPr>
          <w:b/>
        </w:rPr>
        <w:t>nvesteeringute prior</w:t>
      </w:r>
      <w:r w:rsidR="008121E8">
        <w:rPr>
          <w:b/>
        </w:rPr>
        <w:t>i</w:t>
      </w:r>
      <w:r w:rsidR="008121E8" w:rsidRPr="008121E8">
        <w:rPr>
          <w:b/>
        </w:rPr>
        <w:t>teetsus</w:t>
      </w:r>
    </w:p>
    <w:p w:rsidR="005B166B" w:rsidRPr="00EE5B87" w:rsidRDefault="005B166B" w:rsidP="005B166B">
      <w:pPr>
        <w:pStyle w:val="ListParagraph"/>
      </w:pPr>
      <w:r w:rsidRPr="00EE5B87">
        <w:t>Hoonete jaotamisel riigi ja RKASi portfelli vahel on aluseks omand. Kui omanikuks on märgitud riik, siis on omanikuks riik ja kõigil ülejäänud juhtudel on omanikuks RKAS.</w:t>
      </w:r>
    </w:p>
    <w:p w:rsidR="00C163E3" w:rsidRDefault="00C163E3" w:rsidP="00C163E3">
      <w:pPr>
        <w:pStyle w:val="ListParagraph"/>
      </w:pPr>
      <w:r w:rsidRPr="00EE5B87">
        <w:t>PPP ja kasutusrendi tehinguid tehakse hoonega ainult juhul</w:t>
      </w:r>
      <w:r>
        <w:t>,</w:t>
      </w:r>
      <w:r w:rsidRPr="00EE5B87">
        <w:t xml:space="preserve"> kui see kuulub RKASi portfelli.</w:t>
      </w:r>
      <w:r>
        <w:t xml:space="preserve"> </w:t>
      </w:r>
    </w:p>
    <w:p w:rsidR="00C62255" w:rsidRPr="00EE5B87" w:rsidRDefault="00C62255" w:rsidP="00C163E3">
      <w:pPr>
        <w:pStyle w:val="ListParagraph"/>
      </w:pPr>
      <w:r>
        <w:t>PPP tehingute</w:t>
      </w:r>
      <w:r w:rsidR="001328CC">
        <w:t xml:space="preserve"> modelleerimisel</w:t>
      </w:r>
      <w:r>
        <w:t xml:space="preserve"> eeldatakse, et </w:t>
      </w:r>
      <w:r w:rsidR="001328CC">
        <w:t xml:space="preserve">tehingu </w:t>
      </w:r>
      <w:r>
        <w:t xml:space="preserve">riskide jaotus </w:t>
      </w:r>
      <w:r w:rsidR="0064715C">
        <w:t>erasektori ja avaliku sektori parteri vahel on koosseisus</w:t>
      </w:r>
      <w:r w:rsidR="00FE6D10">
        <w:t>,</w:t>
      </w:r>
      <w:r w:rsidR="0064715C">
        <w:t xml:space="preserve"> mi</w:t>
      </w:r>
      <w:r w:rsidR="00FE6D10">
        <w:t>lle tulemusena kajastub tehing valitsussektori arvestuses kasutusrendina vastavalt ESA2010 reeglitele. Seni on praktikas PPP tehingud valitsussektori arvestuses kajastatud kapitalire</w:t>
      </w:r>
      <w:r w:rsidR="0029169B">
        <w:t>ndina v.a. üksikud juhtumid kus tehing kajastati kasutusrendina. Tehingu kajastumine kasutusrendina ei</w:t>
      </w:r>
      <w:r w:rsidR="00F96800">
        <w:t xml:space="preserve"> </w:t>
      </w:r>
      <w:r w:rsidR="0029169B">
        <w:t>mõjuta investeeringu valitsussektori tasakaalu ega võlakoormust (va. rendimakse kapitalikomponent riigieelarves). Teisisõnu pole valitsemissektori tasakaalu ja võla seisukohast vahet kas tegu on PPP tehingu või tavapärase kasutusrendi (nt büroopinna rentimine) tehinguga.</w:t>
      </w:r>
    </w:p>
    <w:p w:rsidR="00B35D2F" w:rsidRPr="00EE5B87" w:rsidRDefault="00B361D1" w:rsidP="00351253">
      <w:pPr>
        <w:pStyle w:val="ListParagraph"/>
      </w:pPr>
      <w:r>
        <w:t xml:space="preserve">Investeeringute ja tehingute </w:t>
      </w:r>
      <w:r w:rsidR="00B35D2F" w:rsidRPr="00EE5B87">
        <w:t>modelleerimisel arvestati prioriteetsust. Prioriteetsuse tegurid olid RESi raames kokkulepitud prioriteetsed valdkonnad, hoone suunatus ametkonnale (büroohooned) või ühiskonnale (koolid jne), tehingu</w:t>
      </w:r>
      <w:r w:rsidR="00F96800">
        <w:t xml:space="preserve"> </w:t>
      </w:r>
      <w:r w:rsidR="00B35D2F" w:rsidRPr="00EE5B87">
        <w:t xml:space="preserve">finantsmõistlikkus, </w:t>
      </w:r>
      <w:r>
        <w:t xml:space="preserve">tehingu liik </w:t>
      </w:r>
      <w:r w:rsidR="00B35D2F" w:rsidRPr="00EE5B87">
        <w:t>(PPP, kasutusrent, omafinantseeri</w:t>
      </w:r>
      <w:r>
        <w:t xml:space="preserve">ng), </w:t>
      </w:r>
      <w:r w:rsidR="00B35D2F" w:rsidRPr="00EE5B87">
        <w:t>tehingu olulisus (sh tehingu lihtsus ja maht)</w:t>
      </w:r>
      <w:r w:rsidR="00B35D2F">
        <w:t>. Loetletud tegureid arvesta</w:t>
      </w:r>
      <w:r w:rsidR="00B35D2F" w:rsidRPr="00EE5B87">
        <w:t>des</w:t>
      </w:r>
      <w:r w:rsidR="00B35D2F">
        <w:t>,</w:t>
      </w:r>
      <w:r w:rsidR="00B35D2F" w:rsidRPr="00EE5B87">
        <w:t xml:space="preserve"> koostati igale stsenaariumile investeeringu/ tehingu tegemise prioriteetsustabelid</w:t>
      </w:r>
      <w:r w:rsidR="00B35D2F">
        <w:t xml:space="preserve"> (vt</w:t>
      </w:r>
      <w:r>
        <w:t xml:space="preserve"> </w:t>
      </w:r>
      <w:r w:rsidR="00A85FDC">
        <w:fldChar w:fldCharType="begin"/>
      </w:r>
      <w:r>
        <w:instrText xml:space="preserve"> REF _Ref427306577 \h </w:instrText>
      </w:r>
      <w:r w:rsidR="00A85FDC">
        <w:fldChar w:fldCharType="separate"/>
      </w:r>
      <w:r w:rsidR="00477322">
        <w:t>Lisa 5. Rahastamiskava analüüsi sisendid</w:t>
      </w:r>
      <w:r w:rsidR="00A85FDC">
        <w:fldChar w:fldCharType="end"/>
      </w:r>
      <w:r w:rsidR="00B35D2F">
        <w:t>)</w:t>
      </w:r>
      <w:r w:rsidR="00B35D2F" w:rsidRPr="00EE5B87">
        <w:t>.</w:t>
      </w:r>
    </w:p>
    <w:p w:rsidR="00B35D2F" w:rsidRPr="00EE5B87" w:rsidRDefault="00B35D2F" w:rsidP="00351253">
      <w:pPr>
        <w:pStyle w:val="ListParagraph"/>
      </w:pPr>
      <w:r w:rsidRPr="00EE5B87">
        <w:t>Kuivõrd iga modelleeritud tehingu kohta on olemas investori tootlusootus (W</w:t>
      </w:r>
      <w:r w:rsidR="00FB04FE">
        <w:t>ACC</w:t>
      </w:r>
      <w:r w:rsidRPr="00EE5B87">
        <w:t>) ja sellest johtuvalt on tehingud liigitatud mõistlikeks (</w:t>
      </w:r>
      <w:r w:rsidR="00FB04FE">
        <w:t>WACC</w:t>
      </w:r>
      <w:r>
        <w:t xml:space="preserve"> </w:t>
      </w:r>
      <w:r w:rsidRPr="00EE5B87">
        <w:t>5%-7,5%), pigem mõistlikeks (</w:t>
      </w:r>
      <w:r w:rsidR="00FB04FE">
        <w:t>WACC</w:t>
      </w:r>
      <w:r>
        <w:t xml:space="preserve"> </w:t>
      </w:r>
      <w:r w:rsidRPr="00EE5B87">
        <w:t>7,5%-11%) ja mitte mõistlikeks (</w:t>
      </w:r>
      <w:r w:rsidR="00FB04FE">
        <w:t>WACC</w:t>
      </w:r>
      <w:r>
        <w:t xml:space="preserve"> </w:t>
      </w:r>
      <w:r w:rsidRPr="00EE5B87">
        <w:t xml:space="preserve">üle 11%). Kui tehing liigitus mittemõistlikuks, eeldati, et tehingut ei toimu ja alusvaraks olevad hooned viiakse vajadustele vastavaks läbi </w:t>
      </w:r>
      <w:r w:rsidR="005B166B">
        <w:t xml:space="preserve">riigi </w:t>
      </w:r>
      <w:r w:rsidRPr="00EE5B87">
        <w:t>omafinantseeringu (</w:t>
      </w:r>
      <w:r w:rsidR="005B166B">
        <w:t xml:space="preserve">kas RKAS-i </w:t>
      </w:r>
      <w:r w:rsidR="00FB04FE">
        <w:t xml:space="preserve">vahenditest </w:t>
      </w:r>
      <w:r w:rsidR="005B166B">
        <w:t xml:space="preserve">või </w:t>
      </w:r>
      <w:r w:rsidRPr="00EE5B87">
        <w:t xml:space="preserve">riigieelarvest). </w:t>
      </w:r>
    </w:p>
    <w:p w:rsidR="00B35D2F" w:rsidRPr="00EE5B87" w:rsidRDefault="00B35D2F" w:rsidP="00351253">
      <w:pPr>
        <w:pStyle w:val="ListParagraph"/>
      </w:pPr>
      <w:r w:rsidRPr="00EE5B87">
        <w:t>Eeldatakse, et PPP tehingutega alustatakse alates aastast 2018. Kuni selle ajani töötab riik koostöös RKAS</w:t>
      </w:r>
      <w:r w:rsidR="00B361D1">
        <w:t>-</w:t>
      </w:r>
      <w:r w:rsidRPr="00EE5B87">
        <w:t>iga välja PPP raamistikku</w:t>
      </w:r>
      <w:r>
        <w:t>,</w:t>
      </w:r>
      <w:r w:rsidRPr="00EE5B87">
        <w:t xml:space="preserve"> mille tulemusena realiseerub võimalus sõlmida erasektoriga finantsiliselt mõistlikel tingimustel PPP lepinguid. Analüüsis on arvestatud, et erasektori keskmiseks PPP </w:t>
      </w:r>
      <w:r>
        <w:t>tehingu tootlusootuseks (W</w:t>
      </w:r>
      <w:r w:rsidR="00FB04FE">
        <w:t>ACC</w:t>
      </w:r>
      <w:r w:rsidRPr="00EE5B87">
        <w:t>) kujuneb 5,92%. PPP raamistiku kujundamise põhitegevused on kirjeldatud</w:t>
      </w:r>
      <w:r w:rsidR="00B361D1">
        <w:t xml:space="preserve"> peatükis </w:t>
      </w:r>
      <w:r w:rsidR="00A85FDC">
        <w:fldChar w:fldCharType="begin"/>
      </w:r>
      <w:r w:rsidR="00B361D1">
        <w:instrText xml:space="preserve"> REF _Ref427306835 \r \h </w:instrText>
      </w:r>
      <w:r w:rsidR="00A85FDC">
        <w:fldChar w:fldCharType="separate"/>
      </w:r>
      <w:r w:rsidR="00477322">
        <w:t>3.4.6</w:t>
      </w:r>
      <w:r w:rsidR="00A85FDC">
        <w:fldChar w:fldCharType="end"/>
      </w:r>
      <w:r w:rsidR="00B361D1">
        <w:t>.</w:t>
      </w:r>
    </w:p>
    <w:p w:rsidR="00B35D2F" w:rsidRPr="00EE5B87" w:rsidRDefault="00B35D2F" w:rsidP="00351253">
      <w:pPr>
        <w:pStyle w:val="ListParagraph"/>
      </w:pPr>
      <w:r w:rsidRPr="00EE5B87">
        <w:t>PPP tehingute modelleerimisel on eeldatud, et esmalt sõlmitakse raamleping PPP portfelli kohta ja seejärel tehakse lõplik PPP tehing hoonekompleksiga. PPP portfellide moodustamisel võeti aluseks investeeringu mahu maksimeerimine kuni on täidetud tingimus, kus PPP portfelli investeeringu maht jääb alla 50% tulevasest väärtusest (jääkasendusmaksumus). Saadud PPP portfellid ja investeerimismahud on esitatud alljärgnevas tabelis</w:t>
      </w:r>
      <w:r w:rsidR="001A3448">
        <w:t xml:space="preserve"> (</w:t>
      </w:r>
      <w:r w:rsidR="00A85FDC">
        <w:fldChar w:fldCharType="begin"/>
      </w:r>
      <w:r w:rsidR="001A3448">
        <w:instrText xml:space="preserve"> REF _Ref427323237 \h </w:instrText>
      </w:r>
      <w:r w:rsidR="00A85FDC">
        <w:fldChar w:fldCharType="separate"/>
      </w:r>
      <w:r w:rsidR="00477322">
        <w:t xml:space="preserve">Tabel </w:t>
      </w:r>
      <w:r w:rsidR="00477322">
        <w:rPr>
          <w:noProof/>
        </w:rPr>
        <w:t>23</w:t>
      </w:r>
      <w:r w:rsidR="00A85FDC">
        <w:fldChar w:fldCharType="end"/>
      </w:r>
      <w:r w:rsidR="001A3448">
        <w:t>)</w:t>
      </w:r>
      <w:r w:rsidRPr="00EE5B87">
        <w:t>:</w:t>
      </w:r>
    </w:p>
    <w:p w:rsidR="001A3448" w:rsidRDefault="001A3448" w:rsidP="001A3448">
      <w:pPr>
        <w:pStyle w:val="Caption"/>
      </w:pPr>
      <w:bookmarkStart w:id="437" w:name="_Ref427323237"/>
      <w:r>
        <w:t xml:space="preserve">Tabel </w:t>
      </w:r>
      <w:fldSimple w:instr=" SEQ Tabel \* ARABIC ">
        <w:r w:rsidR="00477322">
          <w:rPr>
            <w:noProof/>
          </w:rPr>
          <w:t>23</w:t>
        </w:r>
      </w:fldSimple>
      <w:bookmarkEnd w:id="437"/>
      <w:r>
        <w:t>. Investeeringumahud PPP portfellide lõikes</w:t>
      </w:r>
    </w:p>
    <w:tbl>
      <w:tblPr>
        <w:tblStyle w:val="TableGrid"/>
        <w:tblW w:w="0" w:type="auto"/>
        <w:jc w:val="center"/>
        <w:tblInd w:w="959" w:type="dxa"/>
        <w:tblLook w:val="04A0"/>
      </w:tblPr>
      <w:tblGrid>
        <w:gridCol w:w="2835"/>
        <w:gridCol w:w="3917"/>
      </w:tblGrid>
      <w:tr w:rsidR="00B35D2F" w:rsidRPr="007C7CE9" w:rsidTr="004F1ED0">
        <w:trPr>
          <w:jc w:val="center"/>
        </w:trPr>
        <w:tc>
          <w:tcPr>
            <w:tcW w:w="2835" w:type="dxa"/>
          </w:tcPr>
          <w:p w:rsidR="00B35D2F" w:rsidRPr="00B361D1" w:rsidRDefault="00B35D2F" w:rsidP="004F1ED0">
            <w:pPr>
              <w:spacing w:before="60" w:after="60"/>
              <w:rPr>
                <w:b/>
                <w:sz w:val="20"/>
                <w:lang w:val="et-EE"/>
              </w:rPr>
            </w:pPr>
            <w:r w:rsidRPr="00B361D1">
              <w:rPr>
                <w:b/>
                <w:sz w:val="20"/>
                <w:lang w:val="et-EE"/>
              </w:rPr>
              <w:t>PPP Portfell</w:t>
            </w:r>
          </w:p>
        </w:tc>
        <w:tc>
          <w:tcPr>
            <w:tcW w:w="3917" w:type="dxa"/>
          </w:tcPr>
          <w:p w:rsidR="00B35D2F" w:rsidRPr="00B361D1" w:rsidRDefault="00B35D2F" w:rsidP="004F1ED0">
            <w:pPr>
              <w:spacing w:before="60" w:after="60"/>
              <w:rPr>
                <w:b/>
                <w:sz w:val="20"/>
                <w:lang w:val="et-EE"/>
              </w:rPr>
            </w:pPr>
            <w:r w:rsidRPr="00B361D1">
              <w:rPr>
                <w:b/>
                <w:sz w:val="20"/>
                <w:lang w:val="et-EE"/>
              </w:rPr>
              <w:t>Investeeringu maht (mln EUR)</w:t>
            </w:r>
          </w:p>
        </w:tc>
      </w:tr>
      <w:tr w:rsidR="00B35D2F" w:rsidRPr="007C7CE9" w:rsidTr="004F1ED0">
        <w:trPr>
          <w:jc w:val="center"/>
        </w:trPr>
        <w:tc>
          <w:tcPr>
            <w:tcW w:w="2835" w:type="dxa"/>
          </w:tcPr>
          <w:p w:rsidR="00B35D2F" w:rsidRPr="00B361D1" w:rsidRDefault="00B35D2F" w:rsidP="004F1ED0">
            <w:pPr>
              <w:spacing w:before="60" w:after="60"/>
              <w:rPr>
                <w:sz w:val="20"/>
                <w:lang w:val="et-EE"/>
              </w:rPr>
            </w:pPr>
            <w:r w:rsidRPr="00B361D1">
              <w:rPr>
                <w:sz w:val="20"/>
                <w:lang w:val="et-EE"/>
              </w:rPr>
              <w:t>Haridus/Teadus/Kultuur</w:t>
            </w:r>
          </w:p>
        </w:tc>
        <w:tc>
          <w:tcPr>
            <w:tcW w:w="3917" w:type="dxa"/>
          </w:tcPr>
          <w:p w:rsidR="00B35D2F" w:rsidRPr="00B361D1" w:rsidRDefault="00B35D2F" w:rsidP="004F1ED0">
            <w:pPr>
              <w:spacing w:before="60" w:after="60"/>
              <w:rPr>
                <w:sz w:val="20"/>
                <w:lang w:val="et-EE"/>
              </w:rPr>
            </w:pPr>
            <w:r w:rsidRPr="00B361D1">
              <w:rPr>
                <w:sz w:val="20"/>
                <w:lang w:val="et-EE"/>
              </w:rPr>
              <w:t>64</w:t>
            </w:r>
            <w:r w:rsidR="005B166B" w:rsidRPr="00B361D1">
              <w:rPr>
                <w:sz w:val="20"/>
                <w:lang w:val="et-EE"/>
              </w:rPr>
              <w:t>,0</w:t>
            </w:r>
          </w:p>
        </w:tc>
      </w:tr>
      <w:tr w:rsidR="00B35D2F" w:rsidRPr="007C7CE9" w:rsidTr="004F1ED0">
        <w:trPr>
          <w:jc w:val="center"/>
        </w:trPr>
        <w:tc>
          <w:tcPr>
            <w:tcW w:w="2835" w:type="dxa"/>
          </w:tcPr>
          <w:p w:rsidR="00B35D2F" w:rsidRPr="00B361D1" w:rsidRDefault="00B35D2F" w:rsidP="004F1ED0">
            <w:pPr>
              <w:spacing w:before="60" w:after="60"/>
              <w:rPr>
                <w:sz w:val="20"/>
                <w:lang w:val="et-EE"/>
              </w:rPr>
            </w:pPr>
            <w:r w:rsidRPr="00B361D1">
              <w:rPr>
                <w:sz w:val="20"/>
                <w:lang w:val="et-EE"/>
              </w:rPr>
              <w:t>Tööstus/Ladu</w:t>
            </w:r>
          </w:p>
        </w:tc>
        <w:tc>
          <w:tcPr>
            <w:tcW w:w="3917" w:type="dxa"/>
          </w:tcPr>
          <w:p w:rsidR="00B35D2F" w:rsidRPr="00B361D1" w:rsidRDefault="00B35D2F" w:rsidP="004F1ED0">
            <w:pPr>
              <w:spacing w:before="60" w:after="60"/>
              <w:rPr>
                <w:sz w:val="20"/>
                <w:lang w:val="et-EE"/>
              </w:rPr>
            </w:pPr>
            <w:r w:rsidRPr="00B361D1">
              <w:rPr>
                <w:sz w:val="20"/>
                <w:lang w:val="et-EE"/>
              </w:rPr>
              <w:t xml:space="preserve">21,1 </w:t>
            </w:r>
          </w:p>
        </w:tc>
      </w:tr>
      <w:tr w:rsidR="00B35D2F" w:rsidRPr="007C7CE9" w:rsidTr="004F1ED0">
        <w:trPr>
          <w:jc w:val="center"/>
        </w:trPr>
        <w:tc>
          <w:tcPr>
            <w:tcW w:w="2835" w:type="dxa"/>
          </w:tcPr>
          <w:p w:rsidR="00B35D2F" w:rsidRPr="00B361D1" w:rsidRDefault="00B35D2F" w:rsidP="004F1ED0">
            <w:pPr>
              <w:spacing w:before="60" w:after="60"/>
              <w:rPr>
                <w:sz w:val="20"/>
                <w:lang w:val="et-EE"/>
              </w:rPr>
            </w:pPr>
            <w:r w:rsidRPr="00B361D1">
              <w:rPr>
                <w:sz w:val="20"/>
                <w:lang w:val="et-EE"/>
              </w:rPr>
              <w:t>Büroo</w:t>
            </w:r>
          </w:p>
        </w:tc>
        <w:tc>
          <w:tcPr>
            <w:tcW w:w="3917" w:type="dxa"/>
          </w:tcPr>
          <w:p w:rsidR="00B35D2F" w:rsidRPr="00B361D1" w:rsidRDefault="00B35D2F" w:rsidP="004F1ED0">
            <w:pPr>
              <w:spacing w:before="60" w:after="60"/>
              <w:rPr>
                <w:sz w:val="20"/>
                <w:lang w:val="et-EE"/>
              </w:rPr>
            </w:pPr>
            <w:r w:rsidRPr="00B361D1">
              <w:rPr>
                <w:sz w:val="20"/>
                <w:lang w:val="et-EE"/>
              </w:rPr>
              <w:t>49,7</w:t>
            </w:r>
          </w:p>
        </w:tc>
      </w:tr>
      <w:tr w:rsidR="00B35D2F" w:rsidRPr="007C7CE9" w:rsidTr="004F1ED0">
        <w:trPr>
          <w:jc w:val="center"/>
        </w:trPr>
        <w:tc>
          <w:tcPr>
            <w:tcW w:w="2835" w:type="dxa"/>
          </w:tcPr>
          <w:p w:rsidR="00B35D2F" w:rsidRPr="00B361D1" w:rsidRDefault="00B35D2F" w:rsidP="004F1ED0">
            <w:pPr>
              <w:spacing w:before="60" w:after="60"/>
              <w:rPr>
                <w:sz w:val="20"/>
                <w:lang w:val="et-EE"/>
              </w:rPr>
            </w:pPr>
            <w:r w:rsidRPr="00B361D1">
              <w:rPr>
                <w:sz w:val="20"/>
                <w:lang w:val="et-EE"/>
              </w:rPr>
              <w:t>Elukondlik</w:t>
            </w:r>
          </w:p>
        </w:tc>
        <w:tc>
          <w:tcPr>
            <w:tcW w:w="3917" w:type="dxa"/>
          </w:tcPr>
          <w:p w:rsidR="00B35D2F" w:rsidRPr="00B361D1" w:rsidRDefault="00B35D2F" w:rsidP="004F1ED0">
            <w:pPr>
              <w:spacing w:before="60" w:after="60"/>
              <w:rPr>
                <w:sz w:val="20"/>
                <w:lang w:val="et-EE"/>
              </w:rPr>
            </w:pPr>
            <w:r w:rsidRPr="00B361D1">
              <w:rPr>
                <w:sz w:val="20"/>
                <w:lang w:val="et-EE"/>
              </w:rPr>
              <w:t xml:space="preserve">19 </w:t>
            </w:r>
          </w:p>
        </w:tc>
      </w:tr>
      <w:tr w:rsidR="00B35D2F" w:rsidRPr="007C7CE9" w:rsidTr="004F1ED0">
        <w:trPr>
          <w:jc w:val="center"/>
        </w:trPr>
        <w:tc>
          <w:tcPr>
            <w:tcW w:w="2835" w:type="dxa"/>
          </w:tcPr>
          <w:p w:rsidR="00B35D2F" w:rsidRPr="00B361D1" w:rsidRDefault="00B35D2F" w:rsidP="004F1ED0">
            <w:pPr>
              <w:spacing w:before="60" w:after="60"/>
              <w:rPr>
                <w:sz w:val="20"/>
                <w:lang w:val="et-EE"/>
              </w:rPr>
            </w:pPr>
            <w:r w:rsidRPr="00B361D1">
              <w:rPr>
                <w:sz w:val="20"/>
                <w:lang w:val="et-EE"/>
              </w:rPr>
              <w:t>Julgeolek</w:t>
            </w:r>
          </w:p>
        </w:tc>
        <w:tc>
          <w:tcPr>
            <w:tcW w:w="3917" w:type="dxa"/>
          </w:tcPr>
          <w:p w:rsidR="00B35D2F" w:rsidRPr="00B361D1" w:rsidRDefault="00B35D2F" w:rsidP="004F1ED0">
            <w:pPr>
              <w:spacing w:before="60" w:after="60"/>
              <w:rPr>
                <w:sz w:val="20"/>
                <w:lang w:val="et-EE"/>
              </w:rPr>
            </w:pPr>
            <w:r w:rsidRPr="00B361D1">
              <w:rPr>
                <w:sz w:val="20"/>
                <w:lang w:val="et-EE"/>
              </w:rPr>
              <w:t xml:space="preserve">26,8 </w:t>
            </w:r>
          </w:p>
        </w:tc>
      </w:tr>
      <w:tr w:rsidR="00B35D2F" w:rsidRPr="007C7CE9" w:rsidTr="004F1ED0">
        <w:trPr>
          <w:jc w:val="center"/>
        </w:trPr>
        <w:tc>
          <w:tcPr>
            <w:tcW w:w="2835" w:type="dxa"/>
          </w:tcPr>
          <w:p w:rsidR="00B35D2F" w:rsidRPr="00B361D1" w:rsidRDefault="00B35D2F" w:rsidP="004F1ED0">
            <w:pPr>
              <w:spacing w:before="60" w:after="60"/>
              <w:rPr>
                <w:b/>
                <w:sz w:val="20"/>
                <w:lang w:val="et-EE"/>
              </w:rPr>
            </w:pPr>
            <w:r w:rsidRPr="00B361D1">
              <w:rPr>
                <w:b/>
                <w:sz w:val="20"/>
                <w:lang w:val="et-EE"/>
              </w:rPr>
              <w:t>KOKKU</w:t>
            </w:r>
          </w:p>
        </w:tc>
        <w:tc>
          <w:tcPr>
            <w:tcW w:w="3917" w:type="dxa"/>
          </w:tcPr>
          <w:p w:rsidR="00B35D2F" w:rsidRPr="00B361D1" w:rsidRDefault="00B35D2F" w:rsidP="004F1ED0">
            <w:pPr>
              <w:spacing w:before="60" w:after="60"/>
              <w:rPr>
                <w:b/>
                <w:sz w:val="20"/>
                <w:lang w:val="et-EE"/>
              </w:rPr>
            </w:pPr>
            <w:r w:rsidRPr="00B361D1">
              <w:rPr>
                <w:b/>
                <w:sz w:val="20"/>
                <w:lang w:val="et-EE"/>
              </w:rPr>
              <w:t>180,6</w:t>
            </w:r>
          </w:p>
        </w:tc>
      </w:tr>
    </w:tbl>
    <w:p w:rsidR="00B35D2F" w:rsidRDefault="00B35D2F" w:rsidP="00351253">
      <w:pPr>
        <w:pStyle w:val="ListParagraph"/>
      </w:pPr>
      <w:r w:rsidRPr="00EE5B87">
        <w:t xml:space="preserve">Tehingute puhul kus ei olnud võimalik rakendada PPP tehingud, rakendati kasutusrendi tehingut või omafinantseeringut. </w:t>
      </w:r>
      <w:r>
        <w:t>E</w:t>
      </w:r>
      <w:r w:rsidRPr="00EE5B87">
        <w:t>eldati, et kasutusrendi tehing toimub ESA10 tingimustel. ESA10 tingimustel toimuvate tehingute detailsemad omadused on lahtikirjeldatud eraldiseisvas metoodikas</w:t>
      </w:r>
      <w:r w:rsidRPr="00EE5B87">
        <w:rPr>
          <w:rStyle w:val="FootnoteReference"/>
        </w:rPr>
        <w:footnoteReference w:id="9"/>
      </w:r>
      <w:r w:rsidRPr="00EE5B87">
        <w:t xml:space="preserve">. </w:t>
      </w:r>
    </w:p>
    <w:p w:rsidR="00C163E3" w:rsidRPr="00EE5B87" w:rsidRDefault="00C163E3" w:rsidP="00C163E3">
      <w:pPr>
        <w:pStyle w:val="ListParagraph"/>
      </w:pPr>
      <w:r w:rsidRPr="00EE5B87">
        <w:t xml:space="preserve">Eeldatakse, et perioodi kasutamata riigieelarve kandub üle järgmise perioodi eelarvele. Ülekanduvale osale ei arvestata intressi. </w:t>
      </w:r>
    </w:p>
    <w:p w:rsidR="00A80246" w:rsidRDefault="00FB04FE" w:rsidP="00A80246">
      <w:pPr>
        <w:rPr>
          <w:b/>
        </w:rPr>
      </w:pPr>
      <w:r>
        <w:rPr>
          <w:b/>
        </w:rPr>
        <w:t>Müügitulu, tegevuskulu ja investeeringute sis</w:t>
      </w:r>
      <w:r w:rsidR="00C163E3" w:rsidRPr="00C163E3">
        <w:rPr>
          <w:b/>
        </w:rPr>
        <w:t>endid</w:t>
      </w:r>
      <w:r w:rsidR="005B166B">
        <w:rPr>
          <w:b/>
        </w:rPr>
        <w:t xml:space="preserve"> stsenaariumites </w:t>
      </w:r>
    </w:p>
    <w:p w:rsidR="00FB04FE" w:rsidRDefault="00FB04FE" w:rsidP="00FB04FE">
      <w:r>
        <w:t>Stsenaariumites kasutatud sisendite leidmise alused ja nende rakendamise ree</w:t>
      </w:r>
      <w:r w:rsidR="00B361D1">
        <w:t>glistik sõltuvalt kuuluvusest (r</w:t>
      </w:r>
      <w:r>
        <w:t xml:space="preserve">iik vs RKAS) ning tehingu liigist (isetegemine, kasutusrent, kapitalirent, PPP) on selgitatud </w:t>
      </w:r>
      <w:r w:rsidR="00B361D1">
        <w:t>Lisa 5 olevas tabelis (</w:t>
      </w:r>
      <w:r w:rsidR="00A85FDC">
        <w:fldChar w:fldCharType="begin"/>
      </w:r>
      <w:r w:rsidR="00B361D1">
        <w:instrText xml:space="preserve"> REF _Ref427306928 \h </w:instrText>
      </w:r>
      <w:r w:rsidR="00A85FDC">
        <w:fldChar w:fldCharType="separate"/>
      </w:r>
      <w:r w:rsidR="00477322">
        <w:t xml:space="preserve">Tabel </w:t>
      </w:r>
      <w:r w:rsidR="00477322">
        <w:rPr>
          <w:noProof/>
        </w:rPr>
        <w:t>3</w:t>
      </w:r>
      <w:r w:rsidR="00A85FDC">
        <w:fldChar w:fldCharType="end"/>
      </w:r>
      <w:r w:rsidR="00B361D1">
        <w:t>)</w:t>
      </w:r>
      <w:r>
        <w:t>.</w:t>
      </w:r>
    </w:p>
    <w:p w:rsidR="00FB04FE" w:rsidRDefault="00FB04FE" w:rsidP="00FB04FE">
      <w:pPr>
        <w:pStyle w:val="ListParagraph"/>
      </w:pPr>
      <w:r>
        <w:t xml:space="preserve">Investeeringute mahu hinnang on antud tulenevalt </w:t>
      </w:r>
      <w:r w:rsidRPr="00501C45">
        <w:t xml:space="preserve">alapeatükis </w:t>
      </w:r>
      <w:r w:rsidR="00A85FDC">
        <w:fldChar w:fldCharType="begin"/>
      </w:r>
      <w:r w:rsidR="00501C45">
        <w:instrText xml:space="preserve"> REF _Ref427307340 \r \h </w:instrText>
      </w:r>
      <w:r w:rsidR="00A85FDC">
        <w:fldChar w:fldCharType="separate"/>
      </w:r>
      <w:r w:rsidR="00477322">
        <w:t>3.2.3</w:t>
      </w:r>
      <w:r w:rsidR="00A85FDC">
        <w:fldChar w:fldCharType="end"/>
      </w:r>
      <w:r w:rsidR="00501C45">
        <w:t xml:space="preserve"> </w:t>
      </w:r>
      <w:r>
        <w:t>kirjeldatud s</w:t>
      </w:r>
      <w:r w:rsidRPr="00EE5B87">
        <w:t xml:space="preserve">eisukorra </w:t>
      </w:r>
      <w:r>
        <w:t>hinnangutest. Kvaliteedi langemisel on arvestatud, et t</w:t>
      </w:r>
      <w:r w:rsidRPr="00EE5B87">
        <w:t xml:space="preserve">asemelt 5 tasemele 4 jõutakse 7 aastaga, tasemelt 4 tasemele 3 jõutakse 8 aastaga ja tasemelt 3 tasemele 2 jõutakse 10 aastaga. </w:t>
      </w:r>
    </w:p>
    <w:p w:rsidR="00FB04FE" w:rsidRDefault="00FB04FE" w:rsidP="00FB04FE">
      <w:pPr>
        <w:pStyle w:val="ListParagraph"/>
      </w:pPr>
      <w:r w:rsidRPr="00EE5B87">
        <w:t>RKASi poolt tehtavate tehingute ja investeeringute maht aastas on 375 000 m</w:t>
      </w:r>
      <w:r w:rsidRPr="00EE5B87">
        <w:rPr>
          <w:vertAlign w:val="superscript"/>
        </w:rPr>
        <w:t>2</w:t>
      </w:r>
      <w:r w:rsidRPr="00EE5B87">
        <w:t xml:space="preserve"> . Toodud maht on võrreldav RKASi koordineerimisel läbi viidud CO2 p</w:t>
      </w:r>
      <w:r>
        <w:t>rojekti keskmise aastase mahuga ning eeldab keskmist investeerimismahtu 45 mln € aastas.</w:t>
      </w:r>
    </w:p>
    <w:p w:rsidR="00B35D2F" w:rsidRPr="00EE5B87" w:rsidRDefault="00B35D2F" w:rsidP="00161C57">
      <w:pPr>
        <w:pStyle w:val="Pealkiri3"/>
      </w:pPr>
      <w:bookmarkStart w:id="438" w:name="_Toc433980761"/>
      <w:r>
        <w:t xml:space="preserve">Stsenaariumite </w:t>
      </w:r>
      <w:r w:rsidRPr="00161C57">
        <w:t>analüüsi</w:t>
      </w:r>
      <w:r>
        <w:t xml:space="preserve"> tulemused</w:t>
      </w:r>
      <w:bookmarkEnd w:id="438"/>
      <w:r>
        <w:t xml:space="preserve"> </w:t>
      </w:r>
    </w:p>
    <w:p w:rsidR="00B35D2F" w:rsidRDefault="00B35D2F" w:rsidP="00B35D2F">
      <w:r>
        <w:t>Alljärgnevas tabelis on kirjeldatud iga stsenaariumi osas, alaportfellide lõikes, et kas ja milliseid järeleandmisi hoone tasemete saavutamisel/ säilitamisel oli vaja teha selleks, et saavutada toodud kaks eesmärki.</w:t>
      </w:r>
    </w:p>
    <w:tbl>
      <w:tblPr>
        <w:tblW w:w="9136"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26"/>
        <w:gridCol w:w="1418"/>
        <w:gridCol w:w="1559"/>
        <w:gridCol w:w="1418"/>
        <w:gridCol w:w="992"/>
        <w:gridCol w:w="1701"/>
        <w:gridCol w:w="1322"/>
      </w:tblGrid>
      <w:tr w:rsidR="00B35D2F" w:rsidRPr="0024070F" w:rsidTr="00045FCB">
        <w:trPr>
          <w:trHeight w:val="300"/>
        </w:trPr>
        <w:tc>
          <w:tcPr>
            <w:tcW w:w="726" w:type="dxa"/>
            <w:tcBorders>
              <w:top w:val="single" w:sz="4" w:space="0" w:color="auto"/>
              <w:left w:val="single" w:sz="4" w:space="0" w:color="auto"/>
              <w:bottom w:val="nil"/>
              <w:right w:val="single" w:sz="4" w:space="0" w:color="auto"/>
            </w:tcBorders>
            <w:shd w:val="clear" w:color="auto" w:fill="auto"/>
            <w:noWrap/>
            <w:vAlign w:val="bottom"/>
            <w:hideMark/>
          </w:tcPr>
          <w:p w:rsidR="00B35D2F" w:rsidRPr="0024070F" w:rsidRDefault="00B35D2F" w:rsidP="004F1ED0">
            <w:pPr>
              <w:jc w:val="left"/>
              <w:rPr>
                <w:color w:val="000000"/>
                <w:sz w:val="20"/>
                <w:lang w:eastAsia="et-EE"/>
              </w:rPr>
            </w:pPr>
          </w:p>
        </w:tc>
        <w:tc>
          <w:tcPr>
            <w:tcW w:w="1418" w:type="dxa"/>
            <w:tcBorders>
              <w:top w:val="single" w:sz="4" w:space="0" w:color="auto"/>
              <w:left w:val="single" w:sz="4" w:space="0" w:color="auto"/>
              <w:bottom w:val="nil"/>
              <w:right w:val="single" w:sz="4" w:space="0" w:color="auto"/>
            </w:tcBorders>
            <w:shd w:val="clear" w:color="000000" w:fill="D8D8D8"/>
            <w:noWrap/>
            <w:vAlign w:val="bottom"/>
            <w:hideMark/>
          </w:tcPr>
          <w:p w:rsidR="00B35D2F" w:rsidRPr="0024070F" w:rsidRDefault="00B35D2F" w:rsidP="004F1ED0">
            <w:pPr>
              <w:jc w:val="left"/>
              <w:rPr>
                <w:color w:val="000000"/>
                <w:sz w:val="20"/>
                <w:lang w:eastAsia="et-EE"/>
              </w:rPr>
            </w:pPr>
            <w:r w:rsidRPr="0024070F">
              <w:rPr>
                <w:color w:val="000000"/>
                <w:sz w:val="20"/>
                <w:lang w:eastAsia="et-EE"/>
              </w:rPr>
              <w:t> </w:t>
            </w:r>
          </w:p>
        </w:tc>
        <w:tc>
          <w:tcPr>
            <w:tcW w:w="1559" w:type="dxa"/>
            <w:vMerge w:val="restart"/>
            <w:tcBorders>
              <w:left w:val="single" w:sz="4" w:space="0" w:color="auto"/>
            </w:tcBorders>
            <w:shd w:val="clear" w:color="auto" w:fill="auto"/>
            <w:vAlign w:val="bottom"/>
            <w:hideMark/>
          </w:tcPr>
          <w:p w:rsidR="00B35D2F" w:rsidRPr="0024070F" w:rsidRDefault="00B35D2F" w:rsidP="004F1ED0">
            <w:pPr>
              <w:jc w:val="center"/>
              <w:rPr>
                <w:color w:val="000000"/>
                <w:sz w:val="20"/>
                <w:lang w:eastAsia="et-EE"/>
              </w:rPr>
            </w:pPr>
            <w:r w:rsidRPr="0024070F">
              <w:rPr>
                <w:color w:val="000000"/>
                <w:sz w:val="20"/>
                <w:lang w:eastAsia="et-EE"/>
              </w:rPr>
              <w:t>Riigi portfell</w:t>
            </w:r>
          </w:p>
        </w:tc>
        <w:tc>
          <w:tcPr>
            <w:tcW w:w="4111" w:type="dxa"/>
            <w:gridSpan w:val="3"/>
            <w:shd w:val="clear" w:color="000000" w:fill="D8D8D8"/>
            <w:noWrap/>
            <w:vAlign w:val="bottom"/>
            <w:hideMark/>
          </w:tcPr>
          <w:p w:rsidR="00B35D2F" w:rsidRPr="0024070F" w:rsidRDefault="00B35D2F" w:rsidP="004F1ED0">
            <w:pPr>
              <w:jc w:val="center"/>
              <w:rPr>
                <w:color w:val="000000"/>
                <w:sz w:val="20"/>
                <w:lang w:eastAsia="et-EE"/>
              </w:rPr>
            </w:pPr>
            <w:r w:rsidRPr="0024070F">
              <w:rPr>
                <w:color w:val="000000"/>
                <w:sz w:val="20"/>
                <w:lang w:eastAsia="et-EE"/>
              </w:rPr>
              <w:t>RKASi portfell</w:t>
            </w:r>
          </w:p>
        </w:tc>
        <w:tc>
          <w:tcPr>
            <w:tcW w:w="1322" w:type="dxa"/>
            <w:vMerge w:val="restart"/>
            <w:shd w:val="clear" w:color="auto" w:fill="auto"/>
            <w:vAlign w:val="bottom"/>
            <w:hideMark/>
          </w:tcPr>
          <w:p w:rsidR="00B35D2F" w:rsidRPr="0024070F" w:rsidRDefault="00B35D2F" w:rsidP="004F1ED0">
            <w:pPr>
              <w:jc w:val="left"/>
              <w:rPr>
                <w:color w:val="000000"/>
                <w:sz w:val="20"/>
                <w:lang w:eastAsia="et-EE"/>
              </w:rPr>
            </w:pPr>
            <w:r w:rsidRPr="0024070F">
              <w:rPr>
                <w:color w:val="000000"/>
                <w:sz w:val="20"/>
                <w:lang w:eastAsia="et-EE"/>
              </w:rPr>
              <w:t>Erasektori investeering (mln EUR) ja osakaal inv.vajadusest (%).</w:t>
            </w:r>
          </w:p>
        </w:tc>
      </w:tr>
      <w:tr w:rsidR="00B35D2F" w:rsidRPr="0024070F" w:rsidTr="00045FCB">
        <w:trPr>
          <w:trHeight w:val="967"/>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B35D2F" w:rsidRPr="0024070F" w:rsidRDefault="00B35D2F" w:rsidP="004F1ED0">
            <w:pPr>
              <w:jc w:val="left"/>
              <w:rPr>
                <w:color w:val="000000"/>
                <w:sz w:val="20"/>
                <w:lang w:eastAsia="et-EE"/>
              </w:rPr>
            </w:pPr>
            <w:r w:rsidRPr="0024070F">
              <w:rPr>
                <w:color w:val="000000"/>
                <w:sz w:val="20"/>
                <w:lang w:eastAsia="et-EE"/>
              </w:rPr>
              <w:t> </w:t>
            </w:r>
          </w:p>
        </w:tc>
        <w:tc>
          <w:tcPr>
            <w:tcW w:w="1418" w:type="dxa"/>
            <w:tcBorders>
              <w:top w:val="nil"/>
              <w:left w:val="single" w:sz="4" w:space="0" w:color="auto"/>
              <w:bottom w:val="single" w:sz="4" w:space="0" w:color="auto"/>
              <w:right w:val="single" w:sz="4" w:space="0" w:color="auto"/>
            </w:tcBorders>
            <w:shd w:val="clear" w:color="000000" w:fill="D8D8D8"/>
            <w:vAlign w:val="bottom"/>
            <w:hideMark/>
          </w:tcPr>
          <w:p w:rsidR="00B35D2F" w:rsidRPr="0024070F" w:rsidRDefault="00B35D2F" w:rsidP="004F1ED0">
            <w:pPr>
              <w:jc w:val="left"/>
              <w:rPr>
                <w:color w:val="000000"/>
                <w:sz w:val="20"/>
                <w:lang w:eastAsia="et-EE"/>
              </w:rPr>
            </w:pPr>
            <w:r w:rsidRPr="0024070F">
              <w:rPr>
                <w:color w:val="000000"/>
                <w:sz w:val="20"/>
                <w:lang w:eastAsia="et-EE"/>
              </w:rPr>
              <w:t>Mittevajalik portfell</w:t>
            </w:r>
          </w:p>
        </w:tc>
        <w:tc>
          <w:tcPr>
            <w:tcW w:w="1559" w:type="dxa"/>
            <w:vMerge/>
            <w:tcBorders>
              <w:left w:val="single" w:sz="4" w:space="0" w:color="auto"/>
            </w:tcBorders>
            <w:vAlign w:val="center"/>
            <w:hideMark/>
          </w:tcPr>
          <w:p w:rsidR="00B35D2F" w:rsidRPr="0024070F" w:rsidRDefault="00B35D2F" w:rsidP="004F1ED0">
            <w:pPr>
              <w:jc w:val="left"/>
              <w:rPr>
                <w:color w:val="000000"/>
                <w:sz w:val="20"/>
                <w:lang w:eastAsia="et-EE"/>
              </w:rPr>
            </w:pPr>
          </w:p>
        </w:tc>
        <w:tc>
          <w:tcPr>
            <w:tcW w:w="1418" w:type="dxa"/>
            <w:shd w:val="clear" w:color="000000" w:fill="D8D8D8"/>
            <w:vAlign w:val="bottom"/>
            <w:hideMark/>
          </w:tcPr>
          <w:p w:rsidR="00B35D2F" w:rsidRPr="0024070F" w:rsidRDefault="00B35D2F" w:rsidP="004F1ED0">
            <w:pPr>
              <w:jc w:val="left"/>
              <w:rPr>
                <w:color w:val="000000"/>
                <w:sz w:val="20"/>
                <w:lang w:eastAsia="et-EE"/>
              </w:rPr>
            </w:pPr>
            <w:r w:rsidRPr="0024070F">
              <w:rPr>
                <w:color w:val="000000"/>
                <w:sz w:val="20"/>
                <w:lang w:eastAsia="et-EE"/>
              </w:rPr>
              <w:t>Kasutusrendi tehingud</w:t>
            </w:r>
          </w:p>
        </w:tc>
        <w:tc>
          <w:tcPr>
            <w:tcW w:w="992" w:type="dxa"/>
            <w:shd w:val="clear" w:color="000000" w:fill="D8D8D8"/>
            <w:vAlign w:val="bottom"/>
            <w:hideMark/>
          </w:tcPr>
          <w:p w:rsidR="00B35D2F" w:rsidRPr="0024070F" w:rsidRDefault="00B35D2F" w:rsidP="004F1ED0">
            <w:pPr>
              <w:jc w:val="left"/>
              <w:rPr>
                <w:color w:val="000000"/>
                <w:sz w:val="20"/>
                <w:lang w:eastAsia="et-EE"/>
              </w:rPr>
            </w:pPr>
            <w:r w:rsidRPr="0024070F">
              <w:rPr>
                <w:color w:val="000000"/>
                <w:sz w:val="20"/>
                <w:lang w:eastAsia="et-EE"/>
              </w:rPr>
              <w:t xml:space="preserve">PPP </w:t>
            </w:r>
          </w:p>
        </w:tc>
        <w:tc>
          <w:tcPr>
            <w:tcW w:w="1701" w:type="dxa"/>
            <w:shd w:val="clear" w:color="000000" w:fill="D8D8D8"/>
            <w:vAlign w:val="bottom"/>
            <w:hideMark/>
          </w:tcPr>
          <w:p w:rsidR="00B35D2F" w:rsidRPr="0024070F" w:rsidRDefault="00B35D2F" w:rsidP="004F1ED0">
            <w:pPr>
              <w:jc w:val="left"/>
              <w:rPr>
                <w:color w:val="000000"/>
                <w:sz w:val="20"/>
                <w:lang w:eastAsia="et-EE"/>
              </w:rPr>
            </w:pPr>
            <w:r w:rsidRPr="0024070F">
              <w:rPr>
                <w:color w:val="000000"/>
                <w:sz w:val="20"/>
                <w:lang w:eastAsia="et-EE"/>
              </w:rPr>
              <w:t>Oma-finantseering</w:t>
            </w:r>
          </w:p>
        </w:tc>
        <w:tc>
          <w:tcPr>
            <w:tcW w:w="1322" w:type="dxa"/>
            <w:vMerge/>
            <w:vAlign w:val="center"/>
            <w:hideMark/>
          </w:tcPr>
          <w:p w:rsidR="00B35D2F" w:rsidRPr="0024070F" w:rsidRDefault="00B35D2F" w:rsidP="004F1ED0">
            <w:pPr>
              <w:jc w:val="left"/>
              <w:rPr>
                <w:color w:val="000000"/>
                <w:sz w:val="20"/>
                <w:lang w:eastAsia="et-EE"/>
              </w:rPr>
            </w:pPr>
          </w:p>
        </w:tc>
      </w:tr>
      <w:tr w:rsidR="00B35D2F" w:rsidRPr="007F79EE" w:rsidTr="00045FCB">
        <w:trPr>
          <w:trHeight w:val="1604"/>
        </w:trPr>
        <w:tc>
          <w:tcPr>
            <w:tcW w:w="726" w:type="dxa"/>
            <w:tcBorders>
              <w:top w:val="single" w:sz="4" w:space="0" w:color="auto"/>
            </w:tcBorders>
            <w:shd w:val="clear" w:color="auto" w:fill="auto"/>
            <w:noWrap/>
            <w:vAlign w:val="center"/>
            <w:hideMark/>
          </w:tcPr>
          <w:p w:rsidR="00B35D2F" w:rsidRPr="007C7CE9" w:rsidRDefault="00B35D2F" w:rsidP="004F1ED0">
            <w:pPr>
              <w:jc w:val="left"/>
              <w:rPr>
                <w:b/>
                <w:bCs/>
                <w:color w:val="000000"/>
                <w:sz w:val="18"/>
                <w:lang w:eastAsia="et-EE"/>
              </w:rPr>
            </w:pPr>
            <w:r w:rsidRPr="007C7CE9">
              <w:rPr>
                <w:b/>
                <w:bCs/>
                <w:color w:val="000000"/>
                <w:sz w:val="18"/>
                <w:lang w:eastAsia="et-EE"/>
              </w:rPr>
              <w:t>STS 1</w:t>
            </w:r>
          </w:p>
        </w:tc>
        <w:tc>
          <w:tcPr>
            <w:tcW w:w="1418" w:type="dxa"/>
            <w:vMerge w:val="restart"/>
            <w:tcBorders>
              <w:top w:val="single" w:sz="4" w:space="0" w:color="auto"/>
            </w:tcBorders>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Sõltumata stsenaariumist mittevajalik vara realiseeritakse vastavalt valitseja määratud ajal. Kuni realiseerimiseni jooksevad tegevuskulud.</w:t>
            </w:r>
          </w:p>
        </w:tc>
        <w:tc>
          <w:tcPr>
            <w:tcW w:w="1559" w:type="dxa"/>
            <w:shd w:val="clear" w:color="auto" w:fill="auto"/>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Investeeringuid ei tehta. Kõik hooned amortiseeruvad tasemeni 3, selle saavutamisel hoitakse taset 3.</w:t>
            </w:r>
          </w:p>
        </w:tc>
        <w:tc>
          <w:tcPr>
            <w:tcW w:w="1418"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Kõik kasutusrendi tehingu</w:t>
            </w:r>
            <w:r>
              <w:rPr>
                <w:color w:val="000000"/>
                <w:sz w:val="18"/>
                <w:szCs w:val="16"/>
                <w:lang w:eastAsia="et-EE"/>
              </w:rPr>
              <w:t>d</w:t>
            </w:r>
            <w:r w:rsidRPr="007C7CE9">
              <w:rPr>
                <w:color w:val="000000"/>
                <w:sz w:val="18"/>
                <w:szCs w:val="16"/>
                <w:lang w:eastAsia="et-EE"/>
              </w:rPr>
              <w:t xml:space="preserve"> tehakse aastal 2016.</w:t>
            </w:r>
          </w:p>
        </w:tc>
        <w:tc>
          <w:tcPr>
            <w:tcW w:w="992"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Ei rakendu</w:t>
            </w:r>
          </w:p>
        </w:tc>
        <w:tc>
          <w:tcPr>
            <w:tcW w:w="1701"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Investeeringuid ei tehta, kõik hooned amortiseeruvad tasemeni 3, selle saavutamisel hoitakse taset 3.</w:t>
            </w:r>
          </w:p>
        </w:tc>
        <w:tc>
          <w:tcPr>
            <w:tcW w:w="1322" w:type="dxa"/>
            <w:shd w:val="clear" w:color="auto" w:fill="auto"/>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32,7 (14%)</w:t>
            </w:r>
          </w:p>
        </w:tc>
      </w:tr>
      <w:tr w:rsidR="00B35D2F" w:rsidRPr="007F79EE" w:rsidTr="00045FCB">
        <w:trPr>
          <w:trHeight w:val="1149"/>
        </w:trPr>
        <w:tc>
          <w:tcPr>
            <w:tcW w:w="726" w:type="dxa"/>
            <w:shd w:val="clear" w:color="auto" w:fill="auto"/>
            <w:noWrap/>
            <w:vAlign w:val="center"/>
            <w:hideMark/>
          </w:tcPr>
          <w:p w:rsidR="00B35D2F" w:rsidRPr="0027028C" w:rsidRDefault="00B35D2F" w:rsidP="004F1ED0">
            <w:pPr>
              <w:jc w:val="left"/>
              <w:rPr>
                <w:b/>
                <w:bCs/>
                <w:color w:val="000000"/>
                <w:sz w:val="18"/>
                <w:lang w:eastAsia="et-EE"/>
              </w:rPr>
            </w:pPr>
            <w:r w:rsidRPr="0027028C">
              <w:rPr>
                <w:b/>
                <w:bCs/>
                <w:color w:val="000000"/>
                <w:sz w:val="18"/>
                <w:lang w:eastAsia="et-EE"/>
              </w:rPr>
              <w:t>STS 2</w:t>
            </w:r>
          </w:p>
        </w:tc>
        <w:tc>
          <w:tcPr>
            <w:tcW w:w="1418" w:type="dxa"/>
            <w:vMerge/>
            <w:vAlign w:val="center"/>
            <w:hideMark/>
          </w:tcPr>
          <w:p w:rsidR="00B35D2F" w:rsidRPr="0027028C" w:rsidRDefault="00B35D2F" w:rsidP="004F1ED0">
            <w:pPr>
              <w:jc w:val="left"/>
              <w:rPr>
                <w:color w:val="000000"/>
                <w:sz w:val="18"/>
                <w:szCs w:val="16"/>
                <w:lang w:eastAsia="et-EE"/>
              </w:rPr>
            </w:pPr>
          </w:p>
        </w:tc>
        <w:tc>
          <w:tcPr>
            <w:tcW w:w="6992" w:type="dxa"/>
            <w:gridSpan w:val="5"/>
            <w:shd w:val="clear" w:color="auto" w:fill="auto"/>
            <w:vAlign w:val="center"/>
            <w:hideMark/>
          </w:tcPr>
          <w:p w:rsidR="00B35D2F" w:rsidRPr="007C7CE9" w:rsidRDefault="00B35D2F" w:rsidP="003B20EC">
            <w:pPr>
              <w:jc w:val="center"/>
              <w:rPr>
                <w:color w:val="000000"/>
                <w:sz w:val="18"/>
                <w:szCs w:val="16"/>
                <w:lang w:eastAsia="et-EE"/>
              </w:rPr>
            </w:pPr>
            <w:r>
              <w:rPr>
                <w:color w:val="000000"/>
                <w:sz w:val="18"/>
                <w:szCs w:val="16"/>
                <w:lang w:eastAsia="et-EE"/>
              </w:rPr>
              <w:t>Stsenaarium 2 osas ei olnud võimalik leida sellist tehingute koosseisu, kus eelarve jääk oleks olnud iga aasta lõpus positiivne ja samal ajal järgida kõiki põhieeldusi. Kõige määravamaks teguriks osutus RKASi portfelli suuruse ja netoüüri koosmõju. Tulenevalt sellest, ei käsitleta antud stsenaariumi alljärgnevas analüüsis.</w:t>
            </w:r>
          </w:p>
        </w:tc>
      </w:tr>
      <w:tr w:rsidR="00B35D2F" w:rsidRPr="007F79EE" w:rsidTr="00045FCB">
        <w:trPr>
          <w:trHeight w:val="697"/>
        </w:trPr>
        <w:tc>
          <w:tcPr>
            <w:tcW w:w="726" w:type="dxa"/>
            <w:shd w:val="clear" w:color="auto" w:fill="auto"/>
            <w:noWrap/>
            <w:vAlign w:val="center"/>
            <w:hideMark/>
          </w:tcPr>
          <w:p w:rsidR="00B35D2F" w:rsidRPr="007C7CE9" w:rsidRDefault="00B35D2F" w:rsidP="004F1ED0">
            <w:pPr>
              <w:jc w:val="left"/>
              <w:rPr>
                <w:b/>
                <w:bCs/>
                <w:color w:val="000000"/>
                <w:sz w:val="18"/>
                <w:lang w:eastAsia="et-EE"/>
              </w:rPr>
            </w:pPr>
            <w:r w:rsidRPr="007C7CE9">
              <w:rPr>
                <w:b/>
                <w:bCs/>
                <w:color w:val="000000"/>
                <w:sz w:val="18"/>
                <w:lang w:eastAsia="et-EE"/>
              </w:rPr>
              <w:t>STS 3</w:t>
            </w:r>
          </w:p>
        </w:tc>
        <w:tc>
          <w:tcPr>
            <w:tcW w:w="1418" w:type="dxa"/>
            <w:vMerge/>
            <w:vAlign w:val="center"/>
            <w:hideMark/>
          </w:tcPr>
          <w:p w:rsidR="00B35D2F" w:rsidRPr="007C7CE9" w:rsidRDefault="00B35D2F" w:rsidP="004F1ED0">
            <w:pPr>
              <w:jc w:val="left"/>
              <w:rPr>
                <w:color w:val="000000"/>
                <w:sz w:val="18"/>
                <w:szCs w:val="16"/>
                <w:lang w:eastAsia="et-EE"/>
              </w:rPr>
            </w:pPr>
          </w:p>
        </w:tc>
        <w:tc>
          <w:tcPr>
            <w:tcW w:w="1559" w:type="dxa"/>
            <w:shd w:val="clear" w:color="auto" w:fill="auto"/>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 xml:space="preserve">Kapitaal-remondist kuni kapitaal-remondini </w:t>
            </w:r>
          </w:p>
        </w:tc>
        <w:tc>
          <w:tcPr>
            <w:tcW w:w="1418"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Kõik kasutusrendi tehingu tehakse aastal 2016</w:t>
            </w:r>
          </w:p>
        </w:tc>
        <w:tc>
          <w:tcPr>
            <w:tcW w:w="992"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Ei rakendu</w:t>
            </w:r>
          </w:p>
        </w:tc>
        <w:tc>
          <w:tcPr>
            <w:tcW w:w="1701" w:type="dxa"/>
            <w:shd w:val="clear" w:color="000000" w:fill="D8D8D8"/>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Kõik investeeringud tehakse aastatel 2016-17</w:t>
            </w:r>
          </w:p>
        </w:tc>
        <w:tc>
          <w:tcPr>
            <w:tcW w:w="1322" w:type="dxa"/>
            <w:shd w:val="clear" w:color="auto" w:fill="auto"/>
            <w:vAlign w:val="center"/>
            <w:hideMark/>
          </w:tcPr>
          <w:p w:rsidR="00B35D2F" w:rsidRPr="007C7CE9" w:rsidRDefault="00B35D2F" w:rsidP="004F1ED0">
            <w:pPr>
              <w:jc w:val="center"/>
              <w:rPr>
                <w:color w:val="000000"/>
                <w:sz w:val="18"/>
                <w:szCs w:val="16"/>
                <w:lang w:eastAsia="et-EE"/>
              </w:rPr>
            </w:pPr>
            <w:r w:rsidRPr="007C7CE9">
              <w:rPr>
                <w:color w:val="000000"/>
                <w:sz w:val="18"/>
                <w:szCs w:val="16"/>
                <w:lang w:eastAsia="et-EE"/>
              </w:rPr>
              <w:t>32,7 (14%)</w:t>
            </w:r>
          </w:p>
        </w:tc>
      </w:tr>
      <w:tr w:rsidR="00CB27A6" w:rsidRPr="007F79EE" w:rsidTr="00045FCB">
        <w:trPr>
          <w:trHeight w:val="2752"/>
        </w:trPr>
        <w:tc>
          <w:tcPr>
            <w:tcW w:w="726" w:type="dxa"/>
            <w:shd w:val="clear" w:color="auto" w:fill="auto"/>
            <w:noWrap/>
            <w:vAlign w:val="center"/>
            <w:hideMark/>
          </w:tcPr>
          <w:p w:rsidR="00CB27A6" w:rsidRPr="007C7CE9" w:rsidRDefault="00CB27A6" w:rsidP="004F1ED0">
            <w:pPr>
              <w:jc w:val="left"/>
              <w:rPr>
                <w:b/>
                <w:bCs/>
                <w:color w:val="000000"/>
                <w:sz w:val="18"/>
                <w:lang w:eastAsia="et-EE"/>
              </w:rPr>
            </w:pPr>
            <w:r w:rsidRPr="007C7CE9">
              <w:rPr>
                <w:b/>
                <w:bCs/>
                <w:color w:val="000000"/>
                <w:sz w:val="18"/>
                <w:lang w:eastAsia="et-EE"/>
              </w:rPr>
              <w:t xml:space="preserve">STS  </w:t>
            </w:r>
            <w:r>
              <w:rPr>
                <w:b/>
                <w:bCs/>
                <w:color w:val="000000"/>
                <w:sz w:val="18"/>
                <w:lang w:eastAsia="et-EE"/>
              </w:rPr>
              <w:t>4</w:t>
            </w:r>
          </w:p>
        </w:tc>
        <w:tc>
          <w:tcPr>
            <w:tcW w:w="1418" w:type="dxa"/>
            <w:vMerge/>
            <w:vAlign w:val="center"/>
            <w:hideMark/>
          </w:tcPr>
          <w:p w:rsidR="00CB27A6" w:rsidRPr="007C7CE9" w:rsidRDefault="00CB27A6" w:rsidP="004F1ED0">
            <w:pPr>
              <w:jc w:val="left"/>
              <w:rPr>
                <w:color w:val="000000"/>
                <w:sz w:val="18"/>
                <w:szCs w:val="16"/>
                <w:lang w:eastAsia="et-EE"/>
              </w:rPr>
            </w:pPr>
          </w:p>
        </w:tc>
        <w:tc>
          <w:tcPr>
            <w:tcW w:w="1559" w:type="dxa"/>
            <w:shd w:val="clear" w:color="auto" w:fill="auto"/>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Kapitaal-remondist kuni kapitaal-remondini</w:t>
            </w:r>
          </w:p>
        </w:tc>
        <w:tc>
          <w:tcPr>
            <w:tcW w:w="1418"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kasutusrendi tehingu tehakse aastal 2016</w:t>
            </w:r>
          </w:p>
        </w:tc>
        <w:tc>
          <w:tcPr>
            <w:tcW w:w="992"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PPP tehingud tehakse aastal 2018</w:t>
            </w:r>
          </w:p>
        </w:tc>
        <w:tc>
          <w:tcPr>
            <w:tcW w:w="1701"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investeeringud tehakse aastatel 2017-20 ja saavutatud taset säilitatakse</w:t>
            </w:r>
          </w:p>
        </w:tc>
        <w:tc>
          <w:tcPr>
            <w:tcW w:w="1322" w:type="dxa"/>
            <w:shd w:val="clear" w:color="auto" w:fill="auto"/>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180,7 (80%)</w:t>
            </w:r>
          </w:p>
        </w:tc>
      </w:tr>
      <w:tr w:rsidR="00CB27A6" w:rsidRPr="007F79EE" w:rsidTr="00045FCB">
        <w:trPr>
          <w:trHeight w:val="1544"/>
        </w:trPr>
        <w:tc>
          <w:tcPr>
            <w:tcW w:w="726" w:type="dxa"/>
            <w:shd w:val="clear" w:color="auto" w:fill="auto"/>
            <w:noWrap/>
            <w:vAlign w:val="center"/>
            <w:hideMark/>
          </w:tcPr>
          <w:p w:rsidR="00CB27A6" w:rsidRPr="007C7CE9" w:rsidRDefault="00CB27A6" w:rsidP="004F1ED0">
            <w:pPr>
              <w:jc w:val="left"/>
              <w:rPr>
                <w:b/>
                <w:bCs/>
                <w:color w:val="000000"/>
                <w:sz w:val="18"/>
                <w:lang w:eastAsia="et-EE"/>
              </w:rPr>
            </w:pPr>
            <w:r w:rsidRPr="007C7CE9">
              <w:rPr>
                <w:b/>
                <w:bCs/>
                <w:color w:val="000000"/>
                <w:sz w:val="18"/>
                <w:lang w:eastAsia="et-EE"/>
              </w:rPr>
              <w:t xml:space="preserve">STS  </w:t>
            </w:r>
            <w:r>
              <w:rPr>
                <w:b/>
                <w:bCs/>
                <w:color w:val="000000"/>
                <w:sz w:val="18"/>
                <w:lang w:eastAsia="et-EE"/>
              </w:rPr>
              <w:t>5</w:t>
            </w:r>
          </w:p>
        </w:tc>
        <w:tc>
          <w:tcPr>
            <w:tcW w:w="1418" w:type="dxa"/>
            <w:vMerge/>
            <w:vAlign w:val="center"/>
            <w:hideMark/>
          </w:tcPr>
          <w:p w:rsidR="00CB27A6" w:rsidRPr="007C7CE9" w:rsidRDefault="00CB27A6" w:rsidP="004F1ED0">
            <w:pPr>
              <w:jc w:val="left"/>
              <w:rPr>
                <w:color w:val="000000"/>
                <w:sz w:val="18"/>
                <w:szCs w:val="16"/>
                <w:lang w:eastAsia="et-EE"/>
              </w:rPr>
            </w:pPr>
          </w:p>
        </w:tc>
        <w:tc>
          <w:tcPr>
            <w:tcW w:w="1559" w:type="dxa"/>
            <w:shd w:val="clear" w:color="auto" w:fill="auto"/>
            <w:vAlign w:val="center"/>
            <w:hideMark/>
          </w:tcPr>
          <w:p w:rsidR="00CB27A6" w:rsidRPr="007C7CE9" w:rsidRDefault="00CB27A6" w:rsidP="00CF75A2">
            <w:pPr>
              <w:jc w:val="center"/>
              <w:rPr>
                <w:color w:val="000000"/>
                <w:sz w:val="18"/>
                <w:szCs w:val="16"/>
                <w:lang w:eastAsia="et-EE"/>
              </w:rPr>
            </w:pPr>
            <w:r w:rsidRPr="007C7CE9">
              <w:rPr>
                <w:color w:val="000000"/>
                <w:sz w:val="18"/>
                <w:szCs w:val="16"/>
                <w:lang w:eastAsia="et-EE"/>
              </w:rPr>
              <w:t>¾ Portfelli kapitaal-remondist kuni kapitaal-remondini.</w:t>
            </w:r>
          </w:p>
          <w:p w:rsidR="00CB27A6" w:rsidRPr="007C7CE9" w:rsidRDefault="00CB27A6" w:rsidP="004F1ED0">
            <w:pPr>
              <w:jc w:val="center"/>
              <w:rPr>
                <w:color w:val="000000"/>
                <w:sz w:val="18"/>
                <w:szCs w:val="16"/>
                <w:lang w:eastAsia="et-EE"/>
              </w:rPr>
            </w:pPr>
            <w:r w:rsidRPr="007C7CE9">
              <w:rPr>
                <w:color w:val="000000"/>
                <w:sz w:val="18"/>
                <w:szCs w:val="16"/>
                <w:lang w:eastAsia="et-EE"/>
              </w:rPr>
              <w:t>Ülejäänud portfellile  investeeringuid ei tehta, hooned amortiseeruvad tasemeni 3, selle saavutamisel hoitakse taset 3.</w:t>
            </w:r>
          </w:p>
        </w:tc>
        <w:tc>
          <w:tcPr>
            <w:tcW w:w="1418"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kasutusrendi tehingu tehakse aastal 2016</w:t>
            </w:r>
          </w:p>
        </w:tc>
        <w:tc>
          <w:tcPr>
            <w:tcW w:w="992"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Ei rakendu</w:t>
            </w:r>
          </w:p>
        </w:tc>
        <w:tc>
          <w:tcPr>
            <w:tcW w:w="1701"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investeeringud tehakse aastatel 2016-17</w:t>
            </w:r>
          </w:p>
        </w:tc>
        <w:tc>
          <w:tcPr>
            <w:tcW w:w="1322" w:type="dxa"/>
            <w:shd w:val="clear" w:color="auto" w:fill="auto"/>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32,7 (14%)</w:t>
            </w:r>
          </w:p>
        </w:tc>
      </w:tr>
      <w:tr w:rsidR="00CB27A6" w:rsidRPr="007F79EE" w:rsidTr="00045FCB">
        <w:trPr>
          <w:trHeight w:val="2753"/>
        </w:trPr>
        <w:tc>
          <w:tcPr>
            <w:tcW w:w="726" w:type="dxa"/>
            <w:shd w:val="clear" w:color="auto" w:fill="auto"/>
            <w:noWrap/>
            <w:vAlign w:val="center"/>
            <w:hideMark/>
          </w:tcPr>
          <w:p w:rsidR="00CB27A6" w:rsidRPr="007C7CE9" w:rsidRDefault="00CB27A6" w:rsidP="004F1ED0">
            <w:pPr>
              <w:jc w:val="left"/>
              <w:rPr>
                <w:b/>
                <w:bCs/>
                <w:color w:val="000000"/>
                <w:sz w:val="18"/>
                <w:lang w:eastAsia="et-EE"/>
              </w:rPr>
            </w:pPr>
            <w:r w:rsidRPr="007C7CE9">
              <w:rPr>
                <w:b/>
                <w:bCs/>
                <w:color w:val="000000"/>
                <w:sz w:val="18"/>
                <w:lang w:eastAsia="et-EE"/>
              </w:rPr>
              <w:t>STS 6</w:t>
            </w:r>
          </w:p>
        </w:tc>
        <w:tc>
          <w:tcPr>
            <w:tcW w:w="1418" w:type="dxa"/>
            <w:vMerge/>
            <w:vAlign w:val="center"/>
            <w:hideMark/>
          </w:tcPr>
          <w:p w:rsidR="00CB27A6" w:rsidRPr="007C7CE9" w:rsidRDefault="00CB27A6" w:rsidP="004F1ED0">
            <w:pPr>
              <w:jc w:val="left"/>
              <w:rPr>
                <w:color w:val="000000"/>
                <w:sz w:val="18"/>
                <w:szCs w:val="16"/>
                <w:lang w:eastAsia="et-EE"/>
              </w:rPr>
            </w:pPr>
          </w:p>
        </w:tc>
        <w:tc>
          <w:tcPr>
            <w:tcW w:w="1559" w:type="dxa"/>
            <w:shd w:val="clear" w:color="auto" w:fill="auto"/>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Investeeringuid ei tehta. Kõik hooned amortiseeruvad tasemeni 3, selle saavutamisel hoitakse taset 3.</w:t>
            </w:r>
          </w:p>
        </w:tc>
        <w:tc>
          <w:tcPr>
            <w:tcW w:w="1418"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kasutusrendi tehingu tehakse aastal 2016</w:t>
            </w:r>
          </w:p>
        </w:tc>
        <w:tc>
          <w:tcPr>
            <w:tcW w:w="992"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Kõik PPP tehingud tehakse aastal 2018</w:t>
            </w:r>
          </w:p>
        </w:tc>
        <w:tc>
          <w:tcPr>
            <w:tcW w:w="1701" w:type="dxa"/>
            <w:shd w:val="clear" w:color="000000" w:fill="D8D8D8"/>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2/3 portfellile investeering</w:t>
            </w:r>
            <w:r w:rsidR="00F96800">
              <w:rPr>
                <w:color w:val="000000"/>
                <w:sz w:val="18"/>
                <w:szCs w:val="16"/>
                <w:lang w:eastAsia="et-EE"/>
              </w:rPr>
              <w:t xml:space="preserve"> </w:t>
            </w:r>
            <w:r w:rsidRPr="007C7CE9">
              <w:rPr>
                <w:color w:val="000000"/>
                <w:sz w:val="18"/>
                <w:szCs w:val="16"/>
                <w:lang w:eastAsia="et-EE"/>
              </w:rPr>
              <w:t xml:space="preserve">2017-19 ja saavutatud taseme säilitamine. </w:t>
            </w:r>
          </w:p>
          <w:p w:rsidR="00CB27A6" w:rsidRPr="007C7CE9" w:rsidRDefault="00CB27A6" w:rsidP="004F1ED0">
            <w:pPr>
              <w:jc w:val="center"/>
              <w:rPr>
                <w:color w:val="000000"/>
                <w:sz w:val="18"/>
                <w:szCs w:val="16"/>
                <w:lang w:eastAsia="et-EE"/>
              </w:rPr>
            </w:pPr>
            <w:r w:rsidRPr="007C7CE9">
              <w:rPr>
                <w:color w:val="000000"/>
                <w:sz w:val="18"/>
                <w:szCs w:val="16"/>
                <w:lang w:eastAsia="et-EE"/>
              </w:rPr>
              <w:t>Ülejäänud 1/3 portfellile investeeringut ei tehta, alates aastast 2024 hooned amortiseeruvad tasemeni 3, selle saavutamisel hoitakse taset 3.</w:t>
            </w:r>
          </w:p>
        </w:tc>
        <w:tc>
          <w:tcPr>
            <w:tcW w:w="1322" w:type="dxa"/>
            <w:shd w:val="clear" w:color="auto" w:fill="auto"/>
            <w:vAlign w:val="center"/>
            <w:hideMark/>
          </w:tcPr>
          <w:p w:rsidR="00CB27A6" w:rsidRPr="007C7CE9" w:rsidRDefault="00CB27A6" w:rsidP="004F1ED0">
            <w:pPr>
              <w:jc w:val="center"/>
              <w:rPr>
                <w:color w:val="000000"/>
                <w:sz w:val="18"/>
                <w:szCs w:val="16"/>
                <w:lang w:eastAsia="et-EE"/>
              </w:rPr>
            </w:pPr>
            <w:r w:rsidRPr="007C7CE9">
              <w:rPr>
                <w:color w:val="000000"/>
                <w:sz w:val="18"/>
                <w:szCs w:val="16"/>
                <w:lang w:eastAsia="et-EE"/>
              </w:rPr>
              <w:t>180,7 (80%)</w:t>
            </w:r>
          </w:p>
        </w:tc>
      </w:tr>
    </w:tbl>
    <w:p w:rsidR="00B35D2F" w:rsidRDefault="00B35D2F" w:rsidP="00B35D2F">
      <w:pPr>
        <w:jc w:val="center"/>
      </w:pPr>
    </w:p>
    <w:p w:rsidR="003B20EC" w:rsidRDefault="00B35D2F" w:rsidP="00B35D2F">
      <w:r>
        <w:t>Tabelist nähtub (koosmõjus põhieeldustega)</w:t>
      </w:r>
      <w:r w:rsidR="003B20EC">
        <w:t>:</w:t>
      </w:r>
    </w:p>
    <w:p w:rsidR="00CF75A2" w:rsidRDefault="001548F7">
      <w:pPr>
        <w:pStyle w:val="ListParagraph"/>
      </w:pPr>
      <w:r>
        <w:t>A</w:t>
      </w:r>
      <w:r w:rsidR="00B35D2F">
        <w:t xml:space="preserve">inult </w:t>
      </w:r>
      <w:r>
        <w:t xml:space="preserve">optimistliku rahastamisprognoosiga </w:t>
      </w:r>
      <w:r w:rsidR="00B35D2F">
        <w:t>STS 3 ja 4 puhul</w:t>
      </w:r>
      <w:r>
        <w:t xml:space="preserve"> </w:t>
      </w:r>
      <w:r w:rsidR="00B35D2F">
        <w:t xml:space="preserve">ei olnud vajadust teha järeleandmisi hoonete </w:t>
      </w:r>
      <w:r>
        <w:t>seisukorra</w:t>
      </w:r>
      <w:r w:rsidR="00B35D2F">
        <w:t xml:space="preserve">tasemete saavutamisel ega selle hoidmisel. Ülejäänud stsenaariumite puhul tuli, sõltuvalt eelarve võimalustest, teha vastavaid järeleandmisi. </w:t>
      </w:r>
    </w:p>
    <w:p w:rsidR="00CF75A2" w:rsidRDefault="003B20EC">
      <w:pPr>
        <w:pStyle w:val="ListParagraph"/>
      </w:pPr>
      <w:r>
        <w:t>E</w:t>
      </w:r>
      <w:r w:rsidR="00B35D2F">
        <w:t>rasektor</w:t>
      </w:r>
      <w:r>
        <w:t xml:space="preserve">i toel ehk </w:t>
      </w:r>
      <w:r w:rsidR="00B35D2F">
        <w:t>otseselt valitsussektori tasakaalu ega eelarvet</w:t>
      </w:r>
      <w:r w:rsidR="002B3DDC">
        <w:t xml:space="preserve"> mõjutama</w:t>
      </w:r>
      <w:r w:rsidR="00B35D2F">
        <w:t xml:space="preserve"> (kaudselt on mõju olemas läbi rendimakses sisalduva kapitalikomponendi) </w:t>
      </w:r>
      <w:r w:rsidR="002B3DDC">
        <w:t>on t</w:t>
      </w:r>
      <w:r w:rsidR="00B35D2F">
        <w:t>sentraliseeritud korralduse</w:t>
      </w:r>
      <w:r w:rsidR="002B3DDC">
        <w:t xml:space="preserve">ga </w:t>
      </w:r>
      <w:r w:rsidR="00B35D2F">
        <w:t xml:space="preserve">võimalik finantseerida </w:t>
      </w:r>
      <w:r>
        <w:t xml:space="preserve">kuni </w:t>
      </w:r>
      <w:r w:rsidR="00B35D2F">
        <w:t>80% kõikidest investeeringutest, detsentraliseeritud korralduse</w:t>
      </w:r>
      <w:r w:rsidR="002B3DDC">
        <w:t>l</w:t>
      </w:r>
      <w:r w:rsidR="00B35D2F">
        <w:t xml:space="preserve"> 14%</w:t>
      </w:r>
      <w:r w:rsidR="002B3DDC">
        <w:t xml:space="preserve"> kõikidest investeeringutest</w:t>
      </w:r>
      <w:r w:rsidR="00B35D2F">
        <w:t xml:space="preserve">. </w:t>
      </w:r>
    </w:p>
    <w:p w:rsidR="00B35D2F" w:rsidRDefault="00B35D2F" w:rsidP="00B35D2F">
      <w:r>
        <w:t>Arvestades tabelis esitatud stsenaariumite sisu sh järeleandmistega pindade vastavuses vajadustele, on alljärgnevas graafikus</w:t>
      </w:r>
      <w:r w:rsidR="00045FCB">
        <w:t xml:space="preserve"> (</w:t>
      </w:r>
      <w:r w:rsidR="00A85FDC">
        <w:fldChar w:fldCharType="begin"/>
      </w:r>
      <w:r w:rsidR="00045FCB">
        <w:instrText xml:space="preserve"> REF _Ref427323422 \h </w:instrText>
      </w:r>
      <w:r w:rsidR="00A85FDC">
        <w:fldChar w:fldCharType="separate"/>
      </w:r>
      <w:r w:rsidR="00477322">
        <w:t xml:space="preserve">Joonis </w:t>
      </w:r>
      <w:r w:rsidR="00477322">
        <w:rPr>
          <w:noProof/>
        </w:rPr>
        <w:t>34</w:t>
      </w:r>
      <w:r w:rsidR="00A85FDC">
        <w:fldChar w:fldCharType="end"/>
      </w:r>
      <w:r w:rsidR="00045FCB">
        <w:t>)</w:t>
      </w:r>
      <w:r>
        <w:t xml:space="preserve"> toodud välja vajadustele vastava pinna osakaal koguportfellist sõltuvalt stsenaariumist.</w:t>
      </w:r>
    </w:p>
    <w:p w:rsidR="00B35D2F" w:rsidRDefault="00B35D2F" w:rsidP="00B35D2F"/>
    <w:p w:rsidR="00045FCB" w:rsidRDefault="00045FCB" w:rsidP="00045FCB">
      <w:pPr>
        <w:pStyle w:val="Caption"/>
      </w:pPr>
      <w:bookmarkStart w:id="439" w:name="_Ref427323422"/>
      <w:r>
        <w:t xml:space="preserve">Joonis </w:t>
      </w:r>
      <w:fldSimple w:instr=" SEQ Joonis \* ARABIC ">
        <w:r w:rsidR="00477322">
          <w:rPr>
            <w:noProof/>
          </w:rPr>
          <w:t>34</w:t>
        </w:r>
      </w:fldSimple>
      <w:bookmarkEnd w:id="439"/>
      <w:r>
        <w:t xml:space="preserve">. </w:t>
      </w:r>
      <w:r w:rsidRPr="00E71F18">
        <w:t>Vajadustele vastava pinna osakaal sõltuvalt stsenaariumist</w:t>
      </w:r>
    </w:p>
    <w:p w:rsidR="00B35D2F" w:rsidRPr="00877D7C" w:rsidRDefault="00CF75A2" w:rsidP="00045FCB">
      <w:pPr>
        <w:jc w:val="left"/>
      </w:pPr>
      <w:r>
        <w:rPr>
          <w:noProof/>
          <w:lang w:eastAsia="et-EE"/>
        </w:rPr>
        <w:drawing>
          <wp:inline distT="0" distB="0" distL="0" distR="0">
            <wp:extent cx="5734050" cy="3609975"/>
            <wp:effectExtent l="0" t="0" r="0" b="0"/>
            <wp:docPr id="4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35D2F" w:rsidRDefault="00B35D2F" w:rsidP="00B35D2F">
      <w:pPr>
        <w:jc w:val="left"/>
      </w:pPr>
    </w:p>
    <w:p w:rsidR="002B3DDC" w:rsidRDefault="00B35D2F" w:rsidP="00B35D2F">
      <w:r>
        <w:t>Graafikust nähtub</w:t>
      </w:r>
      <w:r w:rsidR="00944F40">
        <w:t xml:space="preserve">, </w:t>
      </w:r>
      <w:r>
        <w:t>et</w:t>
      </w:r>
    </w:p>
    <w:p w:rsidR="00CF75A2" w:rsidRDefault="002B3DDC">
      <w:pPr>
        <w:pStyle w:val="ListParagraph"/>
      </w:pPr>
      <w:r>
        <w:t xml:space="preserve">Optimistliku rahastamisprognoosi ja tsentraliseeritud korraldusega </w:t>
      </w:r>
      <w:r w:rsidR="00B35D2F">
        <w:t>stsenaarium</w:t>
      </w:r>
      <w:r>
        <w:t>i</w:t>
      </w:r>
      <w:r w:rsidR="00B35D2F">
        <w:t xml:space="preserve"> 4 puhul saavutatakse keskmiselt 97% vajadustele vastava pinna osakaal</w:t>
      </w:r>
      <w:r w:rsidR="00B35D2F" w:rsidRPr="00C355AC">
        <w:t xml:space="preserve"> </w:t>
      </w:r>
      <w:r w:rsidR="00B35D2F">
        <w:t>kogu vaadeldud perioodi kestel</w:t>
      </w:r>
      <w:r>
        <w:t xml:space="preserve"> </w:t>
      </w:r>
      <w:r w:rsidR="00B35D2F">
        <w:t>Paremuselt järgmi</w:t>
      </w:r>
      <w:r w:rsidR="002A1AD6">
        <w:t xml:space="preserve">ne alternatiiv on </w:t>
      </w:r>
      <w:r w:rsidR="00CB27A6">
        <w:t>keskmise</w:t>
      </w:r>
      <w:r w:rsidR="002A1AD6">
        <w:t xml:space="preserve"> </w:t>
      </w:r>
      <w:r w:rsidR="00B35D2F">
        <w:t xml:space="preserve">eelarve prognoosi ja tsentraliseeritud korraldusega stsenaarium 6 (keskmise osakaaluga 90%). </w:t>
      </w:r>
    </w:p>
    <w:p w:rsidR="00CF75A2" w:rsidRDefault="002A1AD6">
      <w:pPr>
        <w:pStyle w:val="ListParagraph"/>
      </w:pPr>
      <w:r>
        <w:t>J</w:t>
      </w:r>
      <w:r w:rsidR="00B35D2F">
        <w:t>ärgnevad tasavägiselt stsenaarium 3 (keskmise osakaaluga 71%)</w:t>
      </w:r>
      <w:r w:rsidR="00F96800">
        <w:t xml:space="preserve"> </w:t>
      </w:r>
      <w:r w:rsidR="00B35D2F">
        <w:t xml:space="preserve">ja stsenaarium 5 (keskmise osakaaluga 67%), mis on mõlemad detsentraliseeritud korraldusega, </w:t>
      </w:r>
      <w:r>
        <w:t xml:space="preserve">kuid </w:t>
      </w:r>
      <w:r w:rsidR="00B35D2F">
        <w:t>nr 3</w:t>
      </w:r>
      <w:r>
        <w:t xml:space="preserve"> </w:t>
      </w:r>
      <w:r w:rsidR="00B35D2F">
        <w:t>optimistliku eelarve prognoosiga ja nr 5</w:t>
      </w:r>
      <w:r>
        <w:t xml:space="preserve"> </w:t>
      </w:r>
      <w:r w:rsidR="00B35D2F">
        <w:t xml:space="preserve">keskmise eelarve prognoosiga. </w:t>
      </w:r>
    </w:p>
    <w:p w:rsidR="00CF75A2" w:rsidRDefault="00B35D2F">
      <w:pPr>
        <w:pStyle w:val="ListParagraph"/>
      </w:pPr>
      <w:r>
        <w:t>Halvima tulemuse andis pessimistliku eelarve prognoosi ja detsentraliseeritud korraldusega stsenaarium 1 (keskmise osakaaluga 29%).</w:t>
      </w:r>
    </w:p>
    <w:p w:rsidR="00A50E3B" w:rsidRDefault="00944F40" w:rsidP="002A1AD6">
      <w:pPr>
        <w:rPr>
          <w:b/>
          <w:bCs/>
        </w:rPr>
      </w:pPr>
      <w:r>
        <w:rPr>
          <w:b/>
          <w:bCs/>
        </w:rPr>
        <w:t xml:space="preserve">Eeltoodust </w:t>
      </w:r>
      <w:r w:rsidR="00A50E3B">
        <w:rPr>
          <w:b/>
          <w:bCs/>
        </w:rPr>
        <w:t>võib järeldada:</w:t>
      </w:r>
    </w:p>
    <w:p w:rsidR="002A1AD6" w:rsidRPr="00A50E3B" w:rsidRDefault="00A50E3B" w:rsidP="002F4A30">
      <w:pPr>
        <w:pStyle w:val="ListParagraph"/>
        <w:numPr>
          <w:ilvl w:val="2"/>
          <w:numId w:val="22"/>
        </w:numPr>
        <w:tabs>
          <w:tab w:val="clear" w:pos="2160"/>
          <w:tab w:val="num" w:pos="0"/>
        </w:tabs>
        <w:ind w:left="0" w:firstLine="0"/>
      </w:pPr>
      <w:r w:rsidRPr="00944F40">
        <w:rPr>
          <w:bCs/>
        </w:rPr>
        <w:t>P</w:t>
      </w:r>
      <w:r w:rsidR="002A1AD6" w:rsidRPr="00944F40">
        <w:rPr>
          <w:bCs/>
        </w:rPr>
        <w:t xml:space="preserve">essimistliku rahastamisprognoosi korral </w:t>
      </w:r>
      <w:r w:rsidR="009B4D10" w:rsidRPr="00944F40">
        <w:rPr>
          <w:bCs/>
        </w:rPr>
        <w:t>ei ole võimalik</w:t>
      </w:r>
      <w:r w:rsidR="00F96800">
        <w:rPr>
          <w:bCs/>
        </w:rPr>
        <w:t xml:space="preserve"> </w:t>
      </w:r>
      <w:r w:rsidR="009B4D10" w:rsidRPr="00944F40">
        <w:rPr>
          <w:bCs/>
        </w:rPr>
        <w:t xml:space="preserve">leida soovitud lahendust </w:t>
      </w:r>
      <w:r w:rsidR="002A1AD6" w:rsidRPr="00944F40">
        <w:rPr>
          <w:bCs/>
        </w:rPr>
        <w:t>sõltumata strateegilistest otsustest:</w:t>
      </w:r>
      <w:r w:rsidR="002A1AD6" w:rsidRPr="00944F40">
        <w:rPr>
          <w:bCs/>
          <w:color w:val="1F497D"/>
        </w:rPr>
        <w:t xml:space="preserve"> </w:t>
      </w:r>
    </w:p>
    <w:p w:rsidR="002A1AD6" w:rsidRDefault="002A1AD6" w:rsidP="002A1AD6">
      <w:pPr>
        <w:pStyle w:val="ListParagraph"/>
      </w:pPr>
      <w:r>
        <w:t xml:space="preserve">Tsentraliseeritud </w:t>
      </w:r>
      <w:r w:rsidR="00A50E3B">
        <w:t xml:space="preserve">valitsemise jätkamine </w:t>
      </w:r>
      <w:r>
        <w:t>ei ole võimalik, sest rahastamisvõimalused ei ole piisavad.</w:t>
      </w:r>
    </w:p>
    <w:p w:rsidR="002A1AD6" w:rsidRPr="00944F40" w:rsidRDefault="002A1AD6" w:rsidP="002A1AD6">
      <w:pPr>
        <w:pStyle w:val="ListParagraph"/>
        <w:rPr>
          <w:u w:val="single"/>
        </w:rPr>
      </w:pPr>
      <w:r w:rsidRPr="00944F40">
        <w:rPr>
          <w:u w:val="single"/>
        </w:rPr>
        <w:t xml:space="preserve">Detsentraliseeritud valitsemise jätkumisel </w:t>
      </w:r>
      <w:r w:rsidR="00A50E3B" w:rsidRPr="00944F40">
        <w:rPr>
          <w:u w:val="single"/>
        </w:rPr>
        <w:t xml:space="preserve">kaotame ka senised edusammud: kui praegu vastab vajadustele </w:t>
      </w:r>
      <w:r w:rsidR="00A96708" w:rsidRPr="00944F40">
        <w:rPr>
          <w:u w:val="single"/>
        </w:rPr>
        <w:t>76% pinnast, siis 5 aastaga langeks näitaja 53%-le,</w:t>
      </w:r>
      <w:r w:rsidR="00F96800">
        <w:rPr>
          <w:u w:val="single"/>
        </w:rPr>
        <w:t xml:space="preserve"> </w:t>
      </w:r>
      <w:r w:rsidR="00A96708" w:rsidRPr="00944F40">
        <w:rPr>
          <w:u w:val="single"/>
        </w:rPr>
        <w:t xml:space="preserve">11 aastaga (aastaks 2026) 11%-le </w:t>
      </w:r>
      <w:r w:rsidR="00A50E3B" w:rsidRPr="00944F40">
        <w:rPr>
          <w:u w:val="single"/>
        </w:rPr>
        <w:t xml:space="preserve">. </w:t>
      </w:r>
    </w:p>
    <w:p w:rsidR="002A1AD6" w:rsidRPr="00944F40" w:rsidRDefault="00CB27A6" w:rsidP="002F4A30">
      <w:pPr>
        <w:pStyle w:val="ListParagraph"/>
        <w:numPr>
          <w:ilvl w:val="0"/>
          <w:numId w:val="20"/>
        </w:numPr>
        <w:rPr>
          <w:bCs/>
        </w:rPr>
      </w:pPr>
      <w:r w:rsidRPr="00944F40">
        <w:rPr>
          <w:bCs/>
        </w:rPr>
        <w:t>Keskmise</w:t>
      </w:r>
      <w:r w:rsidR="002A1AD6" w:rsidRPr="00944F40">
        <w:rPr>
          <w:bCs/>
        </w:rPr>
        <w:t xml:space="preserve"> rahastamisprognoosi realiseerumisel annab tsentraliseeritud korraldus märgatavalt parema tulemuse võrreldes detsentraliseeritud korraldusega:</w:t>
      </w:r>
      <w:r w:rsidR="00F96800">
        <w:rPr>
          <w:bCs/>
        </w:rPr>
        <w:t xml:space="preserve"> </w:t>
      </w:r>
    </w:p>
    <w:p w:rsidR="002A1AD6" w:rsidRPr="00944F40" w:rsidRDefault="002A1AD6" w:rsidP="002F4A30">
      <w:pPr>
        <w:pStyle w:val="ListParagraph"/>
        <w:numPr>
          <w:ilvl w:val="0"/>
          <w:numId w:val="23"/>
        </w:numPr>
        <w:rPr>
          <w:u w:val="single"/>
        </w:rPr>
      </w:pPr>
      <w:r w:rsidRPr="00944F40">
        <w:rPr>
          <w:u w:val="single"/>
        </w:rPr>
        <w:t>Tsentraliseeritud lahendusega saavutatakse 90% pinna vastavus vajadustele vaadeldud perioodi kestel.</w:t>
      </w:r>
      <w:r w:rsidR="00A50E3B" w:rsidRPr="00944F40">
        <w:rPr>
          <w:u w:val="single"/>
        </w:rPr>
        <w:t xml:space="preserve"> </w:t>
      </w:r>
    </w:p>
    <w:p w:rsidR="00A50E3B" w:rsidRDefault="002A1AD6" w:rsidP="002F4A30">
      <w:pPr>
        <w:pStyle w:val="ListParagraph"/>
        <w:numPr>
          <w:ilvl w:val="0"/>
          <w:numId w:val="23"/>
        </w:numPr>
      </w:pPr>
      <w:r>
        <w:t xml:space="preserve">Detsentraliseeritud </w:t>
      </w:r>
      <w:r w:rsidR="00A50E3B">
        <w:t>saavutatakse 67% pinna vastavus vajadustele vaadeldud perioodi kestel.</w:t>
      </w:r>
    </w:p>
    <w:p w:rsidR="00A50E3B" w:rsidRPr="00A50E3B" w:rsidRDefault="00A50E3B" w:rsidP="00A50E3B">
      <w:pPr>
        <w:pStyle w:val="ListParagraph"/>
        <w:numPr>
          <w:ilvl w:val="0"/>
          <w:numId w:val="0"/>
        </w:numPr>
        <w:rPr>
          <w:b/>
        </w:rPr>
      </w:pPr>
      <w:r w:rsidRPr="00A50E3B">
        <w:rPr>
          <w:b/>
        </w:rPr>
        <w:t>Kokkuvõtvalt:</w:t>
      </w:r>
    </w:p>
    <w:p w:rsidR="00A50E3B" w:rsidRDefault="00A50E3B" w:rsidP="002F4A30">
      <w:pPr>
        <w:pStyle w:val="ListParagraph"/>
        <w:numPr>
          <w:ilvl w:val="1"/>
          <w:numId w:val="31"/>
        </w:numPr>
      </w:pPr>
      <w:r>
        <w:t>Detsentraliseeritud valitsemise jätkamine on tupiktee, tsentraliseerimisega tuleb edasi minna</w:t>
      </w:r>
      <w:r w:rsidR="009B4D10">
        <w:t xml:space="preserve"> igal juhul </w:t>
      </w:r>
      <w:r>
        <w:t>süsteemi parandades</w:t>
      </w:r>
      <w:r w:rsidR="009B4D10">
        <w:t xml:space="preserve"> ja säästlikumaid lahendusi otsides (optimeerimine, veelgi täpsem rahastamine, müügitulude kasvatamine).</w:t>
      </w:r>
    </w:p>
    <w:p w:rsidR="00A50E3B" w:rsidRPr="00A50E3B" w:rsidRDefault="00A50E3B" w:rsidP="002F4A30">
      <w:pPr>
        <w:pStyle w:val="ListParagraph"/>
        <w:numPr>
          <w:ilvl w:val="1"/>
          <w:numId w:val="31"/>
        </w:numPr>
      </w:pPr>
      <w:r w:rsidRPr="00A50E3B">
        <w:t>Erasektoriga koostöö võimaluste analüüsiga tuleb edasi minna, sest sama rahastamismahu korral võimaldab see tagada suurema hulga vajadustele vastavaid pindu.</w:t>
      </w:r>
    </w:p>
    <w:p w:rsidR="00B35D2F" w:rsidRDefault="00B35D2F" w:rsidP="00161C57">
      <w:pPr>
        <w:pStyle w:val="Pealkiri2"/>
      </w:pPr>
      <w:bookmarkStart w:id="440" w:name="_Toc421202251"/>
      <w:bookmarkStart w:id="441" w:name="_Toc433980762"/>
      <w:r>
        <w:t xml:space="preserve">Võimalikud </w:t>
      </w:r>
      <w:r w:rsidRPr="00161C57">
        <w:t>lahendused</w:t>
      </w:r>
      <w:bookmarkEnd w:id="440"/>
      <w:bookmarkEnd w:id="441"/>
      <w:r w:rsidR="00F96800">
        <w:t xml:space="preserve"> </w:t>
      </w:r>
      <w:r>
        <w:t xml:space="preserve"> </w:t>
      </w:r>
    </w:p>
    <w:p w:rsidR="00B35D2F" w:rsidRDefault="00B35D2F" w:rsidP="00161C57">
      <w:pPr>
        <w:pStyle w:val="Pealkiri3"/>
      </w:pPr>
      <w:r>
        <w:t xml:space="preserve"> </w:t>
      </w:r>
      <w:bookmarkStart w:id="442" w:name="_Toc421202252"/>
      <w:bookmarkStart w:id="443" w:name="_Toc433980763"/>
      <w:r w:rsidRPr="00B35D2F">
        <w:t>Alternatiivsed</w:t>
      </w:r>
      <w:r>
        <w:t xml:space="preserve"> </w:t>
      </w:r>
      <w:r w:rsidRPr="00161C57">
        <w:t>valikud</w:t>
      </w:r>
      <w:bookmarkEnd w:id="442"/>
      <w:bookmarkEnd w:id="443"/>
    </w:p>
    <w:p w:rsidR="00B35D2F" w:rsidRDefault="00B35D2F" w:rsidP="00B35D2F">
      <w:r>
        <w:t xml:space="preserve">Kuivõrd riigi </w:t>
      </w:r>
      <w:r w:rsidRPr="00944F40">
        <w:t>kinnisvarategevuse strateegia</w:t>
      </w:r>
      <w:r w:rsidR="000040D7" w:rsidRPr="00944F40">
        <w:t>ga senistel alustel jätkamine</w:t>
      </w:r>
      <w:r w:rsidR="00944F40" w:rsidRPr="00944F40">
        <w:t xml:space="preserve"> </w:t>
      </w:r>
      <w:r w:rsidRPr="00944F40">
        <w:t xml:space="preserve">ei ole rahaliselt jätkusuutlik, </w:t>
      </w:r>
      <w:r w:rsidR="000040D7" w:rsidRPr="00944F40">
        <w:t>võrreldakse detailsemalt</w:t>
      </w:r>
      <w:r w:rsidR="00F96800">
        <w:t xml:space="preserve"> </w:t>
      </w:r>
      <w:r w:rsidR="000040D7" w:rsidRPr="00944F40">
        <w:t xml:space="preserve">kahte </w:t>
      </w:r>
      <w:r w:rsidR="00680515" w:rsidRPr="00944F40">
        <w:t xml:space="preserve">alternatiivset </w:t>
      </w:r>
      <w:r w:rsidR="000040D7" w:rsidRPr="00944F40">
        <w:t xml:space="preserve">kõige tõenäolisemale eelarveprognoosile tuginevat </w:t>
      </w:r>
      <w:r w:rsidRPr="00944F40">
        <w:t>stsenaarium</w:t>
      </w:r>
      <w:r w:rsidR="000040D7" w:rsidRPr="00944F40">
        <w:t>i, mille</w:t>
      </w:r>
      <w:r w:rsidR="000040D7">
        <w:t xml:space="preserve"> alusel koostatakse </w:t>
      </w:r>
      <w:r>
        <w:t>rahastamiskava ja tegevuskava</w:t>
      </w:r>
      <w:r w:rsidR="000040D7">
        <w:t xml:space="preserve"> ettepanekud.</w:t>
      </w:r>
    </w:p>
    <w:p w:rsidR="00B35D2F" w:rsidRDefault="00B35D2F" w:rsidP="00B35D2F">
      <w:r>
        <w:t>Alljärgnevalt on tabelis</w:t>
      </w:r>
      <w:r w:rsidR="00045FCB">
        <w:t xml:space="preserve"> (</w:t>
      </w:r>
      <w:r w:rsidR="00A85FDC">
        <w:fldChar w:fldCharType="begin"/>
      </w:r>
      <w:r w:rsidR="00045FCB">
        <w:instrText xml:space="preserve"> REF _Ref427323478 \h </w:instrText>
      </w:r>
      <w:r w:rsidR="00A85FDC">
        <w:fldChar w:fldCharType="separate"/>
      </w:r>
      <w:r w:rsidR="00477322">
        <w:t xml:space="preserve">Tabel </w:t>
      </w:r>
      <w:r w:rsidR="00477322">
        <w:rPr>
          <w:noProof/>
        </w:rPr>
        <w:t>24</w:t>
      </w:r>
      <w:r w:rsidR="00A85FDC">
        <w:fldChar w:fldCharType="end"/>
      </w:r>
      <w:r w:rsidR="00045FCB">
        <w:t>)</w:t>
      </w:r>
      <w:r>
        <w:t xml:space="preserve"> esitatud stsenaariumite 5 ja 6 peamiste omaduste koondvõrdlus.</w:t>
      </w:r>
    </w:p>
    <w:p w:rsidR="00045FCB" w:rsidRDefault="00045FCB" w:rsidP="00045FCB">
      <w:pPr>
        <w:pStyle w:val="Caption"/>
      </w:pPr>
      <w:bookmarkStart w:id="444" w:name="_Ref427323478"/>
      <w:r>
        <w:t xml:space="preserve">Tabel </w:t>
      </w:r>
      <w:fldSimple w:instr=" SEQ Tabel \* ARABIC ">
        <w:r w:rsidR="00477322">
          <w:rPr>
            <w:noProof/>
          </w:rPr>
          <w:t>24</w:t>
        </w:r>
      </w:fldSimple>
      <w:bookmarkEnd w:id="444"/>
      <w:r>
        <w:rPr>
          <w:noProof/>
        </w:rPr>
        <w:t>. Stsenaariumite 5 ja 6 võrdlus</w:t>
      </w:r>
    </w:p>
    <w:tbl>
      <w:tblPr>
        <w:tblStyle w:val="TableGrid"/>
        <w:tblW w:w="0" w:type="auto"/>
        <w:tblInd w:w="108" w:type="dxa"/>
        <w:tblLook w:val="04A0"/>
      </w:tblPr>
      <w:tblGrid>
        <w:gridCol w:w="2819"/>
        <w:gridCol w:w="2123"/>
        <w:gridCol w:w="2247"/>
        <w:gridCol w:w="1945"/>
      </w:tblGrid>
      <w:tr w:rsidR="00B35D2F" w:rsidRPr="002F3B79" w:rsidTr="00045FCB">
        <w:tc>
          <w:tcPr>
            <w:tcW w:w="2819" w:type="dxa"/>
          </w:tcPr>
          <w:p w:rsidR="00B35D2F" w:rsidRPr="002F3B79" w:rsidRDefault="00B35D2F" w:rsidP="004F1ED0">
            <w:pPr>
              <w:rPr>
                <w:b/>
                <w:lang w:val="et-EE"/>
              </w:rPr>
            </w:pPr>
          </w:p>
        </w:tc>
        <w:tc>
          <w:tcPr>
            <w:tcW w:w="2123" w:type="dxa"/>
          </w:tcPr>
          <w:p w:rsidR="00B35D2F" w:rsidRPr="002F3B79" w:rsidRDefault="00B35D2F" w:rsidP="004F1ED0">
            <w:pPr>
              <w:rPr>
                <w:b/>
                <w:lang w:val="et-EE"/>
              </w:rPr>
            </w:pPr>
            <w:r w:rsidRPr="002F3B79">
              <w:rPr>
                <w:b/>
                <w:lang w:val="et-EE"/>
              </w:rPr>
              <w:t>Stsenaarium 5</w:t>
            </w:r>
          </w:p>
        </w:tc>
        <w:tc>
          <w:tcPr>
            <w:tcW w:w="2247" w:type="dxa"/>
          </w:tcPr>
          <w:p w:rsidR="00B35D2F" w:rsidRPr="002F3B79" w:rsidRDefault="00B35D2F" w:rsidP="004F1ED0">
            <w:pPr>
              <w:rPr>
                <w:b/>
                <w:lang w:val="et-EE"/>
              </w:rPr>
            </w:pPr>
            <w:r w:rsidRPr="002F3B79">
              <w:rPr>
                <w:b/>
                <w:lang w:val="et-EE"/>
              </w:rPr>
              <w:t>Stsenaarium 6</w:t>
            </w:r>
          </w:p>
        </w:tc>
        <w:tc>
          <w:tcPr>
            <w:tcW w:w="1945" w:type="dxa"/>
          </w:tcPr>
          <w:p w:rsidR="00B35D2F" w:rsidRPr="002F3B79" w:rsidRDefault="00B35D2F" w:rsidP="004F1ED0">
            <w:pPr>
              <w:rPr>
                <w:b/>
                <w:lang w:val="et-EE"/>
              </w:rPr>
            </w:pPr>
            <w:r w:rsidRPr="002F3B79">
              <w:rPr>
                <w:b/>
                <w:lang w:val="et-EE"/>
              </w:rPr>
              <w:t>Erinevus</w:t>
            </w:r>
          </w:p>
        </w:tc>
      </w:tr>
      <w:tr w:rsidR="00B35D2F" w:rsidRPr="002F3B79" w:rsidTr="00045FCB">
        <w:tc>
          <w:tcPr>
            <w:tcW w:w="2819" w:type="dxa"/>
          </w:tcPr>
          <w:p w:rsidR="00B35D2F" w:rsidRPr="002F3B79" w:rsidRDefault="00804061" w:rsidP="004F1ED0">
            <w:pPr>
              <w:spacing w:before="40" w:after="40"/>
              <w:jc w:val="left"/>
              <w:rPr>
                <w:sz w:val="20"/>
                <w:szCs w:val="18"/>
                <w:lang w:val="et-EE"/>
              </w:rPr>
            </w:pPr>
            <w:r w:rsidRPr="002F3B79">
              <w:rPr>
                <w:sz w:val="20"/>
                <w:szCs w:val="18"/>
                <w:lang w:val="et-EE"/>
              </w:rPr>
              <w:t>Eelarve prognoos</w:t>
            </w:r>
          </w:p>
        </w:tc>
        <w:tc>
          <w:tcPr>
            <w:tcW w:w="2123" w:type="dxa"/>
          </w:tcPr>
          <w:p w:rsidR="00B35D2F" w:rsidRPr="002F3B79" w:rsidRDefault="00B35D2F" w:rsidP="004F1ED0">
            <w:pPr>
              <w:spacing w:before="40" w:after="40"/>
              <w:rPr>
                <w:sz w:val="20"/>
                <w:szCs w:val="18"/>
                <w:lang w:val="et-EE"/>
              </w:rPr>
            </w:pPr>
            <w:r w:rsidRPr="002F3B79">
              <w:rPr>
                <w:sz w:val="20"/>
                <w:szCs w:val="18"/>
                <w:lang w:val="et-EE"/>
              </w:rPr>
              <w:t>Keskmine</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Keskmine</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Sama</w:t>
            </w:r>
          </w:p>
        </w:tc>
      </w:tr>
      <w:tr w:rsidR="00B35D2F" w:rsidRPr="002F3B79" w:rsidTr="00045FCB">
        <w:tc>
          <w:tcPr>
            <w:tcW w:w="2819" w:type="dxa"/>
          </w:tcPr>
          <w:p w:rsidR="00B35D2F" w:rsidRPr="002F3B79" w:rsidRDefault="00804061" w:rsidP="004F1ED0">
            <w:pPr>
              <w:spacing w:before="40" w:after="40"/>
              <w:jc w:val="left"/>
              <w:rPr>
                <w:sz w:val="20"/>
                <w:szCs w:val="18"/>
                <w:lang w:val="et-EE"/>
              </w:rPr>
            </w:pPr>
            <w:r w:rsidRPr="002F3B79">
              <w:rPr>
                <w:sz w:val="20"/>
                <w:szCs w:val="18"/>
                <w:lang w:val="et-EE"/>
              </w:rPr>
              <w:t xml:space="preserve">Tsentraliseerituse tase </w:t>
            </w:r>
          </w:p>
        </w:tc>
        <w:tc>
          <w:tcPr>
            <w:tcW w:w="2123" w:type="dxa"/>
          </w:tcPr>
          <w:p w:rsidR="00B35D2F" w:rsidRPr="002F3B79" w:rsidRDefault="00B35D2F" w:rsidP="004F1ED0">
            <w:pPr>
              <w:spacing w:before="40" w:after="40"/>
              <w:rPr>
                <w:sz w:val="20"/>
                <w:szCs w:val="18"/>
                <w:lang w:val="et-EE"/>
              </w:rPr>
            </w:pPr>
            <w:r w:rsidRPr="002F3B79">
              <w:rPr>
                <w:sz w:val="20"/>
                <w:szCs w:val="18"/>
                <w:lang w:val="et-EE"/>
              </w:rPr>
              <w:t>Detsentraliseeritud</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Tsentraliseeritud</w:t>
            </w:r>
          </w:p>
        </w:tc>
        <w:tc>
          <w:tcPr>
            <w:tcW w:w="1945" w:type="dxa"/>
          </w:tcPr>
          <w:p w:rsidR="00CF75A2" w:rsidRPr="002F3B79" w:rsidRDefault="00680515">
            <w:pPr>
              <w:spacing w:before="40" w:after="40"/>
              <w:jc w:val="left"/>
              <w:rPr>
                <w:rFonts w:eastAsia="Calibri"/>
                <w:sz w:val="20"/>
                <w:szCs w:val="18"/>
                <w:lang w:val="et-EE"/>
              </w:rPr>
            </w:pPr>
            <w:r w:rsidRPr="002F3B79">
              <w:rPr>
                <w:sz w:val="20"/>
                <w:szCs w:val="18"/>
                <w:lang w:val="et-EE"/>
              </w:rPr>
              <w:t>Otsused, kas jätkata üleandmist</w:t>
            </w:r>
            <w:r w:rsidR="00F96800">
              <w:rPr>
                <w:sz w:val="20"/>
                <w:szCs w:val="18"/>
                <w:lang w:val="et-EE"/>
              </w:rPr>
              <w:t xml:space="preserve"> </w:t>
            </w:r>
            <w:r w:rsidRPr="002F3B79">
              <w:rPr>
                <w:sz w:val="20"/>
                <w:szCs w:val="18"/>
                <w:lang w:val="et-EE"/>
              </w:rPr>
              <w:t>või mitte</w:t>
            </w:r>
          </w:p>
        </w:tc>
      </w:tr>
      <w:tr w:rsidR="00B35D2F" w:rsidRPr="002F3B79" w:rsidTr="00045FCB">
        <w:tc>
          <w:tcPr>
            <w:tcW w:w="2819" w:type="dxa"/>
          </w:tcPr>
          <w:p w:rsidR="00B35D2F" w:rsidRPr="002F3B79" w:rsidRDefault="00B35D2F" w:rsidP="004F1ED0">
            <w:pPr>
              <w:spacing w:before="40" w:after="40"/>
              <w:jc w:val="left"/>
              <w:rPr>
                <w:sz w:val="20"/>
                <w:szCs w:val="18"/>
                <w:lang w:val="et-EE"/>
              </w:rPr>
            </w:pPr>
            <w:r w:rsidRPr="002F3B79">
              <w:rPr>
                <w:sz w:val="20"/>
                <w:szCs w:val="18"/>
                <w:lang w:val="et-EE"/>
              </w:rPr>
              <w:t>Mittevajalik portfell (m</w:t>
            </w:r>
            <w:r w:rsidRPr="002F3B79">
              <w:rPr>
                <w:sz w:val="20"/>
                <w:szCs w:val="18"/>
                <w:vertAlign w:val="superscript"/>
                <w:lang w:val="et-EE"/>
              </w:rPr>
              <w:t>2</w:t>
            </w:r>
            <w:r w:rsidRPr="002F3B79">
              <w:rPr>
                <w:sz w:val="20"/>
                <w:szCs w:val="18"/>
                <w:lang w:val="et-EE"/>
              </w:rPr>
              <w:t>)</w:t>
            </w:r>
          </w:p>
        </w:tc>
        <w:tc>
          <w:tcPr>
            <w:tcW w:w="2123" w:type="dxa"/>
          </w:tcPr>
          <w:p w:rsidR="00B35D2F" w:rsidRPr="002F3B79" w:rsidRDefault="00B35D2F" w:rsidP="004F1ED0">
            <w:pPr>
              <w:spacing w:before="40" w:after="40"/>
              <w:rPr>
                <w:sz w:val="20"/>
                <w:szCs w:val="18"/>
                <w:lang w:val="et-EE"/>
              </w:rPr>
            </w:pPr>
            <w:r w:rsidRPr="002F3B79">
              <w:rPr>
                <w:sz w:val="20"/>
                <w:szCs w:val="18"/>
                <w:lang w:val="et-EE"/>
              </w:rPr>
              <w:t>160 956</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160 956</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Sama</w:t>
            </w:r>
          </w:p>
        </w:tc>
      </w:tr>
      <w:tr w:rsidR="00B35D2F" w:rsidRPr="002F3B79" w:rsidTr="00045FCB">
        <w:tc>
          <w:tcPr>
            <w:tcW w:w="2819" w:type="dxa"/>
          </w:tcPr>
          <w:p w:rsidR="00B35D2F" w:rsidRPr="002F3B79" w:rsidRDefault="00B35D2F" w:rsidP="004F1ED0">
            <w:pPr>
              <w:spacing w:before="40" w:after="40"/>
              <w:jc w:val="left"/>
              <w:rPr>
                <w:sz w:val="20"/>
                <w:szCs w:val="18"/>
                <w:lang w:val="et-EE"/>
              </w:rPr>
            </w:pPr>
            <w:r w:rsidRPr="002F3B79">
              <w:rPr>
                <w:sz w:val="20"/>
                <w:szCs w:val="18"/>
                <w:lang w:val="et-EE"/>
              </w:rPr>
              <w:t>Riigi portfell (m</w:t>
            </w:r>
            <w:r w:rsidRPr="002F3B79">
              <w:rPr>
                <w:sz w:val="20"/>
                <w:szCs w:val="18"/>
                <w:vertAlign w:val="superscript"/>
                <w:lang w:val="et-EE"/>
              </w:rPr>
              <w:t>2</w:t>
            </w:r>
            <w:r w:rsidRPr="002F3B79">
              <w:rPr>
                <w:sz w:val="20"/>
                <w:szCs w:val="18"/>
                <w:lang w:val="et-EE"/>
              </w:rPr>
              <w:t>)</w:t>
            </w:r>
          </w:p>
        </w:tc>
        <w:tc>
          <w:tcPr>
            <w:tcW w:w="2123" w:type="dxa"/>
          </w:tcPr>
          <w:p w:rsidR="00B35D2F" w:rsidRPr="002F3B79" w:rsidRDefault="00B35D2F" w:rsidP="004F1ED0">
            <w:pPr>
              <w:spacing w:before="40" w:after="40"/>
              <w:rPr>
                <w:sz w:val="20"/>
                <w:szCs w:val="18"/>
                <w:lang w:val="et-EE"/>
              </w:rPr>
            </w:pPr>
            <w:r w:rsidRPr="002F3B79">
              <w:rPr>
                <w:sz w:val="20"/>
                <w:szCs w:val="18"/>
                <w:lang w:val="et-EE"/>
              </w:rPr>
              <w:t>816 873</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27 093</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- 789 780</w:t>
            </w:r>
          </w:p>
        </w:tc>
      </w:tr>
      <w:tr w:rsidR="00B35D2F" w:rsidRPr="002F3B79" w:rsidTr="00045FCB">
        <w:tc>
          <w:tcPr>
            <w:tcW w:w="2819" w:type="dxa"/>
          </w:tcPr>
          <w:p w:rsidR="00B35D2F" w:rsidRPr="002F3B79" w:rsidRDefault="00B35D2F" w:rsidP="004F1ED0">
            <w:pPr>
              <w:spacing w:before="40" w:after="40"/>
              <w:jc w:val="left"/>
              <w:rPr>
                <w:sz w:val="20"/>
                <w:szCs w:val="18"/>
                <w:lang w:val="et-EE"/>
              </w:rPr>
            </w:pPr>
            <w:r w:rsidRPr="002F3B79">
              <w:rPr>
                <w:sz w:val="20"/>
                <w:szCs w:val="18"/>
                <w:lang w:val="et-EE"/>
              </w:rPr>
              <w:t>RKAS</w:t>
            </w:r>
            <w:r w:rsidR="002F3B79">
              <w:rPr>
                <w:sz w:val="20"/>
                <w:szCs w:val="18"/>
                <w:lang w:val="et-EE"/>
              </w:rPr>
              <w:t>-</w:t>
            </w:r>
            <w:r w:rsidRPr="002F3B79">
              <w:rPr>
                <w:sz w:val="20"/>
                <w:szCs w:val="18"/>
                <w:lang w:val="et-EE"/>
              </w:rPr>
              <w:t>i portfell (m</w:t>
            </w:r>
            <w:r w:rsidRPr="002F3B79">
              <w:rPr>
                <w:sz w:val="20"/>
                <w:szCs w:val="18"/>
                <w:vertAlign w:val="superscript"/>
                <w:lang w:val="et-EE"/>
              </w:rPr>
              <w:t>2</w:t>
            </w:r>
            <w:r w:rsidRPr="002F3B79">
              <w:rPr>
                <w:sz w:val="20"/>
                <w:szCs w:val="18"/>
                <w:lang w:val="et-EE"/>
              </w:rPr>
              <w:t>)</w:t>
            </w:r>
          </w:p>
          <w:p w:rsidR="00B35D2F" w:rsidRPr="002F3B79" w:rsidRDefault="00B35D2F" w:rsidP="004F1ED0">
            <w:pPr>
              <w:spacing w:before="40" w:after="40"/>
              <w:ind w:left="318"/>
              <w:jc w:val="left"/>
              <w:rPr>
                <w:sz w:val="20"/>
                <w:szCs w:val="18"/>
                <w:lang w:val="et-EE"/>
              </w:rPr>
            </w:pPr>
            <w:r w:rsidRPr="002F3B79">
              <w:rPr>
                <w:sz w:val="20"/>
                <w:szCs w:val="18"/>
                <w:lang w:val="et-EE"/>
              </w:rPr>
              <w:t>sh kasutusrent</w:t>
            </w:r>
          </w:p>
          <w:p w:rsidR="00B35D2F" w:rsidRPr="002F3B79" w:rsidRDefault="00B35D2F" w:rsidP="004F1ED0">
            <w:pPr>
              <w:spacing w:before="40" w:after="40"/>
              <w:ind w:left="318"/>
              <w:jc w:val="left"/>
              <w:rPr>
                <w:sz w:val="20"/>
                <w:szCs w:val="18"/>
                <w:lang w:val="et-EE"/>
              </w:rPr>
            </w:pPr>
            <w:r w:rsidRPr="002F3B79">
              <w:rPr>
                <w:sz w:val="20"/>
                <w:szCs w:val="18"/>
                <w:lang w:val="et-EE"/>
              </w:rPr>
              <w:t>sh PPP</w:t>
            </w:r>
          </w:p>
          <w:p w:rsidR="00B35D2F" w:rsidRPr="002F3B79" w:rsidRDefault="00B35D2F" w:rsidP="004F1ED0">
            <w:pPr>
              <w:spacing w:before="40" w:after="40"/>
              <w:ind w:left="318"/>
              <w:jc w:val="left"/>
              <w:rPr>
                <w:sz w:val="20"/>
                <w:szCs w:val="18"/>
                <w:lang w:val="et-EE"/>
              </w:rPr>
            </w:pPr>
            <w:r w:rsidRPr="002F3B79">
              <w:rPr>
                <w:sz w:val="20"/>
                <w:szCs w:val="18"/>
                <w:lang w:val="et-EE"/>
              </w:rPr>
              <w:t xml:space="preserve">sh omafinantseering </w:t>
            </w:r>
          </w:p>
          <w:p w:rsidR="00B35D2F" w:rsidRPr="002F3B79" w:rsidRDefault="00B35D2F" w:rsidP="004F1ED0">
            <w:pPr>
              <w:spacing w:before="40" w:after="40"/>
              <w:ind w:left="318"/>
              <w:jc w:val="left"/>
              <w:rPr>
                <w:sz w:val="20"/>
                <w:szCs w:val="18"/>
                <w:lang w:val="et-EE"/>
              </w:rPr>
            </w:pPr>
            <w:r w:rsidRPr="002F3B79">
              <w:rPr>
                <w:sz w:val="20"/>
                <w:szCs w:val="18"/>
                <w:lang w:val="et-EE"/>
              </w:rPr>
              <w:t>sh kapitalirent</w:t>
            </w:r>
          </w:p>
        </w:tc>
        <w:tc>
          <w:tcPr>
            <w:tcW w:w="2123" w:type="dxa"/>
          </w:tcPr>
          <w:p w:rsidR="00B35D2F" w:rsidRPr="002F3B79" w:rsidRDefault="00B35D2F" w:rsidP="004F1ED0">
            <w:pPr>
              <w:spacing w:before="40" w:after="40"/>
              <w:rPr>
                <w:sz w:val="20"/>
                <w:szCs w:val="18"/>
                <w:lang w:val="et-EE"/>
              </w:rPr>
            </w:pPr>
            <w:r w:rsidRPr="002F3B79">
              <w:rPr>
                <w:sz w:val="20"/>
                <w:szCs w:val="18"/>
                <w:lang w:val="et-EE"/>
              </w:rPr>
              <w:t>542 429</w:t>
            </w:r>
          </w:p>
          <w:p w:rsidR="00B35D2F" w:rsidRPr="002F3B79" w:rsidRDefault="00B35D2F" w:rsidP="004F1ED0">
            <w:pPr>
              <w:spacing w:before="40" w:after="40"/>
              <w:rPr>
                <w:sz w:val="20"/>
                <w:szCs w:val="18"/>
                <w:lang w:val="et-EE"/>
              </w:rPr>
            </w:pPr>
            <w:r w:rsidRPr="002F3B79">
              <w:rPr>
                <w:sz w:val="20"/>
                <w:szCs w:val="18"/>
                <w:lang w:val="et-EE"/>
              </w:rPr>
              <w:t>138 982</w:t>
            </w:r>
          </w:p>
          <w:p w:rsidR="00B35D2F" w:rsidRPr="002F3B79" w:rsidRDefault="00B35D2F" w:rsidP="004F1ED0">
            <w:pPr>
              <w:spacing w:before="40" w:after="40"/>
              <w:rPr>
                <w:sz w:val="20"/>
                <w:szCs w:val="18"/>
                <w:lang w:val="et-EE"/>
              </w:rPr>
            </w:pPr>
            <w:r w:rsidRPr="002F3B79">
              <w:rPr>
                <w:sz w:val="20"/>
                <w:szCs w:val="18"/>
                <w:lang w:val="et-EE"/>
              </w:rPr>
              <w:t>0</w:t>
            </w:r>
          </w:p>
          <w:p w:rsidR="00B35D2F" w:rsidRPr="002F3B79" w:rsidRDefault="00B35D2F" w:rsidP="004F1ED0">
            <w:pPr>
              <w:spacing w:before="40" w:after="40"/>
              <w:rPr>
                <w:sz w:val="20"/>
                <w:szCs w:val="18"/>
                <w:lang w:val="et-EE"/>
              </w:rPr>
            </w:pPr>
            <w:r w:rsidRPr="002F3B79">
              <w:rPr>
                <w:sz w:val="20"/>
                <w:szCs w:val="18"/>
                <w:lang w:val="et-EE"/>
              </w:rPr>
              <w:t xml:space="preserve">394 707 </w:t>
            </w:r>
          </w:p>
          <w:p w:rsidR="00B35D2F" w:rsidRPr="002F3B79" w:rsidRDefault="00B35D2F" w:rsidP="004F1ED0">
            <w:pPr>
              <w:spacing w:before="40" w:after="40"/>
              <w:rPr>
                <w:sz w:val="20"/>
                <w:szCs w:val="18"/>
                <w:lang w:val="et-EE"/>
              </w:rPr>
            </w:pPr>
            <w:r w:rsidRPr="002F3B79">
              <w:rPr>
                <w:sz w:val="20"/>
                <w:szCs w:val="18"/>
                <w:lang w:val="et-EE"/>
              </w:rPr>
              <w:t>8 740</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1 332 209</w:t>
            </w:r>
          </w:p>
          <w:p w:rsidR="00B35D2F" w:rsidRPr="002F3B79" w:rsidRDefault="00B35D2F" w:rsidP="004F1ED0">
            <w:pPr>
              <w:spacing w:before="40" w:after="40"/>
              <w:rPr>
                <w:sz w:val="20"/>
                <w:szCs w:val="18"/>
                <w:lang w:val="et-EE"/>
              </w:rPr>
            </w:pPr>
            <w:r w:rsidRPr="002F3B79">
              <w:rPr>
                <w:sz w:val="20"/>
                <w:szCs w:val="18"/>
                <w:lang w:val="et-EE"/>
              </w:rPr>
              <w:t>333 102</w:t>
            </w:r>
          </w:p>
          <w:p w:rsidR="00A96708" w:rsidRPr="002F3B79" w:rsidRDefault="00A96708" w:rsidP="00A96708">
            <w:pPr>
              <w:spacing w:before="40" w:after="40"/>
              <w:rPr>
                <w:sz w:val="20"/>
                <w:szCs w:val="18"/>
                <w:lang w:val="et-EE"/>
              </w:rPr>
            </w:pPr>
            <w:r w:rsidRPr="002F3B79">
              <w:rPr>
                <w:sz w:val="20"/>
                <w:szCs w:val="18"/>
                <w:lang w:val="et-EE"/>
              </w:rPr>
              <w:t>307 227</w:t>
            </w:r>
          </w:p>
          <w:p w:rsidR="00B35D2F" w:rsidRPr="002F3B79" w:rsidRDefault="00B35D2F" w:rsidP="004F1ED0">
            <w:pPr>
              <w:spacing w:before="40" w:after="40"/>
              <w:rPr>
                <w:sz w:val="20"/>
                <w:szCs w:val="18"/>
                <w:lang w:val="et-EE"/>
              </w:rPr>
            </w:pPr>
            <w:r w:rsidRPr="002F3B79">
              <w:rPr>
                <w:sz w:val="20"/>
                <w:szCs w:val="18"/>
                <w:lang w:val="et-EE"/>
              </w:rPr>
              <w:t>683 141</w:t>
            </w:r>
          </w:p>
          <w:p w:rsidR="00B35D2F" w:rsidRPr="002F3B79" w:rsidRDefault="00B35D2F" w:rsidP="004F1ED0">
            <w:pPr>
              <w:spacing w:before="40" w:after="40"/>
              <w:rPr>
                <w:sz w:val="20"/>
                <w:szCs w:val="18"/>
                <w:lang w:val="et-EE"/>
              </w:rPr>
            </w:pPr>
            <w:r w:rsidRPr="002F3B79">
              <w:rPr>
                <w:sz w:val="20"/>
                <w:szCs w:val="18"/>
                <w:lang w:val="et-EE"/>
              </w:rPr>
              <w:t>8 740</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+789 780</w:t>
            </w:r>
          </w:p>
          <w:p w:rsidR="00B35D2F" w:rsidRPr="002F3B79" w:rsidRDefault="00B35D2F" w:rsidP="004F1ED0">
            <w:pPr>
              <w:spacing w:before="40" w:after="40"/>
              <w:rPr>
                <w:sz w:val="20"/>
                <w:szCs w:val="18"/>
                <w:lang w:val="et-EE"/>
              </w:rPr>
            </w:pPr>
            <w:r w:rsidRPr="002F3B79">
              <w:rPr>
                <w:sz w:val="20"/>
                <w:szCs w:val="18"/>
                <w:lang w:val="et-EE"/>
              </w:rPr>
              <w:t>+ 194 120</w:t>
            </w:r>
          </w:p>
          <w:p w:rsidR="00B35D2F" w:rsidRPr="002F3B79" w:rsidRDefault="00B35D2F" w:rsidP="004F1ED0">
            <w:pPr>
              <w:spacing w:before="40" w:after="40"/>
              <w:rPr>
                <w:sz w:val="20"/>
                <w:szCs w:val="18"/>
                <w:lang w:val="et-EE"/>
              </w:rPr>
            </w:pPr>
            <w:r w:rsidRPr="002F3B79">
              <w:rPr>
                <w:sz w:val="20"/>
                <w:szCs w:val="18"/>
                <w:lang w:val="et-EE"/>
              </w:rPr>
              <w:t>+ 307 227</w:t>
            </w:r>
          </w:p>
          <w:p w:rsidR="00B35D2F" w:rsidRPr="002F3B79" w:rsidRDefault="00B35D2F" w:rsidP="004F1ED0">
            <w:pPr>
              <w:spacing w:before="40" w:after="40"/>
              <w:rPr>
                <w:sz w:val="20"/>
                <w:szCs w:val="18"/>
                <w:lang w:val="et-EE"/>
              </w:rPr>
            </w:pPr>
            <w:r w:rsidRPr="002F3B79">
              <w:rPr>
                <w:sz w:val="20"/>
                <w:szCs w:val="18"/>
                <w:lang w:val="et-EE"/>
              </w:rPr>
              <w:t>+ 288 434</w:t>
            </w:r>
          </w:p>
          <w:p w:rsidR="00B35D2F" w:rsidRPr="002F3B79" w:rsidRDefault="00B35D2F" w:rsidP="004F1ED0">
            <w:pPr>
              <w:spacing w:before="40" w:after="40"/>
              <w:rPr>
                <w:sz w:val="20"/>
                <w:szCs w:val="18"/>
                <w:lang w:val="et-EE"/>
              </w:rPr>
            </w:pPr>
            <w:r w:rsidRPr="002F3B79">
              <w:rPr>
                <w:sz w:val="20"/>
                <w:szCs w:val="18"/>
                <w:lang w:val="et-EE"/>
              </w:rPr>
              <w:t>0</w:t>
            </w:r>
          </w:p>
        </w:tc>
      </w:tr>
      <w:tr w:rsidR="00B35D2F" w:rsidRPr="002F3B79" w:rsidTr="00045FCB">
        <w:tc>
          <w:tcPr>
            <w:tcW w:w="2819" w:type="dxa"/>
          </w:tcPr>
          <w:p w:rsidR="00B35D2F" w:rsidRPr="002F3B79" w:rsidRDefault="00B35D2F" w:rsidP="004F1ED0">
            <w:pPr>
              <w:spacing w:before="40" w:after="40"/>
              <w:jc w:val="left"/>
              <w:rPr>
                <w:sz w:val="20"/>
                <w:szCs w:val="18"/>
                <w:lang w:val="et-EE"/>
              </w:rPr>
            </w:pPr>
            <w:r w:rsidRPr="002F3B79">
              <w:rPr>
                <w:sz w:val="20"/>
                <w:szCs w:val="18"/>
                <w:lang w:val="et-EE"/>
              </w:rPr>
              <w:t>Erasektori investeering (mln EUR)</w:t>
            </w:r>
            <w:r w:rsidR="00F96800">
              <w:rPr>
                <w:sz w:val="20"/>
                <w:szCs w:val="18"/>
                <w:lang w:val="et-EE"/>
              </w:rPr>
              <w:t xml:space="preserve"> </w:t>
            </w:r>
            <w:r w:rsidRPr="002F3B79">
              <w:rPr>
                <w:sz w:val="20"/>
                <w:szCs w:val="18"/>
                <w:lang w:val="et-EE"/>
              </w:rPr>
              <w:t>ja osakaal (%)</w:t>
            </w:r>
          </w:p>
        </w:tc>
        <w:tc>
          <w:tcPr>
            <w:tcW w:w="2123" w:type="dxa"/>
          </w:tcPr>
          <w:p w:rsidR="00B35D2F" w:rsidRPr="002F3B79" w:rsidRDefault="00B35D2F" w:rsidP="00C42327">
            <w:pPr>
              <w:spacing w:before="40" w:after="40"/>
              <w:rPr>
                <w:sz w:val="20"/>
                <w:szCs w:val="18"/>
                <w:lang w:val="et-EE"/>
              </w:rPr>
            </w:pPr>
            <w:r w:rsidRPr="002F3B79">
              <w:rPr>
                <w:color w:val="000000"/>
                <w:sz w:val="20"/>
                <w:szCs w:val="18"/>
                <w:lang w:val="et-EE" w:eastAsia="et-EE"/>
              </w:rPr>
              <w:t>32,7 (14%)</w:t>
            </w:r>
          </w:p>
        </w:tc>
        <w:tc>
          <w:tcPr>
            <w:tcW w:w="2247" w:type="dxa"/>
          </w:tcPr>
          <w:p w:rsidR="00B35D2F" w:rsidRPr="002F3B79" w:rsidRDefault="00B35D2F" w:rsidP="00C42327">
            <w:pPr>
              <w:spacing w:before="40" w:after="40"/>
              <w:rPr>
                <w:sz w:val="20"/>
                <w:szCs w:val="18"/>
                <w:lang w:val="et-EE"/>
              </w:rPr>
            </w:pPr>
            <w:r w:rsidRPr="002F3B79">
              <w:rPr>
                <w:sz w:val="20"/>
                <w:szCs w:val="18"/>
                <w:lang w:val="et-EE"/>
              </w:rPr>
              <w:t xml:space="preserve">180,7 (80%) </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+ 148 (+66%)</w:t>
            </w:r>
          </w:p>
        </w:tc>
      </w:tr>
      <w:tr w:rsidR="00B35D2F" w:rsidRPr="002F3B79" w:rsidTr="00045FCB">
        <w:tc>
          <w:tcPr>
            <w:tcW w:w="2819" w:type="dxa"/>
          </w:tcPr>
          <w:p w:rsidR="00B35D2F" w:rsidRPr="002F3B79" w:rsidRDefault="00B35D2F" w:rsidP="004F1ED0">
            <w:pPr>
              <w:spacing w:before="40" w:after="40"/>
              <w:jc w:val="left"/>
              <w:rPr>
                <w:sz w:val="20"/>
                <w:szCs w:val="18"/>
                <w:lang w:val="et-EE"/>
              </w:rPr>
            </w:pPr>
            <w:r w:rsidRPr="002F3B79">
              <w:rPr>
                <w:sz w:val="20"/>
                <w:szCs w:val="18"/>
                <w:lang w:val="et-EE"/>
              </w:rPr>
              <w:t>Keskmiselt vajadustele vastava pinna osakaal perioodil 2015-2045 (%)</w:t>
            </w:r>
          </w:p>
        </w:tc>
        <w:tc>
          <w:tcPr>
            <w:tcW w:w="2123" w:type="dxa"/>
          </w:tcPr>
          <w:p w:rsidR="00B35D2F" w:rsidRPr="002F3B79" w:rsidRDefault="00B35D2F" w:rsidP="004F1ED0">
            <w:pPr>
              <w:spacing w:before="40" w:after="40"/>
              <w:rPr>
                <w:color w:val="000000"/>
                <w:sz w:val="20"/>
                <w:szCs w:val="18"/>
                <w:lang w:val="et-EE" w:eastAsia="et-EE"/>
              </w:rPr>
            </w:pPr>
            <w:r w:rsidRPr="002F3B79">
              <w:rPr>
                <w:color w:val="000000"/>
                <w:sz w:val="20"/>
                <w:szCs w:val="18"/>
                <w:lang w:val="et-EE" w:eastAsia="et-EE"/>
              </w:rPr>
              <w:t>67</w:t>
            </w:r>
          </w:p>
        </w:tc>
        <w:tc>
          <w:tcPr>
            <w:tcW w:w="2247" w:type="dxa"/>
          </w:tcPr>
          <w:p w:rsidR="00B35D2F" w:rsidRPr="002F3B79" w:rsidRDefault="00B35D2F" w:rsidP="004F1ED0">
            <w:pPr>
              <w:spacing w:before="40" w:after="40"/>
              <w:rPr>
                <w:sz w:val="20"/>
                <w:szCs w:val="18"/>
                <w:lang w:val="et-EE"/>
              </w:rPr>
            </w:pPr>
            <w:r w:rsidRPr="002F3B79">
              <w:rPr>
                <w:sz w:val="20"/>
                <w:szCs w:val="18"/>
                <w:lang w:val="et-EE"/>
              </w:rPr>
              <w:t xml:space="preserve">90 </w:t>
            </w:r>
          </w:p>
        </w:tc>
        <w:tc>
          <w:tcPr>
            <w:tcW w:w="1945" w:type="dxa"/>
          </w:tcPr>
          <w:p w:rsidR="00B35D2F" w:rsidRPr="002F3B79" w:rsidRDefault="00B35D2F" w:rsidP="004F1ED0">
            <w:pPr>
              <w:spacing w:before="40" w:after="40"/>
              <w:rPr>
                <w:sz w:val="20"/>
                <w:szCs w:val="18"/>
                <w:lang w:val="et-EE"/>
              </w:rPr>
            </w:pPr>
            <w:r w:rsidRPr="002F3B79">
              <w:rPr>
                <w:sz w:val="20"/>
                <w:szCs w:val="18"/>
                <w:lang w:val="et-EE"/>
              </w:rPr>
              <w:t>+ 23</w:t>
            </w:r>
          </w:p>
        </w:tc>
      </w:tr>
    </w:tbl>
    <w:p w:rsidR="00B35D2F" w:rsidRDefault="00B35D2F" w:rsidP="00B35D2F">
      <w:r w:rsidRPr="002F3B79">
        <w:t>Tabelist järeldub, et stsenaarium 6 pakub võrreldes stsenaarium 5-ga eelise</w:t>
      </w:r>
      <w:r>
        <w:t>, milleks on eelkõige perioodil 2015-2045 keskmiselt vajadustele vastava pinna osakaalu 23% enamus võrreldes stsenaarium 5-ga. Praktikas, tegevuskava elluviimisel, võib vajadustele vastava pinna osakaal olla suurem, kuna eelnevas analüüsis ei ole arvestatud pinna optimeerimisest tuleneva võiduga (vt põhieelduste punkt nr 15).</w:t>
      </w:r>
    </w:p>
    <w:p w:rsidR="004F23CF" w:rsidRDefault="004F23CF" w:rsidP="00B35D2F">
      <w:r>
        <w:t xml:space="preserve">Alljärgneval kahel graafikul on </w:t>
      </w:r>
      <w:r w:rsidR="00AC7C76">
        <w:t>esitatud mõlema stsenaariumi kulude struktuur.</w:t>
      </w:r>
      <w:r w:rsidR="00EE7B96">
        <w:t xml:space="preserve"> Eristatud on kaks kulude gruppi: Isetegemise kulud ja rendikulud. Rendikulude alla kuuluvad asutuste rendimaksed RKASile mis sisaldavad kõiki kulusid (kapitali-, remondi-, korrashoiukulud ja tarbimisekulu (küte, elekter, vesi jne). Isetegemise kulud sisaldavad samuti kõiki</w:t>
      </w:r>
      <w:r w:rsidR="00106B07">
        <w:t xml:space="preserve"> rendikuludes sisalduvaid </w:t>
      </w:r>
      <w:r w:rsidR="00EE7B96">
        <w:t>kulusid</w:t>
      </w:r>
      <w:r w:rsidR="00106B07">
        <w:t>, ainsa erinevusena on kapitalikomponendi asemel</w:t>
      </w:r>
      <w:r w:rsidR="00F96800">
        <w:t xml:space="preserve"> </w:t>
      </w:r>
      <w:r w:rsidR="00106B07">
        <w:t>investeeringud. Investeeringud on s</w:t>
      </w:r>
      <w:r w:rsidR="00BF6DC6">
        <w:t>tsenaarium</w:t>
      </w:r>
      <w:r w:rsidR="00106B07">
        <w:t xml:space="preserve"> 5 juures isetegemise kuludes</w:t>
      </w:r>
      <w:r w:rsidR="00F96800">
        <w:t xml:space="preserve"> </w:t>
      </w:r>
      <w:r w:rsidR="00106B07">
        <w:t>näha nt aastatel 2016,</w:t>
      </w:r>
      <w:r w:rsidR="005B05B6">
        <w:t xml:space="preserve"> </w:t>
      </w:r>
      <w:r w:rsidR="00106B07">
        <w:t xml:space="preserve">2020, 2029 jne </w:t>
      </w:r>
      <w:r w:rsidR="00BF6DC6">
        <w:t xml:space="preserve">mil kulud kasvavad oluliselt. </w:t>
      </w:r>
      <w:r w:rsidR="00AC7C76">
        <w:t xml:space="preserve">Stsenaarium 5 </w:t>
      </w:r>
      <w:r w:rsidR="00BF6DC6">
        <w:t>ja 6 võrdlusest nähtub, et detsentraliseeritud mudeli puhul (stsenaarium 5) on i</w:t>
      </w:r>
      <w:r w:rsidR="00AC7C76">
        <w:t>setegemise kulude osakaal</w:t>
      </w:r>
      <w:r w:rsidR="00BF6DC6">
        <w:t xml:space="preserve"> oluliselt suurem nagu ka asjaolu, et </w:t>
      </w:r>
      <w:r w:rsidR="005B05B6">
        <w:t xml:space="preserve">kulud kõiguvad suurel määral (tingituna vajadusest teha ühekordseid investeeringuid). Investeeringute finantseerimisel on eeldatud, et selleks kogutakse raha. Näiteks 2029 aasta investeering finantseeritakse eelneva kaheksa aastaga kogutud vahenditest. </w:t>
      </w:r>
      <w:r w:rsidR="00393482">
        <w:t>Senine praktika, kus reserve investeeringu teostamise eesmärgil üldjuhul ei koguta</w:t>
      </w:r>
      <w:r w:rsidR="00291CA5">
        <w:t>, ei toeta seega detsentraliseeritud korralduse elluviimist.</w:t>
      </w:r>
    </w:p>
    <w:p w:rsidR="00045FCB" w:rsidRDefault="00045FCB" w:rsidP="00045FCB">
      <w:pPr>
        <w:pStyle w:val="Caption"/>
        <w:jc w:val="both"/>
      </w:pPr>
      <w:r>
        <w:t xml:space="preserve">Joonis </w:t>
      </w:r>
      <w:fldSimple w:instr=" SEQ Joonis \* ARABIC ">
        <w:r w:rsidR="00477322">
          <w:rPr>
            <w:noProof/>
          </w:rPr>
          <w:t>35</w:t>
        </w:r>
      </w:fldSimple>
      <w:r>
        <w:t xml:space="preserve">. </w:t>
      </w:r>
      <w:r w:rsidRPr="000E3844">
        <w:t>Stsenaarium 5 kulude struktuur</w:t>
      </w:r>
    </w:p>
    <w:p w:rsidR="004F23CF" w:rsidRDefault="004F23CF" w:rsidP="00B35D2F">
      <w:r w:rsidRPr="004F23CF">
        <w:rPr>
          <w:noProof/>
          <w:lang w:eastAsia="et-EE"/>
        </w:rPr>
        <w:drawing>
          <wp:inline distT="0" distB="0" distL="0" distR="0">
            <wp:extent cx="5731510" cy="2243613"/>
            <wp:effectExtent l="0" t="0" r="254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45FCB" w:rsidRDefault="00045FCB" w:rsidP="00045FCB">
      <w:pPr>
        <w:pStyle w:val="Caption"/>
        <w:jc w:val="both"/>
      </w:pPr>
    </w:p>
    <w:p w:rsidR="00045FCB" w:rsidRDefault="00045FCB" w:rsidP="00045FCB">
      <w:pPr>
        <w:pStyle w:val="Caption"/>
        <w:jc w:val="both"/>
      </w:pPr>
    </w:p>
    <w:p w:rsidR="00045FCB" w:rsidRDefault="00045FCB" w:rsidP="00045FCB">
      <w:pPr>
        <w:pStyle w:val="Caption"/>
        <w:jc w:val="both"/>
      </w:pPr>
      <w:r>
        <w:t xml:space="preserve">Joonis </w:t>
      </w:r>
      <w:fldSimple w:instr=" SEQ Joonis \* ARABIC ">
        <w:r w:rsidR="00477322">
          <w:rPr>
            <w:noProof/>
          </w:rPr>
          <w:t>36</w:t>
        </w:r>
      </w:fldSimple>
      <w:r>
        <w:t xml:space="preserve">. </w:t>
      </w:r>
      <w:r w:rsidRPr="009735AC">
        <w:t>Stsenaarium 6 kulude struktuur</w:t>
      </w:r>
    </w:p>
    <w:p w:rsidR="00AC7C76" w:rsidRDefault="00AC7C76" w:rsidP="00B35D2F">
      <w:r w:rsidRPr="00AC7C76">
        <w:rPr>
          <w:noProof/>
          <w:lang w:eastAsia="et-EE"/>
        </w:rPr>
        <w:drawing>
          <wp:inline distT="0" distB="0" distL="0" distR="0">
            <wp:extent cx="5731510" cy="2230207"/>
            <wp:effectExtent l="0" t="0" r="0" b="0"/>
            <wp:docPr id="4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5D2F" w:rsidRDefault="00B35D2F" w:rsidP="00B35D2F">
      <w:r>
        <w:t xml:space="preserve">Ühteaegu eelise ja puudusena on käsitletav erasektori investeeringu osakaal kogu vajatavast investeeringust. Eelis on see eelkõige põhjusel, et sellega tagatakse läbi </w:t>
      </w:r>
      <w:r w:rsidR="00A96708">
        <w:t>kasutusrendi väiksem koormus valitsussektori tasakaalule</w:t>
      </w:r>
      <w:r>
        <w:t>. Puudusena avaldub see eelkõige riskis, kus pikas perspektiivis ei saa välistada ESA regulatsioonide võimalike muutusi ja seeläbi olukorda, kus kord sõlmitud kasutusrendi tehingud klassifitseeritakse ümber kapitalirendi tehinguteks millega kaasneb negatiivne mõju valitsussektori tasakaalule. Teisalt puudutaks taoline muudatus kõiki EL riike, mille kontekstis on võimalik, et riikide võrdluses valitsussektori tasakaalu näitajad ei muutu (teisisõnu puudujääk muutub baasina kõigil eeldusel, et teistes riikides klassifitseeritakse proportsionaalselt tehinguid ümber kapitalirendiks).</w:t>
      </w:r>
    </w:p>
    <w:p w:rsidR="00B35D2F" w:rsidRDefault="00B35D2F" w:rsidP="00B35D2F">
      <w:r>
        <w:t xml:space="preserve">Lähtudes eesmärgist koostada rahastamiskava ja tegevuskava stsenaariumile, mille tulemusena on vajadustele vastavate pindade hulk suurim, arvestades sealhulgas lühi- ja pikaajalisest eelarvest tulenevaid piiranguid; soovi säilitada </w:t>
      </w:r>
      <w:r w:rsidR="00C24324">
        <w:t>konservatiivset riigirahandust</w:t>
      </w:r>
      <w:r w:rsidR="00F96800">
        <w:t xml:space="preserve">  </w:t>
      </w:r>
      <w:r>
        <w:t xml:space="preserve">(minimaalne mõju valitsussektori tasakaalule ja võlakoormusele); Vabariigi Valitsuse prioriteetseid tegevusvaldkondi (RES-s) ja finantsiliselt mõistlikel tingimustel erasektori poolt pakutavaid võimalusi, </w:t>
      </w:r>
      <w:r w:rsidR="00291CA5">
        <w:t>investeeringuteks reservide mittekogumise tegevuspraktikat,</w:t>
      </w:r>
      <w:r w:rsidR="00F96800">
        <w:t xml:space="preserve">  </w:t>
      </w:r>
      <w:r>
        <w:t>tuleb lugeda kõige eelistatumaks stsenaariumiks stsenaarium 6.</w:t>
      </w:r>
    </w:p>
    <w:p w:rsidR="00CB7078" w:rsidRDefault="00FF4F49" w:rsidP="00CB7078">
      <w:pPr>
        <w:pStyle w:val="Pealkiri3"/>
        <w:numPr>
          <w:ilvl w:val="0"/>
          <w:numId w:val="0"/>
        </w:numPr>
        <w:ind w:left="1080"/>
      </w:pPr>
      <w:bookmarkStart w:id="445" w:name="_Toc433980764"/>
      <w:r>
        <w:t xml:space="preserve">3.4.2. </w:t>
      </w:r>
      <w:r w:rsidR="00B35D2F">
        <w:t xml:space="preserve">Täiendav </w:t>
      </w:r>
      <w:r w:rsidR="00C24324">
        <w:t>kasu</w:t>
      </w:r>
      <w:bookmarkEnd w:id="445"/>
    </w:p>
    <w:p w:rsidR="00B35D2F" w:rsidRDefault="00B35D2F" w:rsidP="00B35D2F">
      <w:r>
        <w:t>Stsenaarium 6 rakendamisega kaasnev täiendav kasu (lisaks vastava pinna 90% osakaalule ja investeeringute teostamisele 80% ulatuses erasektorist poolt) avaldub mitmel erineval viisil, mis pole matemaatiliselt modelleeritavad ega stsenaariumitesse sisse kirjutatavad. Neist olulisemad kvalitatiivsed aspektid koos lühikirjeldusega on toodud alljärgnevalt:</w:t>
      </w:r>
    </w:p>
    <w:p w:rsidR="00B35D2F" w:rsidRDefault="00B35D2F" w:rsidP="00B35D2F">
      <w:r>
        <w:rPr>
          <w:b/>
        </w:rPr>
        <w:t>Riigi o</w:t>
      </w:r>
      <w:r w:rsidRPr="00CB3255">
        <w:rPr>
          <w:b/>
        </w:rPr>
        <w:t>rienteeritus põhitegevusele</w:t>
      </w:r>
      <w:r>
        <w:t xml:space="preserve"> – riigi põhitegevuseks pole tugitegevuse osaks oleva kinnisvaraga tegelemine. Funktsiooni delegeerimine RKAS-</w:t>
      </w:r>
      <w:r w:rsidR="00501C45">
        <w:t>i</w:t>
      </w:r>
      <w:r>
        <w:t xml:space="preserve">le vabastab asutuse ressursse põhitegevuseks (NB! targa tellija roll peab asutuses säilima). </w:t>
      </w:r>
      <w:r w:rsidR="008044C2" w:rsidRPr="00B70B75">
        <w:rPr>
          <w:sz w:val="23"/>
          <w:szCs w:val="23"/>
        </w:rPr>
        <w:t>Stsenaarium 6 puhul antaks</w:t>
      </w:r>
      <w:r w:rsidR="008044C2">
        <w:rPr>
          <w:sz w:val="23"/>
          <w:szCs w:val="23"/>
        </w:rPr>
        <w:t>e</w:t>
      </w:r>
      <w:r w:rsidR="008044C2" w:rsidRPr="00B70B75">
        <w:rPr>
          <w:sz w:val="23"/>
          <w:szCs w:val="23"/>
        </w:rPr>
        <w:t xml:space="preserve"> üle ca 790 000 m</w:t>
      </w:r>
      <w:r w:rsidR="008044C2">
        <w:rPr>
          <w:rFonts w:ascii="Calibri" w:hAnsi="Calibri"/>
          <w:sz w:val="23"/>
          <w:szCs w:val="23"/>
        </w:rPr>
        <w:t>²</w:t>
      </w:r>
      <w:r w:rsidR="008044C2" w:rsidRPr="00B70B75">
        <w:rPr>
          <w:sz w:val="23"/>
          <w:szCs w:val="23"/>
        </w:rPr>
        <w:t xml:space="preserve"> vajalikku pinda, </w:t>
      </w:r>
      <w:r w:rsidR="008044C2">
        <w:rPr>
          <w:sz w:val="23"/>
          <w:szCs w:val="23"/>
        </w:rPr>
        <w:t>mille haldamise ja korrashoiu tegevustest asutus vabaneb.</w:t>
      </w:r>
    </w:p>
    <w:p w:rsidR="00B35D2F" w:rsidRPr="00461332" w:rsidRDefault="00B35D2F" w:rsidP="00B35D2F">
      <w:r w:rsidRPr="00461332">
        <w:rPr>
          <w:b/>
        </w:rPr>
        <w:t>RKASi kui kompetentsikeskus riigile</w:t>
      </w:r>
      <w:r>
        <w:rPr>
          <w:b/>
        </w:rPr>
        <w:t xml:space="preserve"> – </w:t>
      </w:r>
      <w:r>
        <w:t>Riigile on üks partner, kelle rolliks on leida parimaid lahendusi pinnavajaduste rahuldamisel ja täita sõlmitud lepingute tingimusi. Ühe partneri olemasolu võimaldab saavutada sünergiat ehk võitu lisandväärtuses sh efektiivsuses muuhulgas läbi integreeritud juhtimissüsteemi ja selle osaks olevate protsesside. Täiendavad võimalused avalduvad paindlikkuses, mida pakub RKASi hoonete ja lepingute portfell (võimaldab riigiasutustel pindade lihtsat vahetamist) ja õppimiskõvera (oskused tõusevad kumuleeruvalt aja möödudes) efekti toimimises (nt ühe kooli ehitamisest/haldamisest saadud kogemust on võimalik rakendada kiirelt kogu koolide portfelli ulatuses).</w:t>
      </w:r>
    </w:p>
    <w:p w:rsidR="00B35D2F" w:rsidRDefault="00B35D2F" w:rsidP="00B35D2F">
      <w:r w:rsidRPr="00461332">
        <w:rPr>
          <w:b/>
        </w:rPr>
        <w:t xml:space="preserve">Erasektori kaasamisest tulenev </w:t>
      </w:r>
      <w:r w:rsidR="00C24324" w:rsidRPr="00461332">
        <w:rPr>
          <w:b/>
        </w:rPr>
        <w:t>efektiivsusvõit</w:t>
      </w:r>
      <w:r>
        <w:t xml:space="preserve"> – erasektor pakub suuremat kinnisvara korraldamise juhtimiskogemust ja pädevust, millest tuleneb omakorda suurem efektiivsus varade korraldamisel. See väljendub otseselt konkurentsisituatsioonis kujunenud rendihinnas.</w:t>
      </w:r>
    </w:p>
    <w:p w:rsidR="00C24324" w:rsidRPr="001A74F0" w:rsidRDefault="00B35D2F" w:rsidP="00C24324">
      <w:r w:rsidRPr="001A74F0">
        <w:rPr>
          <w:b/>
        </w:rPr>
        <w:t>PPP tehingutest tulenevad võimalused</w:t>
      </w:r>
      <w:r>
        <w:rPr>
          <w:b/>
        </w:rPr>
        <w:t xml:space="preserve"> – </w:t>
      </w:r>
      <w:r>
        <w:t xml:space="preserve">Lisaks kapitali kaasamisele võimaldab PPP vähendada RKASi ja riigi halduskoormust (kui tehingusse haarata võimalikult palju täiendavaid teenuseid nt haldus, hooldusteenused ja erinevad tugiteenused). Lisaks on PPP positiivsete aspektidena välja toodud projektide (investeeringute) kiiremat elluviimist ja seeläbi kiiremat avalike teenuste levikut; keskendumist hoone elukaare kuludele, mitte ehitusmaksumusele; sobilikumat riskide jaotust era ja avaliku sektori vahel ning </w:t>
      </w:r>
      <w:r w:rsidR="00C24324">
        <w:t>teenuste kvaliteedi tõusu.</w:t>
      </w:r>
    </w:p>
    <w:p w:rsidR="00B35D2F" w:rsidRPr="001A74F0" w:rsidRDefault="00C24324" w:rsidP="00B35D2F">
      <w:pPr>
        <w:rPr>
          <w:b/>
        </w:rPr>
      </w:pPr>
      <w:r w:rsidRPr="001A74F0">
        <w:rPr>
          <w:b/>
        </w:rPr>
        <w:t>Mõju majanduse elavdamisele</w:t>
      </w:r>
      <w:r w:rsidRPr="00A23C91">
        <w:t xml:space="preserve"> </w:t>
      </w:r>
      <w:r w:rsidR="00B35D2F">
        <w:t>– erasektori laiem kaasatus elavdab majandust läbi kinnisvaraturu, investeerimisturu elavdamise (uued tooted). Lisaks suurendatakse raha ringlust majanduses ja rakendatakse raha multiplikaatori efekti.</w:t>
      </w:r>
    </w:p>
    <w:p w:rsidR="00CB7078" w:rsidRDefault="00C24324" w:rsidP="002F4A30">
      <w:pPr>
        <w:pStyle w:val="Pealkiri3"/>
        <w:numPr>
          <w:ilvl w:val="2"/>
          <w:numId w:val="36"/>
        </w:numPr>
      </w:pPr>
      <w:bookmarkStart w:id="446" w:name="_Toc433980765"/>
      <w:r>
        <w:t>Võimalik kahju ja riskid</w:t>
      </w:r>
      <w:bookmarkEnd w:id="446"/>
    </w:p>
    <w:p w:rsidR="004F23CF" w:rsidRPr="004F23CF" w:rsidRDefault="004F23CF" w:rsidP="004F23CF"/>
    <w:p w:rsidR="00A24E00" w:rsidRPr="002D3CEB" w:rsidRDefault="00A24E00" w:rsidP="002D3CEB">
      <w:pPr>
        <w:spacing w:before="0"/>
        <w:jc w:val="left"/>
      </w:pPr>
      <w:r w:rsidRPr="002D3CEB">
        <w:t xml:space="preserve">Senine praktika avaliku ja erasektori koostööprojektidest on saanud palju kriitikat, mh </w:t>
      </w:r>
      <w:r w:rsidRPr="002D3CEB">
        <w:rPr>
          <w:bCs/>
        </w:rPr>
        <w:t xml:space="preserve">Riigikontrollilt, kes on viidanud, et avaliku sektori ebapiisavale kompetentsile, puudulikule analüüsile ja vähesele läbipaistvusele. Senise praktika jätkamisel on suur risk, et tehtavate </w:t>
      </w:r>
      <w:r w:rsidRPr="002D3CEB">
        <w:t xml:space="preserve">PPP tehingute finantstingimused osutuvad ebamõistlikult kalliks võrrelduna alternatiividega (laen, kapitalirent, omafinantseering) või osutub PPP tehing muudes tingimustes ebamõistlikuks. </w:t>
      </w:r>
    </w:p>
    <w:p w:rsidR="00A24E00" w:rsidRPr="002D3CEB" w:rsidRDefault="00A24E00" w:rsidP="002D3CEB">
      <w:pPr>
        <w:spacing w:before="0"/>
        <w:jc w:val="left"/>
      </w:pPr>
    </w:p>
    <w:p w:rsidR="002D3CEB" w:rsidRPr="002D3CEB" w:rsidRDefault="00A24E00" w:rsidP="002D3CEB">
      <w:pPr>
        <w:spacing w:before="0"/>
        <w:jc w:val="left"/>
      </w:pPr>
      <w:r w:rsidRPr="002D3CEB">
        <w:t>Eeltoodust ei tohi teha järeldust, et PPP tehingud on</w:t>
      </w:r>
      <w:r w:rsidR="002D3CEB" w:rsidRPr="002D3CEB">
        <w:t>gi</w:t>
      </w:r>
      <w:r w:rsidRPr="002D3CEB">
        <w:t xml:space="preserve"> ebamõistlikud</w:t>
      </w:r>
      <w:r w:rsidR="002D3CEB" w:rsidRPr="002D3CEB">
        <w:t xml:space="preserve"> ja riigile kahjulikud</w:t>
      </w:r>
      <w:r w:rsidRPr="002D3CEB">
        <w:t>.</w:t>
      </w:r>
    </w:p>
    <w:p w:rsidR="00C24324" w:rsidRDefault="00C24324" w:rsidP="00C24324">
      <w:r>
        <w:t>PWC analüüsis erasektoriga tehingute majanduslikku mõju riigile võrreldes kolme võimaliku stsenaariumi rahavoogude nüüdispuhasväärtust (NPV, soodsaim on madalaima negatiivse NPV-ga stsenaarium) ning sai tulemuseks, et:</w:t>
      </w:r>
    </w:p>
    <w:p w:rsidR="00C24324" w:rsidRDefault="00C24324" w:rsidP="002F4A30">
      <w:pPr>
        <w:pStyle w:val="ListParagraph"/>
        <w:numPr>
          <w:ilvl w:val="0"/>
          <w:numId w:val="24"/>
        </w:numPr>
      </w:pPr>
      <w:r>
        <w:t>Ainult riigi omavahenditest portfelli kordategemisel oleks NPV 1773,2 mln €.</w:t>
      </w:r>
    </w:p>
    <w:p w:rsidR="00C24324" w:rsidRDefault="00C24324" w:rsidP="002F4A30">
      <w:pPr>
        <w:pStyle w:val="ListParagraph"/>
        <w:numPr>
          <w:ilvl w:val="0"/>
          <w:numId w:val="24"/>
        </w:numPr>
      </w:pPr>
      <w:r>
        <w:t>Rakendades erasektoriga koostööd vaid Tallinna ja Tartu büroodel</w:t>
      </w:r>
      <w:r w:rsidR="00F96800">
        <w:t xml:space="preserve"> </w:t>
      </w:r>
      <w:r>
        <w:t>kasutusrendi tehingutena oleks NPV 1827,3 mln €.</w:t>
      </w:r>
    </w:p>
    <w:p w:rsidR="00C24324" w:rsidRDefault="00C24324" w:rsidP="002F4A30">
      <w:pPr>
        <w:pStyle w:val="ListParagraph"/>
        <w:numPr>
          <w:ilvl w:val="0"/>
          <w:numId w:val="24"/>
        </w:numPr>
      </w:pPr>
      <w:r>
        <w:t xml:space="preserve">Kaasates lisaks ka PPP tehingud varadel, kus on mõistlik ja võimalik oleks NPV 1853,9 mln €. </w:t>
      </w:r>
    </w:p>
    <w:p w:rsidR="00C24324" w:rsidRPr="00FE16C5" w:rsidRDefault="00C24324" w:rsidP="00C24324">
      <w:r>
        <w:t xml:space="preserve">Rahandusministeeriumi hinnangul on erinevused stsenaariumite NPV-des ehk erasektori kaasamisest tulenev lisakulu (alla 5%) väiksem kui sellest tulenev võimalik kasu. </w:t>
      </w:r>
    </w:p>
    <w:p w:rsidR="00C24324" w:rsidRDefault="00C24324" w:rsidP="00C24324">
      <w:pPr>
        <w:spacing w:before="0"/>
      </w:pPr>
    </w:p>
    <w:p w:rsidR="00C24324" w:rsidRDefault="00C24324" w:rsidP="00C24324">
      <w:pPr>
        <w:spacing w:before="0"/>
      </w:pPr>
      <w:r w:rsidRPr="00FE16C5">
        <w:t xml:space="preserve">Erasektoriga ulatuslikus mahus tehingute korraldamine hõlmab endas </w:t>
      </w:r>
      <w:r w:rsidR="002D3CEB">
        <w:t xml:space="preserve">tõepoolest </w:t>
      </w:r>
      <w:r w:rsidRPr="00FE16C5">
        <w:t>riske</w:t>
      </w:r>
      <w:r>
        <w:t>, millest mitmed on ka varasemates avaliku sektori tehtud tehingutes realiseerunud</w:t>
      </w:r>
      <w:r w:rsidR="002D3CEB">
        <w:t xml:space="preserve">. </w:t>
      </w:r>
      <w:r>
        <w:t xml:space="preserve">Neid </w:t>
      </w:r>
      <w:r w:rsidRPr="008F381A">
        <w:rPr>
          <w:b/>
        </w:rPr>
        <w:t>riske saab maandada</w:t>
      </w:r>
      <w:r>
        <w:t xml:space="preserve"> </w:t>
      </w:r>
      <w:r w:rsidRPr="00C12FD1">
        <w:rPr>
          <w:u w:val="single"/>
        </w:rPr>
        <w:t>täpsemate analüüside koostamisega</w:t>
      </w:r>
      <w:r>
        <w:t xml:space="preserve"> </w:t>
      </w:r>
      <w:r w:rsidRPr="00FE16C5">
        <w:t xml:space="preserve">tehingute detailsemaks struktureerimiseks. Põhjalikult ettevalmistamata tehingud võivad omada negatiivset efekti </w:t>
      </w:r>
      <w:r w:rsidRPr="008F381A">
        <w:t xml:space="preserve">läbi </w:t>
      </w:r>
      <w:r w:rsidRPr="008F381A">
        <w:rPr>
          <w:bCs/>
        </w:rPr>
        <w:t xml:space="preserve">ebamõistlikult kõrge rahakulu </w:t>
      </w:r>
      <w:r w:rsidRPr="008F381A">
        <w:t xml:space="preserve">või ka läbi </w:t>
      </w:r>
      <w:r w:rsidRPr="008F381A">
        <w:rPr>
          <w:bCs/>
        </w:rPr>
        <w:t xml:space="preserve">avalike teenuste piiratuse </w:t>
      </w:r>
      <w:r w:rsidRPr="008F381A">
        <w:t xml:space="preserve">tulevikus. Samuti võivad kaasneda kaudsed negatiivsed efektid majandusele </w:t>
      </w:r>
      <w:r w:rsidRPr="008F381A">
        <w:rPr>
          <w:bCs/>
        </w:rPr>
        <w:t xml:space="preserve">vabaturu </w:t>
      </w:r>
      <w:r w:rsidRPr="008F381A">
        <w:t xml:space="preserve">tahtmatu </w:t>
      </w:r>
      <w:r w:rsidRPr="008F381A">
        <w:rPr>
          <w:bCs/>
        </w:rPr>
        <w:t>moonutamisega</w:t>
      </w:r>
      <w:r w:rsidRPr="008F381A">
        <w:t xml:space="preserve">. </w:t>
      </w:r>
      <w:r w:rsidRPr="00FE16C5">
        <w:t xml:space="preserve">Selleks, et võimalikke negatiivseid efekte minimeerida tuleks riigil </w:t>
      </w:r>
      <w:r w:rsidRPr="00C12FD1">
        <w:rPr>
          <w:u w:val="single"/>
        </w:rPr>
        <w:t>alustada eelkõige lihtsamatest tehingutest</w:t>
      </w:r>
      <w:r w:rsidRPr="00FE16C5">
        <w:t>. Praktika väljakujunemisel tuleks seda kohandada keerulisematesse valdkondadesse ning võimalusel üle kanda väiksematesse tehingutesse (positiivsete mõjude maksimeerimiseks), mida üksikult tehingu halduskoormuse tõttu ei ole mõistlik teostada.</w:t>
      </w:r>
    </w:p>
    <w:p w:rsidR="00C24324" w:rsidRPr="00FE16C5" w:rsidRDefault="00C24324" w:rsidP="00C24324">
      <w:pPr>
        <w:spacing w:before="0"/>
      </w:pPr>
    </w:p>
    <w:p w:rsidR="00C24324" w:rsidRPr="00FE16C5" w:rsidRDefault="00C24324" w:rsidP="00C24324">
      <w:pPr>
        <w:spacing w:before="0"/>
      </w:pPr>
      <w:r w:rsidRPr="00FE16C5">
        <w:t>Siinjuures on mõistlik koondada riigis tekkiv vastav teadmine ja kogemus ühte kohta, milleks ka erasektori hinnangul sobib RKAS.</w:t>
      </w:r>
      <w:r w:rsidRPr="00FE16C5">
        <w:rPr>
          <w:i/>
          <w:iCs/>
        </w:rPr>
        <w:t xml:space="preserve"> </w:t>
      </w:r>
    </w:p>
    <w:p w:rsidR="00C24324" w:rsidRDefault="00C24324" w:rsidP="00C24324">
      <w:r>
        <w:t>Tänane PPP õiguslik ja praktiline baas ei toeta soodsa maksumuse k</w:t>
      </w:r>
      <w:r w:rsidRPr="00C12FD1">
        <w:t>ujunemist. Odavamate ja riskivabamate PPP tehingute saavutamine on võimalik luues keskkonna (muudatused õigusaktides, standardne leping, pikaajaline programm), mis vastab enam riigi ja erasektori vajadustele.</w:t>
      </w:r>
      <w:r>
        <w:t xml:space="preserve"> </w:t>
      </w:r>
      <w:r w:rsidRPr="00C12FD1">
        <w:rPr>
          <w:u w:val="single"/>
        </w:rPr>
        <w:t>Enne PPP r</w:t>
      </w:r>
      <w:r>
        <w:rPr>
          <w:u w:val="single"/>
        </w:rPr>
        <w:t xml:space="preserve">akendamiseks </w:t>
      </w:r>
      <w:r w:rsidRPr="00C12FD1">
        <w:rPr>
          <w:u w:val="single"/>
        </w:rPr>
        <w:t>vajaliku keskkonna valmimist PPP tehinguid ei tehta.</w:t>
      </w:r>
      <w:r w:rsidR="00F96800">
        <w:t xml:space="preserve"> </w:t>
      </w:r>
      <w:r>
        <w:t>Keskkonna kujundamine võtab vähemalt kaks aastat. Ka peale selle valmimist võib PPP tehingusse minna ainult siis, kui see vastab valitseja vajadustele ning on finantsiliselt mõistlikel tingimustel.</w:t>
      </w:r>
    </w:p>
    <w:p w:rsidR="00CB7078" w:rsidRDefault="00B35D2F" w:rsidP="002F4A30">
      <w:pPr>
        <w:pStyle w:val="Pealkiri3"/>
        <w:numPr>
          <w:ilvl w:val="2"/>
          <w:numId w:val="36"/>
        </w:numPr>
      </w:pPr>
      <w:bookmarkStart w:id="447" w:name="_Toc433980766"/>
      <w:r>
        <w:t xml:space="preserve">Levinumad </w:t>
      </w:r>
      <w:r w:rsidRPr="00161C57">
        <w:t>probleemküsimused</w:t>
      </w:r>
      <w:r>
        <w:t xml:space="preserve"> ja vastused</w:t>
      </w:r>
      <w:bookmarkEnd w:id="447"/>
    </w:p>
    <w:p w:rsidR="00B35D2F" w:rsidRDefault="00B35D2F" w:rsidP="00B35D2F">
      <w:r>
        <w:t>Kuivõrd tegevuskava projektversiooni aruteludel valitsejatega, kaasatud osapooltega sh RKAS, rahandusministeeriumi erinevad osakonnad, on tõusetunud probleemküsimused millede kordumine jätkuvates diskussioonides on tõenäoline, on alljärgnevalt toodud lühivastused levinumatele küsimustele.</w:t>
      </w:r>
    </w:p>
    <w:p w:rsidR="00B35D2F" w:rsidRDefault="00C24324" w:rsidP="00944F40">
      <w:pPr>
        <w:rPr>
          <w:b/>
        </w:rPr>
      </w:pPr>
      <w:r>
        <w:rPr>
          <w:b/>
        </w:rPr>
        <w:t>1</w:t>
      </w:r>
      <w:r w:rsidR="00B35D2F" w:rsidRPr="00806C6A">
        <w:rPr>
          <w:b/>
        </w:rPr>
        <w:t xml:space="preserve">. Miks ei kasuta investeerimisel odavat riigilaenu? </w:t>
      </w:r>
    </w:p>
    <w:p w:rsidR="00C12FD1" w:rsidRDefault="00C12FD1" w:rsidP="00C12FD1">
      <w:r>
        <w:t>Riigirahanduse põhieesmärk on hoida valitsussektori tasakaalu ja vältida val</w:t>
      </w:r>
      <w:r w:rsidR="001C34FE">
        <w:t>itsussektori võlakoormuse kasvu</w:t>
      </w:r>
      <w:r>
        <w:t>. Riigilaenuga tehtud investeeringud mõjutavad mõlemat, see tähendab, et laenu võtmine ei lahenda ka nn tasakaalu probleemi ja ikkagi piirab investeeringute mahtu.</w:t>
      </w:r>
      <w:r w:rsidR="00F96800">
        <w:t xml:space="preserve"> </w:t>
      </w:r>
    </w:p>
    <w:p w:rsidR="00B35D2F" w:rsidRDefault="004F23CF" w:rsidP="00944F40">
      <w:pPr>
        <w:rPr>
          <w:b/>
        </w:rPr>
      </w:pPr>
      <w:r>
        <w:rPr>
          <w:b/>
        </w:rPr>
        <w:t>2</w:t>
      </w:r>
      <w:r w:rsidR="00B67ED9" w:rsidRPr="00B67ED9">
        <w:rPr>
          <w:b/>
        </w:rPr>
        <w:t>.</w:t>
      </w:r>
      <w:r w:rsidR="00B35D2F">
        <w:t xml:space="preserve"> </w:t>
      </w:r>
      <w:r w:rsidR="00B35D2F" w:rsidRPr="00B862E1">
        <w:rPr>
          <w:b/>
        </w:rPr>
        <w:t xml:space="preserve">Miks eeldatakse, et </w:t>
      </w:r>
      <w:r w:rsidR="00B35D2F">
        <w:rPr>
          <w:b/>
        </w:rPr>
        <w:t xml:space="preserve">kui hoone jääb riigi omandisse, siis </w:t>
      </w:r>
      <w:r w:rsidR="00B35D2F" w:rsidRPr="00B862E1">
        <w:rPr>
          <w:b/>
        </w:rPr>
        <w:t xml:space="preserve">valitseja ei tee hoonetele remonti </w:t>
      </w:r>
      <w:r w:rsidR="00B35D2F">
        <w:rPr>
          <w:b/>
        </w:rPr>
        <w:t xml:space="preserve">ja kasutab neid </w:t>
      </w:r>
      <w:r w:rsidR="00B35D2F" w:rsidRPr="00B862E1">
        <w:rPr>
          <w:b/>
        </w:rPr>
        <w:t>kapitaalremondist-kapitaalremonti?</w:t>
      </w:r>
    </w:p>
    <w:p w:rsidR="00B35D2F" w:rsidRDefault="00B35D2F" w:rsidP="00944F40">
      <w:r>
        <w:t xml:space="preserve">Praktikas on see väga tõenäoline. Üks põhjuseid, miks RKAS loodi, oli muuta olukorda, kus peale hoone valmimist unustati igapäevane korrashoid ja lisavahendid suunati palkadeks või investeeringuteks, mis ei olnud seotud hoone seisundi säilitamisega. Kahjuks ka täna on tavaline, et valitsejad püüavad RKASi remondivahendeid suunata uute hoonete investeeringuteks vms. </w:t>
      </w:r>
    </w:p>
    <w:p w:rsidR="00B35D2F" w:rsidRPr="00B3353C" w:rsidRDefault="004F23CF" w:rsidP="00944F40">
      <w:pPr>
        <w:rPr>
          <w:b/>
        </w:rPr>
      </w:pPr>
      <w:r>
        <w:rPr>
          <w:b/>
        </w:rPr>
        <w:t>3</w:t>
      </w:r>
      <w:r w:rsidR="00B35D2F" w:rsidRPr="00B3353C">
        <w:rPr>
          <w:b/>
        </w:rPr>
        <w:t xml:space="preserve">. Miks valitseja peab PPP </w:t>
      </w:r>
      <w:r w:rsidR="00B35D2F">
        <w:rPr>
          <w:b/>
        </w:rPr>
        <w:t xml:space="preserve">jt </w:t>
      </w:r>
      <w:r w:rsidR="00B35D2F" w:rsidRPr="00B3353C">
        <w:rPr>
          <w:b/>
        </w:rPr>
        <w:t>tehinguid tegema RKAS-i kaudu, miks mitte ise teha?</w:t>
      </w:r>
    </w:p>
    <w:p w:rsidR="002D3CEB" w:rsidRDefault="00B35D2F" w:rsidP="00944F40">
      <w:r>
        <w:t xml:space="preserve">PPP tehingud on ja jäävad keerulisteks ning pidevat praktikat nõudvateks tehinguteks. Ei ole otstarbekas pidada üleval mitut PPP kompetentsikeskust. </w:t>
      </w:r>
      <w:r w:rsidR="002D3CEB">
        <w:t xml:space="preserve">RKAS-i kaasamise ulatust ja selle alternatiive tuleb kindlasti veel detailsemalt analüüsida. </w:t>
      </w:r>
    </w:p>
    <w:p w:rsidR="00B35D2F" w:rsidRDefault="002D3CEB" w:rsidP="00944F40">
      <w:r>
        <w:t xml:space="preserve">Teiseks oluliseks aspektiks on erinevate varade koondamine sobivateks ja riigile maksimaalset lisaväärtust loovateks portfellideks. </w:t>
      </w:r>
    </w:p>
    <w:p w:rsidR="00B35D2F" w:rsidRDefault="004F23CF" w:rsidP="00944F40">
      <w:pPr>
        <w:rPr>
          <w:b/>
        </w:rPr>
      </w:pPr>
      <w:r>
        <w:rPr>
          <w:b/>
        </w:rPr>
        <w:t>4</w:t>
      </w:r>
      <w:r w:rsidR="00B67ED9" w:rsidRPr="00B67ED9">
        <w:rPr>
          <w:b/>
        </w:rPr>
        <w:t>.</w:t>
      </w:r>
      <w:r w:rsidR="00B35D2F">
        <w:t xml:space="preserve"> </w:t>
      </w:r>
      <w:r w:rsidR="00B35D2F" w:rsidRPr="00B3353C">
        <w:rPr>
          <w:b/>
        </w:rPr>
        <w:t>Mis on risk, et valitsussektori tasakaalu mittemõjutavad tehingud kunagi hiljem ikkagi tasakaaluarvestuses üles võetakse?</w:t>
      </w:r>
    </w:p>
    <w:p w:rsidR="00B6319C" w:rsidRDefault="00B35D2F" w:rsidP="004B010C">
      <w:r w:rsidRPr="00B3353C">
        <w:t>Riski</w:t>
      </w:r>
      <w:r>
        <w:t xml:space="preserve"> vältimiseks tuleb teha lepingud kooskõlas ESA 2010 juhenditega. Olulisematele lepingutele saab küsida Statistikaameti mittesiduvat eelhinnangut. Statistikaamet annab lõpphinnangu pärast lepingu sõlmimist. Vaatamata sellele on olemas väike tõenäosus, et ESA hindab hiljem lepingud ümber või muutub vastav ESA regulatsioon.</w:t>
      </w:r>
      <w:r w:rsidR="00F96800">
        <w:t xml:space="preserve"> </w:t>
      </w:r>
    </w:p>
    <w:p w:rsidR="00CB7078" w:rsidRDefault="004B010C" w:rsidP="002F4A30">
      <w:pPr>
        <w:pStyle w:val="Pealkiri3"/>
        <w:numPr>
          <w:ilvl w:val="2"/>
          <w:numId w:val="36"/>
        </w:numPr>
      </w:pPr>
      <w:bookmarkStart w:id="448" w:name="_Toc433980767"/>
      <w:r>
        <w:t>RKAS-i struktureerimise võimalused</w:t>
      </w:r>
      <w:bookmarkEnd w:id="448"/>
      <w:r w:rsidR="003068E2">
        <w:t xml:space="preserve"> </w:t>
      </w:r>
    </w:p>
    <w:p w:rsidR="004B010C" w:rsidRDefault="004B010C" w:rsidP="004B010C">
      <w:r>
        <w:t>Valitsussektori väliste investeerimisvõimaluste leidmiseks analüüsiti RKAS-i võimaliku ümberkuj</w:t>
      </w:r>
      <w:r w:rsidR="003068E2">
        <w:t>undamisega kaasnevaid võimalusi.</w:t>
      </w:r>
    </w:p>
    <w:p w:rsidR="004B010C" w:rsidRDefault="004B010C" w:rsidP="004B010C">
      <w:r w:rsidRPr="00B753FC">
        <w:t>RKAS-i võimali</w:t>
      </w:r>
      <w:r>
        <w:t>ku ümberkujundamisega kaasnevate võimaluste</w:t>
      </w:r>
      <w:r w:rsidRPr="00B753FC">
        <w:t xml:space="preserve"> analüüsi </w:t>
      </w:r>
      <w:r>
        <w:t xml:space="preserve">viis läbi PWC, kes võttis </w:t>
      </w:r>
      <w:r w:rsidRPr="00B753FC">
        <w:t>aluseks advokaadibüroo Raidla Lejins &amp; Norcus (RLN) vastavas analüüsis esitatud struktuurid, mis vähemalt teoreetiliselt tooksid kaasa ümberkujundatud üksuste kajastamise tasakaaluarvestuse väliselt.</w:t>
      </w:r>
    </w:p>
    <w:p w:rsidR="004B010C" w:rsidRDefault="004B010C" w:rsidP="004B010C">
      <w:r>
        <w:t xml:space="preserve">PWC ja Statistikaameti koostöös leitud </w:t>
      </w:r>
      <w:r w:rsidRPr="00B753FC">
        <w:t>arusaama kohaselt on lihtsustatult sellisteks peamisteks tingimusteks:</w:t>
      </w:r>
    </w:p>
    <w:p w:rsidR="004B010C" w:rsidRDefault="004B010C" w:rsidP="004B010C">
      <w:r w:rsidRPr="00B753FC">
        <w:t>(a)</w:t>
      </w:r>
      <w:r>
        <w:t xml:space="preserve"> </w:t>
      </w:r>
      <w:r w:rsidRPr="00B753FC">
        <w:t>Riigi kontrolli loovutamine sellises uues äriühingus; või</w:t>
      </w:r>
    </w:p>
    <w:p w:rsidR="004B010C" w:rsidRDefault="004B010C" w:rsidP="004B010C">
      <w:r w:rsidRPr="00B753FC">
        <w:t>(b)</w:t>
      </w:r>
      <w:r>
        <w:t xml:space="preserve"> </w:t>
      </w:r>
      <w:r w:rsidRPr="00B753FC">
        <w:t>Turupõhisus ehk peamiselt eraturule osutatavad</w:t>
      </w:r>
      <w:r>
        <w:t xml:space="preserve"> teenused riigi äriühingu poolt; või</w:t>
      </w:r>
    </w:p>
    <w:p w:rsidR="004B010C" w:rsidRDefault="004B010C" w:rsidP="004B010C">
      <w:r>
        <w:t>(c) Kombinatsioon kahest eeltoodust.</w:t>
      </w:r>
    </w:p>
    <w:p w:rsidR="004B010C" w:rsidRDefault="004B010C" w:rsidP="004B010C">
      <w:r w:rsidRPr="00B753FC">
        <w:t xml:space="preserve">Sellest tulenevalt </w:t>
      </w:r>
      <w:r>
        <w:t>on PWC pööranud</w:t>
      </w:r>
      <w:r w:rsidRPr="00B753FC">
        <w:t xml:space="preserve"> </w:t>
      </w:r>
      <w:r>
        <w:t xml:space="preserve">peamise tähelepanu järgmistele </w:t>
      </w:r>
      <w:r w:rsidRPr="00B753FC">
        <w:t>RLN poolt analüüsitud alternatiividele:</w:t>
      </w:r>
    </w:p>
    <w:p w:rsidR="00A427F2" w:rsidRDefault="00A427F2" w:rsidP="00A427F2">
      <w:r w:rsidRPr="00B753FC">
        <w:t>(</w:t>
      </w:r>
      <w:r>
        <w:t>I</w:t>
      </w:r>
      <w:r w:rsidRPr="00B753FC">
        <w:t>)</w:t>
      </w:r>
      <w:r>
        <w:t xml:space="preserve"> </w:t>
      </w:r>
      <w:r w:rsidRPr="00B753FC">
        <w:t>Varahalduse sidusettevõtte olulise osaluse müük erasektorile;</w:t>
      </w:r>
    </w:p>
    <w:p w:rsidR="00A427F2" w:rsidRDefault="00A427F2" w:rsidP="00A427F2">
      <w:r w:rsidRPr="00B753FC">
        <w:t>(</w:t>
      </w:r>
      <w:r>
        <w:t>II</w:t>
      </w:r>
      <w:r w:rsidRPr="00B753FC">
        <w:t>)</w:t>
      </w:r>
      <w:r>
        <w:t xml:space="preserve"> </w:t>
      </w:r>
      <w:r w:rsidRPr="00B753FC">
        <w:t>Spetsiifilise varahaldusettevõtte aktsiate esmapakkumine (IPO) börsil;</w:t>
      </w:r>
    </w:p>
    <w:p w:rsidR="00A427F2" w:rsidRDefault="00A427F2" w:rsidP="00A427F2">
      <w:r w:rsidRPr="00B753FC">
        <w:t>(</w:t>
      </w:r>
      <w:r>
        <w:t>III</w:t>
      </w:r>
      <w:r w:rsidRPr="00B753FC">
        <w:t>)</w:t>
      </w:r>
      <w:r>
        <w:t xml:space="preserve"> </w:t>
      </w:r>
      <w:r w:rsidRPr="00B753FC">
        <w:t>Turupõhiste sidusettevõtete loomist (RKAS haldusalas) investeeringute tegemiseks.</w:t>
      </w:r>
    </w:p>
    <w:p w:rsidR="00A427F2" w:rsidRDefault="00A427F2" w:rsidP="00F96800">
      <w:r>
        <w:t>Kuigi PWC jõudis järeldusele, et ükski ülaltoodud lahendus ei anna algtehingute struktureerimisele täiendavaid tasakaaluarvestuse väliseid investeeringute tegemise võimalusi, on PWC alljärgnevate alternatiivide kohta mõned aspektid välja toonud.</w:t>
      </w:r>
    </w:p>
    <w:p w:rsidR="00A427F2" w:rsidRDefault="00A427F2" w:rsidP="00A427F2">
      <w:r>
        <w:t>Lisaks märgib PWC, et klassikalises mõttes müük on võimalik ainult nende varade puhul, kus on täna juba reaalselt eksisteeriv väärtus – seega vaid turupõhine büroohoonete portfell.</w:t>
      </w:r>
    </w:p>
    <w:p w:rsidR="00CB7078" w:rsidRDefault="00A427F2" w:rsidP="00CB7078">
      <w:pPr>
        <w:jc w:val="left"/>
      </w:pPr>
      <w:r>
        <w:t>I. Olulise osaluse müük</w:t>
      </w:r>
    </w:p>
    <w:p w:rsidR="00F96800" w:rsidRDefault="00A427F2" w:rsidP="00F96800">
      <w:pPr>
        <w:spacing w:before="120"/>
        <w:jc w:val="left"/>
      </w:pPr>
      <w:r>
        <w:t>+ Võib tulenevalt tehingu suurusest tuua turule uusi, suuremaid investoreid</w:t>
      </w:r>
    </w:p>
    <w:p w:rsidR="00F96800" w:rsidRDefault="00A427F2" w:rsidP="00F96800">
      <w:pPr>
        <w:spacing w:before="120"/>
        <w:jc w:val="left"/>
      </w:pPr>
      <w:r>
        <w:t>+ Kogu valdkond leiab tehingu mõttes lahenduse ühe tehinguga</w:t>
      </w:r>
    </w:p>
    <w:p w:rsidR="00F96800" w:rsidRDefault="00A427F2" w:rsidP="00F96800">
      <w:pPr>
        <w:spacing w:before="120"/>
        <w:jc w:val="left"/>
      </w:pPr>
      <w:r>
        <w:t>- Tulenevalt paindlikkuse kadumisest, ei pruugi maksimeerida</w:t>
      </w:r>
      <w:r w:rsidR="00F96800">
        <w:t xml:space="preserve"> </w:t>
      </w:r>
      <w:r>
        <w:t>müügitulu</w:t>
      </w:r>
    </w:p>
    <w:p w:rsidR="00F96800" w:rsidRDefault="00A427F2" w:rsidP="00F96800">
      <w:pPr>
        <w:spacing w:before="120"/>
        <w:jc w:val="left"/>
      </w:pPr>
      <w:r>
        <w:t>- Ettevalmistuseks kulub palju aega, kuna enne müüki on vaja</w:t>
      </w:r>
      <w:r w:rsidR="00F96800">
        <w:t xml:space="preserve"> </w:t>
      </w:r>
      <w:r>
        <w:t>turutingimustele viia kõik üksikud rendilepingud</w:t>
      </w:r>
    </w:p>
    <w:p w:rsidR="00CB7078" w:rsidRDefault="00A427F2" w:rsidP="00F96800">
      <w:pPr>
        <w:spacing w:before="120"/>
        <w:jc w:val="left"/>
      </w:pPr>
      <w:r>
        <w:t>- Efektiivselt võimalik läbi viia juba investeeritud hoonetega, kuna</w:t>
      </w:r>
      <w:r w:rsidR="00F96800">
        <w:t xml:space="preserve"> </w:t>
      </w:r>
      <w:r>
        <w:t>teiste puhul keeruline prognoosida investeeringute vajalikku taset</w:t>
      </w:r>
    </w:p>
    <w:p w:rsidR="00CB7078" w:rsidRDefault="00A427F2" w:rsidP="00CB7078">
      <w:pPr>
        <w:jc w:val="left"/>
      </w:pPr>
      <w:r>
        <w:t>II. Valdusettevõtte IPO</w:t>
      </w:r>
    </w:p>
    <w:p w:rsidR="00F96800" w:rsidRDefault="00A427F2" w:rsidP="00F96800">
      <w:pPr>
        <w:spacing w:before="120"/>
        <w:jc w:val="left"/>
      </w:pPr>
      <w:r>
        <w:t>+ Depolitiseerib valdkonna investeeringute juhtimist</w:t>
      </w:r>
    </w:p>
    <w:p w:rsidR="00F96800" w:rsidRDefault="00A427F2" w:rsidP="00F96800">
      <w:pPr>
        <w:spacing w:before="120"/>
        <w:jc w:val="left"/>
      </w:pPr>
      <w:r>
        <w:t>+ Elavdab aktsiaturgu</w:t>
      </w:r>
    </w:p>
    <w:p w:rsidR="00F96800" w:rsidRDefault="00A427F2" w:rsidP="00F96800">
      <w:pPr>
        <w:spacing w:before="120"/>
        <w:jc w:val="left"/>
      </w:pPr>
      <w:r>
        <w:t>- Teadmata täpne äraantava kontrolli vajalik ulatus tasakaaluarvestuse mõjutamiseks, ei pruugi tulemust tagada</w:t>
      </w:r>
    </w:p>
    <w:p w:rsidR="00CB7078" w:rsidRDefault="00A427F2" w:rsidP="00F96800">
      <w:pPr>
        <w:spacing w:before="120"/>
        <w:jc w:val="left"/>
      </w:pPr>
      <w:r>
        <w:t>- Eeldab, kas mahukat eeltööd või toimuks investorite jaoks läbipaistmatutel asjaoludel (kui palju investeerida, millised lepingud)</w:t>
      </w:r>
    </w:p>
    <w:p w:rsidR="00CB7078" w:rsidRDefault="00A427F2" w:rsidP="00CB7078">
      <w:pPr>
        <w:jc w:val="left"/>
      </w:pPr>
      <w:r>
        <w:t>III. Turupõhise sidusettevõtte loomine</w:t>
      </w:r>
    </w:p>
    <w:p w:rsidR="00F96800" w:rsidRDefault="00A427F2" w:rsidP="00F96800">
      <w:pPr>
        <w:spacing w:before="120"/>
        <w:jc w:val="left"/>
      </w:pPr>
      <w:r>
        <w:t>+ Võimaldab säilitada kontrolli kõigi riigi kinnisvarade üle</w:t>
      </w:r>
    </w:p>
    <w:p w:rsidR="00F96800" w:rsidRDefault="00A427F2" w:rsidP="00F96800">
      <w:pPr>
        <w:spacing w:before="120"/>
        <w:jc w:val="left"/>
      </w:pPr>
      <w:r>
        <w:t>- Märkimisväärne turumoonutuste oht</w:t>
      </w:r>
    </w:p>
    <w:p w:rsidR="00F96800" w:rsidRDefault="00A427F2" w:rsidP="00F96800">
      <w:pPr>
        <w:spacing w:before="120"/>
        <w:jc w:val="left"/>
      </w:pPr>
      <w:r>
        <w:t>- Riigi ressurss suunatakse riigile mittevajalikesse toimingutesse</w:t>
      </w:r>
    </w:p>
    <w:p w:rsidR="00CB7078" w:rsidRDefault="00A427F2" w:rsidP="00F96800">
      <w:pPr>
        <w:spacing w:before="120"/>
        <w:jc w:val="left"/>
      </w:pPr>
      <w:r>
        <w:t>- Täiendav ebaselgus riigi kinnisvarade juhtimisel</w:t>
      </w:r>
    </w:p>
    <w:p w:rsidR="00A427F2" w:rsidRDefault="00A427F2" w:rsidP="00A427F2">
      <w:r>
        <w:t>RKAS-i ümberkujundamisvõimaluste analüüsi kokkuvõtteks jõudis PWC järeldusele, et</w:t>
      </w:r>
      <w:r w:rsidRPr="00B753FC">
        <w:t xml:space="preserve"> ükski ülalviidatud struktuur </w:t>
      </w:r>
      <w:r>
        <w:t xml:space="preserve">ei anna </w:t>
      </w:r>
      <w:r w:rsidRPr="00B753FC">
        <w:t>ka muid olulisi argumente nendega edas</w:t>
      </w:r>
      <w:r>
        <w:t>i liikumisel, mistõttu soovitati</w:t>
      </w:r>
      <w:r w:rsidRPr="00B753FC">
        <w:t xml:space="preserve"> sellistest kavadest loobuda ning keskenduda algtehingute struktureerimise</w:t>
      </w:r>
      <w:r>
        <w:t xml:space="preserve">ga kaasnevatele võimaluste elluviimisele ja rakendamisele läbi RKAS-i. </w:t>
      </w:r>
    </w:p>
    <w:p w:rsidR="00E250A4" w:rsidRDefault="00E250A4" w:rsidP="002F4A30">
      <w:pPr>
        <w:pStyle w:val="Pealkiri3"/>
        <w:numPr>
          <w:ilvl w:val="2"/>
          <w:numId w:val="36"/>
        </w:numPr>
      </w:pPr>
      <w:bookmarkStart w:id="449" w:name="_Ref427306812"/>
      <w:bookmarkStart w:id="450" w:name="_Ref427306835"/>
      <w:bookmarkStart w:id="451" w:name="_Toc433980768"/>
      <w:r>
        <w:t>Rahastamisanalüüsi rakendused</w:t>
      </w:r>
      <w:bookmarkEnd w:id="449"/>
      <w:bookmarkEnd w:id="450"/>
      <w:bookmarkEnd w:id="451"/>
      <w:r>
        <w:t xml:space="preserve"> </w:t>
      </w:r>
    </w:p>
    <w:p w:rsidR="00E250A4" w:rsidRDefault="00E250A4" w:rsidP="00E250A4">
      <w:r>
        <w:t>Selleks, et viia ellu stsenaariumil 6 baseeruv rahastamiskava on vaja teostada alljärgnevad tegevused:</w:t>
      </w:r>
    </w:p>
    <w:p w:rsidR="00E250A4" w:rsidRDefault="00E250A4" w:rsidP="00E250A4">
      <w:r>
        <w:t>1. Realiseerida mittevajalik vara. Kõik hooned, mille osas valitseja ei kavandanud kasutamisjärgset üleandmist avaliku sektori üksusele, anda valitsejate poolt aktsiakapitali suurendamise viisil üle RKAS-ile eesmärgiga need võõrandada. Üleandmine RKAS-ile peab olema läbiviidud vastavalt üleandmiskavas toodud tähtaegadele.</w:t>
      </w:r>
    </w:p>
    <w:p w:rsidR="00E250A4" w:rsidRDefault="00E250A4" w:rsidP="00E250A4">
      <w:r>
        <w:t>2. Rahandusministeeriumi eestvedamisel, koostöös valitsejatega töötada välja riigi hoonestatud kinnisvara strateegia, mis arvestab praktikas kujunenud uut olukorda ja pikaajalisest eelarvest tulenevaid võimalusi</w:t>
      </w:r>
      <w:r w:rsidR="0006747C">
        <w:t>,</w:t>
      </w:r>
      <w:r>
        <w:t xml:space="preserve"> sh valitsussektori tasakaalu. Kinnitatud strateegia tuleb esitada koos VV otsuse eelnõuga määrata RKAS riigile kinnisvarateenuseid osutavaks äriühinguks. </w:t>
      </w:r>
    </w:p>
    <w:p w:rsidR="00E250A4" w:rsidRDefault="00E250A4" w:rsidP="00E250A4">
      <w:r>
        <w:t>3. Määrata RKAS riigile kinnisvarateenuseid osutavaks äriühinguks. Rahandusministeeriumil koostada Vabariigi Valitsuse vastav otsuse eelnõu. Ühtlasi moodustab see loogilise osa koalitsioonilepingus 2015-2019 otsustatud tugitegevuse konsolideerimisest.</w:t>
      </w:r>
    </w:p>
    <w:p w:rsidR="00E250A4" w:rsidRDefault="00E250A4" w:rsidP="00E250A4">
      <w:r>
        <w:t xml:space="preserve">4. Valitsejatel anda RKAS-ile aktsiakapitali suurendamise viisil üle kogu hoonestatud kinnisvara v.a. hooned mille üleandmine </w:t>
      </w:r>
      <w:r w:rsidRPr="00E250A4">
        <w:t>pole sotsiaalselt või strateegiliselt põhjendatud nt nn sümbolhooned ja teised eristaatusega hooned.</w:t>
      </w:r>
      <w:r>
        <w:t xml:space="preserve"> Mitteüleantavad hooned tuleb kooskõlastada Rahandusministeeriumiga. Üleandmine RKAS-ile peab olema läbiviidud vastavalt üleandmiskavas toodud tähtaegadele.</w:t>
      </w:r>
    </w:p>
    <w:p w:rsidR="00E250A4" w:rsidRDefault="00E250A4" w:rsidP="00E250A4">
      <w:r>
        <w:t xml:space="preserve">5. Rahandusministeeriumil koostöös valitsejate ja RKAS-iga teostada </w:t>
      </w:r>
      <w:r w:rsidRPr="006F0933">
        <w:t>kvalitatiiv</w:t>
      </w:r>
      <w:r>
        <w:t>ne ja kvantitatiivne detailanalüüs. Detailanalüüsi</w:t>
      </w:r>
      <w:r w:rsidRPr="006F0933">
        <w:t xml:space="preserve"> raames tuleb </w:t>
      </w:r>
      <w:r>
        <w:t xml:space="preserve">iga </w:t>
      </w:r>
      <w:r w:rsidRPr="006F0933">
        <w:t>hoone/hoonekompleksi tulevik seostada strateegiliste</w:t>
      </w:r>
      <w:r>
        <w:t xml:space="preserve"> dokumentidega</w:t>
      </w:r>
      <w:r w:rsidRPr="006F0933">
        <w:t>, lahendada optimeerimisülesanne ning asjakohaste ekspertide abiga leida nii rahvamajanduse arvestuse kriteeriumitest sobivaim, kui ka majanduslikult mõistlikum tehing</w:t>
      </w:r>
      <w:r>
        <w:t xml:space="preserve"> (kasutusrent/PPP/omafinantseering)</w:t>
      </w:r>
      <w:r w:rsidRPr="006F0933">
        <w:t xml:space="preserve">. </w:t>
      </w:r>
      <w:r>
        <w:t>Osana k</w:t>
      </w:r>
      <w:r w:rsidRPr="006F0933">
        <w:t>vant</w:t>
      </w:r>
      <w:r>
        <w:t>itatiivse hinnangu läbiviimisel</w:t>
      </w:r>
      <w:r w:rsidRPr="006F0933">
        <w:t xml:space="preserve"> viia </w:t>
      </w:r>
      <w:r>
        <w:t xml:space="preserve">läbi </w:t>
      </w:r>
      <w:r w:rsidRPr="006F0933">
        <w:t>iga hoone/hoonekompleksi tehingu finantsmõjude detailanalüüs hindamaks tehinguga seotud riskide jagunemist.</w:t>
      </w:r>
      <w:r>
        <w:t xml:space="preserve"> Detailanalüüsi läbiviimisel võtta aluseks stsenaariumis 6 esitatud tehingute portfellid järgmiste tähtaegadega:</w:t>
      </w:r>
    </w:p>
    <w:p w:rsidR="00E250A4" w:rsidRDefault="00E250A4" w:rsidP="00E250A4">
      <w:r>
        <w:t xml:space="preserve">6. </w:t>
      </w:r>
      <w:r w:rsidRPr="0053419F">
        <w:t>PPP raamistiku väljatöötami</w:t>
      </w:r>
      <w:r>
        <w:t>ne. Rahandusministeeriumil luua PPP valdkonda kureeriv struktuuriüksus mille eesmärk on kujundada tegevuskeskkond, kus PPP tehingud (hooned, infrastruktuur),</w:t>
      </w:r>
      <w:r w:rsidR="00F96800">
        <w:t xml:space="preserve"> </w:t>
      </w:r>
      <w:r>
        <w:t>toimuvad finantsiliselt mõistlikel tingimustel samaaegselt tagades riigi, kui lepingu poole pikaajaliste huvide kaitse. Eesmärgist tulenevalt on struktuuriüksuse ülesanneteks koostöös RKAS-iga:</w:t>
      </w:r>
    </w:p>
    <w:p w:rsidR="00E250A4" w:rsidRDefault="00E250A4" w:rsidP="00E250A4">
      <w:pPr>
        <w:pStyle w:val="Loend1"/>
        <w:ind w:left="714"/>
      </w:pPr>
      <w:r>
        <w:t>Koostada PPP tehingute tegevuskeskkonna kujundamise strateegia, mis on aluseks nii riigi enda tegutsemisele kui kommunikeerimiseks erasektori võimalikele tuleviku partneritele;</w:t>
      </w:r>
    </w:p>
    <w:p w:rsidR="00E250A4" w:rsidRDefault="00E250A4" w:rsidP="00E250A4">
      <w:pPr>
        <w:pStyle w:val="Loend1"/>
        <w:ind w:left="714"/>
      </w:pPr>
      <w:r>
        <w:t>Luua riigi hoonestatud kinnisvara PPP tehingutele suunatud kompetentsiüksus soovituslikult RKAS-s;</w:t>
      </w:r>
    </w:p>
    <w:p w:rsidR="00E250A4" w:rsidRDefault="00E250A4" w:rsidP="00E250A4">
      <w:pPr>
        <w:pStyle w:val="Loend1"/>
        <w:ind w:left="714"/>
      </w:pPr>
      <w:r>
        <w:t>Teostada õiguslik analüüs, eesmärgiga tuvastada vajalikud parendused seadusandluses PPP-de läbiviimiseks;</w:t>
      </w:r>
    </w:p>
    <w:p w:rsidR="00E250A4" w:rsidRDefault="00E250A4" w:rsidP="00E250A4">
      <w:pPr>
        <w:pStyle w:val="Loend1"/>
        <w:ind w:left="714"/>
      </w:pPr>
      <w:r>
        <w:t>Luua protsessid ja tööriistad, mis toetavad efektiivset PPP-d kui tervikprotsessi (planeerimine, hankimine, lepingu sõlmimine järelevalve jne);</w:t>
      </w:r>
    </w:p>
    <w:p w:rsidR="00E250A4" w:rsidRDefault="00E250A4" w:rsidP="00E250A4">
      <w:pPr>
        <w:pStyle w:val="Loend1"/>
        <w:ind w:left="714"/>
      </w:pPr>
      <w:r>
        <w:t>Koostada standardlepingud, testida neid hüpoteetiliselt ja praktikas;</w:t>
      </w:r>
    </w:p>
    <w:p w:rsidR="00E250A4" w:rsidRDefault="00E250A4" w:rsidP="00E250A4">
      <w:pPr>
        <w:pStyle w:val="Loend1"/>
        <w:ind w:left="714"/>
      </w:pPr>
      <w:r>
        <w:t>Koostada PPP kui tervikprotsessi korraldamise koolituskava ametnikele ja teistele seotud osapooltele ja viia läbi koolitusi ning nõustamistegevusi;</w:t>
      </w:r>
    </w:p>
    <w:p w:rsidR="00E250A4" w:rsidRDefault="00E250A4" w:rsidP="00E250A4">
      <w:pPr>
        <w:pStyle w:val="Loend1"/>
        <w:ind w:left="714"/>
      </w:pPr>
      <w:r>
        <w:t>Teadlikkuse ja arusaamise tõstmine PPP-st nii avalikus sektoris</w:t>
      </w:r>
      <w:r w:rsidR="00F96800">
        <w:t xml:space="preserve"> </w:t>
      </w:r>
      <w:r>
        <w:t>ja erasektoris laiemalt nagu ka ühiskonnas.</w:t>
      </w:r>
    </w:p>
    <w:p w:rsidR="00EF6461" w:rsidRDefault="00EF6461" w:rsidP="00313B01">
      <w:bookmarkStart w:id="452" w:name="_Toc411870329"/>
      <w:bookmarkStart w:id="453" w:name="_Toc412019283"/>
      <w:bookmarkStart w:id="454" w:name="_Toc418016370"/>
    </w:p>
    <w:p w:rsidR="00711216" w:rsidRDefault="00711216" w:rsidP="00126C27">
      <w:pPr>
        <w:pStyle w:val="Heading2"/>
        <w:jc w:val="left"/>
        <w:sectPr w:rsidR="00711216" w:rsidSect="009B72E2">
          <w:footerReference w:type="default" r:id="rId67"/>
          <w:pgSz w:w="11906" w:h="16838"/>
          <w:pgMar w:top="1440" w:right="1440" w:bottom="1440" w:left="1440" w:header="708" w:footer="708" w:gutter="0"/>
          <w:cols w:space="708"/>
          <w:titlePg/>
          <w:docGrid w:linePitch="360"/>
        </w:sectPr>
      </w:pPr>
    </w:p>
    <w:p w:rsidR="00313B01" w:rsidRDefault="00313B01" w:rsidP="00313B01">
      <w:pPr>
        <w:pStyle w:val="Pealkiri1"/>
        <w:numPr>
          <w:ilvl w:val="0"/>
          <w:numId w:val="0"/>
        </w:numPr>
        <w:ind w:left="360"/>
      </w:pPr>
      <w:bookmarkStart w:id="455" w:name="_Toc380048624"/>
      <w:bookmarkStart w:id="456" w:name="_Toc418016369"/>
      <w:bookmarkStart w:id="457" w:name="_Toc433980769"/>
      <w:bookmarkStart w:id="458" w:name="_Toc310241282"/>
      <w:r w:rsidRPr="00AC0C68">
        <w:t>LISAD</w:t>
      </w:r>
      <w:bookmarkEnd w:id="455"/>
      <w:bookmarkEnd w:id="456"/>
      <w:bookmarkEnd w:id="457"/>
    </w:p>
    <w:p w:rsidR="00EF6461" w:rsidRDefault="004F4E8F" w:rsidP="00AC0C68">
      <w:pPr>
        <w:pStyle w:val="Heading2"/>
      </w:pPr>
      <w:bookmarkStart w:id="459" w:name="_Toc433980770"/>
      <w:bookmarkEnd w:id="458"/>
      <w:r>
        <w:t>Lisa 1. Riigi hoonestatud kinnisvarareformi tegevuskav</w:t>
      </w:r>
      <w:r w:rsidR="00126C27">
        <w:t>a</w:t>
      </w:r>
      <w:bookmarkEnd w:id="459"/>
    </w:p>
    <w:bookmarkStart w:id="460" w:name="_Toc427166616"/>
    <w:bookmarkEnd w:id="460"/>
    <w:bookmarkStart w:id="461" w:name="_MON_1500977225"/>
    <w:bookmarkEnd w:id="461"/>
    <w:p w:rsidR="00126C27" w:rsidRDefault="00190A17" w:rsidP="00995D10">
      <w:r>
        <w:object w:dxaOrig="14318" w:dyaOrig="5727">
          <v:shape id="_x0000_i1026" type="#_x0000_t75" style="width:693.75pt;height:287.25pt" o:ole="">
            <v:imagedata r:id="rId68" o:title=""/>
          </v:shape>
          <o:OLEObject Type="Embed" ProgID="Excel.Sheet.12" ShapeID="_x0000_i1026" DrawAspect="Content" ObjectID="_1511701559" r:id="rId69"/>
        </w:object>
      </w:r>
    </w:p>
    <w:p w:rsidR="00126C27" w:rsidRPr="00126C27" w:rsidRDefault="00126C27" w:rsidP="00126C27">
      <w:pPr>
        <w:spacing w:before="0"/>
        <w:jc w:val="left"/>
      </w:pPr>
      <w:r>
        <w:br w:type="page"/>
      </w:r>
    </w:p>
    <w:bookmarkStart w:id="462" w:name="_MON_1500977196"/>
    <w:bookmarkEnd w:id="462"/>
    <w:p w:rsidR="004F4E8F" w:rsidRPr="004F4E8F" w:rsidRDefault="0006747C" w:rsidP="004F4E8F">
      <w:r>
        <w:object w:dxaOrig="14934" w:dyaOrig="6876">
          <v:shape id="_x0000_i1027" type="#_x0000_t75" style="width:693.75pt;height:334.5pt" o:ole="">
            <v:imagedata r:id="rId70" o:title=""/>
          </v:shape>
          <o:OLEObject Type="Embed" ProgID="Excel.Sheet.12" ShapeID="_x0000_i1027" DrawAspect="Content" ObjectID="_1511701560" r:id="rId71"/>
        </w:object>
      </w:r>
    </w:p>
    <w:p w:rsidR="00711216" w:rsidRDefault="00711216">
      <w:pPr>
        <w:spacing w:before="0"/>
        <w:jc w:val="left"/>
      </w:pPr>
      <w:r>
        <w:br w:type="page"/>
      </w:r>
    </w:p>
    <w:bookmarkStart w:id="463" w:name="_MON_1500977408"/>
    <w:bookmarkEnd w:id="463"/>
    <w:p w:rsidR="00711216" w:rsidRDefault="002F3B79">
      <w:pPr>
        <w:spacing w:before="0"/>
        <w:jc w:val="left"/>
      </w:pPr>
      <w:r>
        <w:object w:dxaOrig="14768" w:dyaOrig="6410">
          <v:shape id="_x0000_i1028" type="#_x0000_t75" style="width:693.75pt;height:320.25pt" o:ole="">
            <v:imagedata r:id="rId72" o:title=""/>
          </v:shape>
          <o:OLEObject Type="Embed" ProgID="Excel.Sheet.12" ShapeID="_x0000_i1028" DrawAspect="Content" ObjectID="_1511701561" r:id="rId73"/>
        </w:object>
      </w:r>
    </w:p>
    <w:p w:rsidR="00711216" w:rsidRDefault="00711216">
      <w:pPr>
        <w:spacing w:before="0"/>
        <w:jc w:val="left"/>
      </w:pPr>
      <w:r>
        <w:br w:type="page"/>
      </w:r>
    </w:p>
    <w:bookmarkStart w:id="464" w:name="_MON_1500977741"/>
    <w:bookmarkEnd w:id="464"/>
    <w:p w:rsidR="004F4E8F" w:rsidRDefault="0003324D">
      <w:pPr>
        <w:spacing w:before="0"/>
        <w:jc w:val="left"/>
        <w:rPr>
          <w:rFonts w:asciiTheme="majorHAnsi" w:eastAsiaTheme="majorEastAsia" w:hAnsiTheme="majorHAnsi" w:cstheme="majorBidi"/>
          <w:bCs/>
          <w:iCs/>
          <w:color w:val="0070C0"/>
          <w:sz w:val="36"/>
          <w:szCs w:val="28"/>
        </w:rPr>
      </w:pPr>
      <w:r>
        <w:object w:dxaOrig="14333" w:dyaOrig="7778">
          <v:shape id="_x0000_i1029" type="#_x0000_t75" style="width:699pt;height:389.25pt" o:ole="">
            <v:imagedata r:id="rId74" o:title=""/>
          </v:shape>
          <o:OLEObject Type="Embed" ProgID="Excel.Sheet.12" ShapeID="_x0000_i1029" DrawAspect="Content" ObjectID="_1511701562" r:id="rId75"/>
        </w:object>
      </w:r>
      <w:r w:rsidR="004F4E8F">
        <w:br w:type="page"/>
      </w:r>
    </w:p>
    <w:p w:rsidR="00126C27" w:rsidRDefault="00126C27" w:rsidP="00EF6461">
      <w:pPr>
        <w:spacing w:before="0"/>
        <w:jc w:val="left"/>
        <w:sectPr w:rsidR="00126C27" w:rsidSect="00126C27">
          <w:pgSz w:w="16838" w:h="11906" w:orient="landscape"/>
          <w:pgMar w:top="1440" w:right="1440" w:bottom="1440" w:left="1440" w:header="708" w:footer="708" w:gutter="0"/>
          <w:cols w:space="708"/>
          <w:docGrid w:linePitch="360"/>
        </w:sectPr>
      </w:pPr>
    </w:p>
    <w:p w:rsidR="00B6319C" w:rsidRDefault="00B263F8" w:rsidP="004F5682">
      <w:pPr>
        <w:pStyle w:val="Heading2"/>
      </w:pPr>
      <w:bookmarkStart w:id="465" w:name="_Ref427304295"/>
      <w:bookmarkStart w:id="466" w:name="_Ref427304319"/>
      <w:bookmarkStart w:id="467" w:name="_Ref427304376"/>
      <w:bookmarkStart w:id="468" w:name="_Toc433980771"/>
      <w:r>
        <w:t>Lisa 2</w:t>
      </w:r>
      <w:r w:rsidR="00B6319C" w:rsidRPr="00864A81">
        <w:t xml:space="preserve">. </w:t>
      </w:r>
      <w:r w:rsidR="00B6319C">
        <w:t xml:space="preserve">Riigi </w:t>
      </w:r>
      <w:r w:rsidR="00B6319C" w:rsidRPr="004F5682">
        <w:t>kinnisvara</w:t>
      </w:r>
      <w:r w:rsidR="00B6319C">
        <w:t xml:space="preserve"> portfell</w:t>
      </w:r>
      <w:bookmarkEnd w:id="452"/>
      <w:bookmarkEnd w:id="453"/>
      <w:bookmarkEnd w:id="454"/>
      <w:bookmarkEnd w:id="465"/>
      <w:bookmarkEnd w:id="466"/>
      <w:bookmarkEnd w:id="467"/>
      <w:bookmarkEnd w:id="468"/>
    </w:p>
    <w:p w:rsidR="00B6319C" w:rsidRDefault="00B6319C" w:rsidP="00B6319C">
      <w:pPr>
        <w:pStyle w:val="Caption"/>
      </w:pPr>
      <w:bookmarkStart w:id="469" w:name="_Ref417650827"/>
      <w:bookmarkStart w:id="470" w:name="_Ref427304852"/>
      <w:r>
        <w:t xml:space="preserve">Tabel </w:t>
      </w:r>
      <w:bookmarkEnd w:id="469"/>
      <w:r w:rsidR="00A85FDC">
        <w:fldChar w:fldCharType="begin"/>
      </w:r>
      <w:r w:rsidR="00BE6343">
        <w:instrText xml:space="preserve"> SEQ Tabel \* ARABIC \r 1 </w:instrText>
      </w:r>
      <w:r w:rsidR="00A85FDC">
        <w:fldChar w:fldCharType="separate"/>
      </w:r>
      <w:r w:rsidR="00477322">
        <w:rPr>
          <w:noProof/>
        </w:rPr>
        <w:t>1</w:t>
      </w:r>
      <w:r w:rsidR="00A85FDC">
        <w:fldChar w:fldCharType="end"/>
      </w:r>
      <w:bookmarkEnd w:id="470"/>
      <w:r>
        <w:t>.</w:t>
      </w:r>
      <w:r w:rsidRPr="006564D9">
        <w:t xml:space="preserve"> </w:t>
      </w:r>
      <w:r>
        <w:t>Riigi omandis olevate hoonete portfell aastate lõikes riigivara valitsejate kaupa</w:t>
      </w:r>
    </w:p>
    <w:tbl>
      <w:tblPr>
        <w:tblW w:w="9124" w:type="dxa"/>
        <w:tblInd w:w="55" w:type="dxa"/>
        <w:tblCellMar>
          <w:left w:w="70" w:type="dxa"/>
          <w:right w:w="70" w:type="dxa"/>
        </w:tblCellMar>
        <w:tblLook w:val="04A0"/>
      </w:tblPr>
      <w:tblGrid>
        <w:gridCol w:w="2440"/>
        <w:gridCol w:w="1300"/>
        <w:gridCol w:w="935"/>
        <w:gridCol w:w="1300"/>
        <w:gridCol w:w="935"/>
        <w:gridCol w:w="1280"/>
        <w:gridCol w:w="940"/>
      </w:tblGrid>
      <w:tr w:rsidR="00B6319C" w:rsidRPr="00025B9E" w:rsidTr="000F3178">
        <w:trPr>
          <w:trHeight w:hRule="exact" w:val="397"/>
        </w:trPr>
        <w:tc>
          <w:tcPr>
            <w:tcW w:w="2440" w:type="dxa"/>
            <w:vMerge w:val="restart"/>
            <w:tcBorders>
              <w:top w:val="single" w:sz="4" w:space="0" w:color="auto"/>
              <w:left w:val="single" w:sz="4" w:space="0" w:color="auto"/>
              <w:bottom w:val="single" w:sz="4" w:space="0" w:color="000000"/>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Riigivara valitseja</w:t>
            </w:r>
          </w:p>
        </w:tc>
        <w:tc>
          <w:tcPr>
            <w:tcW w:w="2232"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2012</w:t>
            </w:r>
          </w:p>
        </w:tc>
        <w:tc>
          <w:tcPr>
            <w:tcW w:w="2232"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2013</w:t>
            </w:r>
          </w:p>
        </w:tc>
        <w:tc>
          <w:tcPr>
            <w:tcW w:w="222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2014</w:t>
            </w:r>
          </w:p>
        </w:tc>
      </w:tr>
      <w:tr w:rsidR="00B6319C" w:rsidRPr="00025B9E" w:rsidTr="000F3178">
        <w:trPr>
          <w:trHeight w:hRule="exact" w:val="567"/>
        </w:trPr>
        <w:tc>
          <w:tcPr>
            <w:tcW w:w="2440" w:type="dxa"/>
            <w:vMerge/>
            <w:tcBorders>
              <w:top w:val="single" w:sz="4" w:space="0" w:color="auto"/>
              <w:left w:val="single" w:sz="4" w:space="0" w:color="auto"/>
              <w:bottom w:val="single" w:sz="4" w:space="0" w:color="000000"/>
              <w:right w:val="single" w:sz="4" w:space="0" w:color="auto"/>
            </w:tcBorders>
            <w:vAlign w:val="center"/>
            <w:hideMark/>
          </w:tcPr>
          <w:p w:rsidR="00B6319C" w:rsidRPr="00025B9E" w:rsidRDefault="00B6319C" w:rsidP="000F3178">
            <w:pPr>
              <w:spacing w:before="0"/>
              <w:jc w:val="left"/>
              <w:rPr>
                <w:b/>
                <w:bCs/>
                <w:color w:val="000000"/>
                <w:sz w:val="18"/>
                <w:szCs w:val="18"/>
                <w:lang w:eastAsia="et-EE"/>
              </w:rPr>
            </w:pPr>
          </w:p>
        </w:tc>
        <w:tc>
          <w:tcPr>
            <w:tcW w:w="13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pind m²</w:t>
            </w:r>
          </w:p>
        </w:tc>
        <w:tc>
          <w:tcPr>
            <w:tcW w:w="932"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arv</w:t>
            </w:r>
          </w:p>
        </w:tc>
        <w:tc>
          <w:tcPr>
            <w:tcW w:w="13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pind m²</w:t>
            </w:r>
          </w:p>
        </w:tc>
        <w:tc>
          <w:tcPr>
            <w:tcW w:w="932"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arv</w:t>
            </w:r>
          </w:p>
        </w:tc>
        <w:tc>
          <w:tcPr>
            <w:tcW w:w="128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pind m²</w:t>
            </w:r>
          </w:p>
        </w:tc>
        <w:tc>
          <w:tcPr>
            <w:tcW w:w="94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Hoonete arv</w:t>
            </w:r>
          </w:p>
        </w:tc>
      </w:tr>
      <w:tr w:rsidR="00B6319C" w:rsidRPr="00025B9E" w:rsidTr="000F3178">
        <w:trPr>
          <w:trHeight w:hRule="exact" w:val="397"/>
        </w:trPr>
        <w:tc>
          <w:tcPr>
            <w:tcW w:w="2440" w:type="dxa"/>
            <w:tcBorders>
              <w:top w:val="nil"/>
              <w:left w:val="single" w:sz="4" w:space="0" w:color="auto"/>
              <w:bottom w:val="single" w:sz="8" w:space="0" w:color="auto"/>
              <w:right w:val="nil"/>
            </w:tcBorders>
            <w:shd w:val="clear" w:color="auto" w:fill="auto"/>
            <w:noWrap/>
            <w:vAlign w:val="bottom"/>
            <w:hideMark/>
          </w:tcPr>
          <w:p w:rsidR="00B6319C" w:rsidRPr="00025B9E" w:rsidRDefault="00B6319C" w:rsidP="000F3178">
            <w:pPr>
              <w:spacing w:before="0"/>
              <w:jc w:val="left"/>
              <w:rPr>
                <w:b/>
                <w:bCs/>
                <w:color w:val="000000"/>
                <w:sz w:val="18"/>
                <w:szCs w:val="18"/>
                <w:lang w:eastAsia="et-EE"/>
              </w:rPr>
            </w:pPr>
            <w:r w:rsidRPr="00025B9E">
              <w:rPr>
                <w:b/>
                <w:bCs/>
                <w:color w:val="000000"/>
                <w:sz w:val="18"/>
                <w:szCs w:val="18"/>
                <w:lang w:eastAsia="et-EE"/>
              </w:rPr>
              <w:t>Ministeeriumid</w:t>
            </w:r>
          </w:p>
        </w:tc>
        <w:tc>
          <w:tcPr>
            <w:tcW w:w="1300" w:type="dxa"/>
            <w:tcBorders>
              <w:top w:val="nil"/>
              <w:left w:val="nil"/>
              <w:bottom w:val="nil"/>
              <w:right w:val="nil"/>
            </w:tcBorders>
            <w:shd w:val="clear" w:color="auto" w:fill="auto"/>
            <w:noWrap/>
            <w:vAlign w:val="bottom"/>
            <w:hideMark/>
          </w:tcPr>
          <w:p w:rsidR="00B6319C" w:rsidRPr="00025B9E" w:rsidRDefault="00B6319C" w:rsidP="000F3178">
            <w:pPr>
              <w:spacing w:before="0"/>
              <w:jc w:val="left"/>
              <w:rPr>
                <w:color w:val="000000"/>
                <w:sz w:val="18"/>
                <w:szCs w:val="18"/>
                <w:lang w:eastAsia="et-EE"/>
              </w:rPr>
            </w:pP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left"/>
              <w:rPr>
                <w:color w:val="000000"/>
                <w:sz w:val="18"/>
                <w:szCs w:val="18"/>
                <w:lang w:eastAsia="et-EE"/>
              </w:rPr>
            </w:pPr>
          </w:p>
        </w:tc>
        <w:tc>
          <w:tcPr>
            <w:tcW w:w="1300" w:type="dxa"/>
            <w:tcBorders>
              <w:top w:val="nil"/>
              <w:left w:val="nil"/>
              <w:bottom w:val="nil"/>
              <w:right w:val="nil"/>
            </w:tcBorders>
            <w:shd w:val="clear" w:color="auto" w:fill="auto"/>
            <w:noWrap/>
            <w:vAlign w:val="bottom"/>
            <w:hideMark/>
          </w:tcPr>
          <w:p w:rsidR="00B6319C" w:rsidRPr="00025B9E" w:rsidRDefault="00B6319C" w:rsidP="000F3178">
            <w:pPr>
              <w:spacing w:before="0"/>
              <w:jc w:val="left"/>
              <w:rPr>
                <w:color w:val="000000"/>
                <w:sz w:val="18"/>
                <w:szCs w:val="18"/>
                <w:lang w:eastAsia="et-EE"/>
              </w:rPr>
            </w:pP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left"/>
              <w:rPr>
                <w:color w:val="000000"/>
                <w:sz w:val="18"/>
                <w:szCs w:val="18"/>
                <w:lang w:eastAsia="et-EE"/>
              </w:rPr>
            </w:pPr>
          </w:p>
        </w:tc>
        <w:tc>
          <w:tcPr>
            <w:tcW w:w="1280" w:type="dxa"/>
            <w:tcBorders>
              <w:top w:val="nil"/>
              <w:left w:val="nil"/>
              <w:bottom w:val="nil"/>
              <w:right w:val="nil"/>
            </w:tcBorders>
            <w:shd w:val="clear" w:color="auto" w:fill="auto"/>
            <w:noWrap/>
            <w:vAlign w:val="bottom"/>
            <w:hideMark/>
          </w:tcPr>
          <w:p w:rsidR="00B6319C" w:rsidRPr="00025B9E" w:rsidRDefault="00B6319C" w:rsidP="000F3178">
            <w:pPr>
              <w:spacing w:before="0"/>
              <w:jc w:val="left"/>
              <w:rPr>
                <w:color w:val="000000"/>
                <w:sz w:val="18"/>
                <w:szCs w:val="18"/>
                <w:lang w:eastAsia="et-EE"/>
              </w:rPr>
            </w:pPr>
          </w:p>
        </w:tc>
        <w:tc>
          <w:tcPr>
            <w:tcW w:w="94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 </w:t>
            </w:r>
          </w:p>
        </w:tc>
      </w:tr>
      <w:tr w:rsidR="00B6319C" w:rsidRPr="00025B9E" w:rsidTr="000F3178">
        <w:trPr>
          <w:trHeight w:hRule="exact" w:val="567"/>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Haridus- ja Teadusministeerium</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617 550</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513</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654 202</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468</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614 913</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456</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Justiitsministeerium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4 030</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4 030</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Kaitseministeerium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281 674</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635</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333 702</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719</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396 506</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665</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Keskkonnaministeerium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133 189</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606</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145 678</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738</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135 244</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639</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Kultuuriministeerium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95 961</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204</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44 785</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146</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37 476</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117</w:t>
            </w:r>
          </w:p>
        </w:tc>
      </w:tr>
      <w:tr w:rsidR="00B6319C" w:rsidRPr="00025B9E" w:rsidTr="00025B9E">
        <w:trPr>
          <w:trHeight w:hRule="exact" w:val="624"/>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Majandus- ja Kommunikatsiooni-ministeerium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51 612</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115</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52 616</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126</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54 815</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128</w:t>
            </w:r>
          </w:p>
        </w:tc>
      </w:tr>
      <w:tr w:rsidR="00B6319C" w:rsidRPr="00025B9E" w:rsidTr="000F3178">
        <w:trPr>
          <w:trHeight w:hRule="exact" w:val="567"/>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Põllumajandus-ministeerium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97 730</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146</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96 587</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141</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102 922</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156</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Rahandusministeerium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1 584</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Siseministeerium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152 885</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342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131 708</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254</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122 470</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225</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Sotsiaalministeerium</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34 166</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34</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25 217</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13</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1 577</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r>
      <w:tr w:rsidR="00B6319C" w:rsidRPr="00025B9E" w:rsidTr="000F3178">
        <w:trPr>
          <w:trHeight w:hRule="exact" w:val="340"/>
        </w:trPr>
        <w:tc>
          <w:tcPr>
            <w:tcW w:w="2440" w:type="dxa"/>
            <w:tcBorders>
              <w:top w:val="nil"/>
              <w:left w:val="single" w:sz="8" w:space="0" w:color="auto"/>
              <w:bottom w:val="single" w:sz="8"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Välisministeerium</w:t>
            </w: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21 526</w:t>
            </w: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19</w:t>
            </w: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48 797</w:t>
            </w: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34</w:t>
            </w:r>
          </w:p>
        </w:tc>
        <w:tc>
          <w:tcPr>
            <w:tcW w:w="12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42 969</w:t>
            </w:r>
          </w:p>
        </w:tc>
        <w:tc>
          <w:tcPr>
            <w:tcW w:w="940" w:type="dxa"/>
            <w:tcBorders>
              <w:top w:val="nil"/>
              <w:left w:val="nil"/>
              <w:bottom w:val="single" w:sz="8"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39</w:t>
            </w:r>
          </w:p>
        </w:tc>
      </w:tr>
      <w:tr w:rsidR="00B6319C" w:rsidRPr="00025B9E" w:rsidTr="000F3178">
        <w:trPr>
          <w:trHeight w:hRule="exact" w:val="340"/>
        </w:trPr>
        <w:tc>
          <w:tcPr>
            <w:tcW w:w="3740" w:type="dxa"/>
            <w:gridSpan w:val="2"/>
            <w:tcBorders>
              <w:top w:val="single" w:sz="8" w:space="0" w:color="auto"/>
              <w:left w:val="single" w:sz="4" w:space="0" w:color="auto"/>
              <w:bottom w:val="single" w:sz="8" w:space="0" w:color="auto"/>
              <w:right w:val="nil"/>
            </w:tcBorders>
            <w:shd w:val="clear" w:color="auto" w:fill="auto"/>
            <w:vAlign w:val="bottom"/>
            <w:hideMark/>
          </w:tcPr>
          <w:p w:rsidR="00B6319C" w:rsidRPr="00025B9E" w:rsidRDefault="00B6319C" w:rsidP="000F3178">
            <w:pPr>
              <w:spacing w:before="0"/>
              <w:jc w:val="left"/>
              <w:rPr>
                <w:b/>
                <w:bCs/>
                <w:color w:val="000000"/>
                <w:sz w:val="18"/>
                <w:szCs w:val="18"/>
                <w:lang w:eastAsia="et-EE"/>
              </w:rPr>
            </w:pPr>
            <w:r w:rsidRPr="00025B9E">
              <w:rPr>
                <w:b/>
                <w:bCs/>
                <w:color w:val="000000"/>
                <w:sz w:val="18"/>
                <w:szCs w:val="18"/>
                <w:lang w:eastAsia="et-EE"/>
              </w:rPr>
              <w:t>Põhiseaduslikud institutsioonid</w:t>
            </w: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280"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Riigikantselei</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5 268</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6 836</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7 028</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Riigikogu Kantselei</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15 842</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15 842</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15 842</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Riigikohus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2 565</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2 565</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5 703</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r>
      <w:tr w:rsidR="00B6319C" w:rsidRPr="00025B9E" w:rsidTr="000F3178">
        <w:trPr>
          <w:trHeight w:hRule="exact" w:val="567"/>
        </w:trPr>
        <w:tc>
          <w:tcPr>
            <w:tcW w:w="2440" w:type="dxa"/>
            <w:tcBorders>
              <w:top w:val="nil"/>
              <w:left w:val="single" w:sz="8" w:space="0" w:color="auto"/>
              <w:bottom w:val="single" w:sz="8"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Vabariigi Presidendi Kantselei</w:t>
            </w: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3 024</w:t>
            </w: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6</w:t>
            </w: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3 774</w:t>
            </w: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8</w:t>
            </w:r>
          </w:p>
        </w:tc>
        <w:tc>
          <w:tcPr>
            <w:tcW w:w="12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3 774</w:t>
            </w:r>
          </w:p>
        </w:tc>
        <w:tc>
          <w:tcPr>
            <w:tcW w:w="940" w:type="dxa"/>
            <w:tcBorders>
              <w:top w:val="nil"/>
              <w:left w:val="nil"/>
              <w:bottom w:val="single" w:sz="8"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8</w:t>
            </w:r>
          </w:p>
        </w:tc>
      </w:tr>
      <w:tr w:rsidR="00B6319C" w:rsidRPr="00025B9E" w:rsidTr="000F3178">
        <w:trPr>
          <w:trHeight w:hRule="exact" w:val="340"/>
        </w:trPr>
        <w:tc>
          <w:tcPr>
            <w:tcW w:w="2440" w:type="dxa"/>
            <w:tcBorders>
              <w:top w:val="nil"/>
              <w:left w:val="single" w:sz="4" w:space="0" w:color="auto"/>
              <w:bottom w:val="nil"/>
              <w:right w:val="single" w:sz="4" w:space="0" w:color="auto"/>
            </w:tcBorders>
            <w:shd w:val="clear" w:color="auto" w:fill="auto"/>
            <w:vAlign w:val="bottom"/>
            <w:hideMark/>
          </w:tcPr>
          <w:p w:rsidR="00B6319C" w:rsidRPr="00025B9E" w:rsidRDefault="00B6319C" w:rsidP="000F3178">
            <w:pPr>
              <w:spacing w:before="0"/>
              <w:jc w:val="left"/>
              <w:rPr>
                <w:b/>
                <w:bCs/>
                <w:color w:val="000000"/>
                <w:sz w:val="18"/>
                <w:szCs w:val="18"/>
                <w:lang w:eastAsia="et-EE"/>
              </w:rPr>
            </w:pPr>
            <w:r w:rsidRPr="00025B9E">
              <w:rPr>
                <w:b/>
                <w:bCs/>
                <w:color w:val="000000"/>
                <w:sz w:val="18"/>
                <w:szCs w:val="18"/>
                <w:lang w:eastAsia="et-EE"/>
              </w:rPr>
              <w:t>Maavalitsused</w:t>
            </w:r>
          </w:p>
        </w:tc>
        <w:tc>
          <w:tcPr>
            <w:tcW w:w="1300"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280" w:type="dxa"/>
            <w:tcBorders>
              <w:top w:val="nil"/>
              <w:left w:val="nil"/>
              <w:bottom w:val="nil"/>
              <w:right w:val="nil"/>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Harju Maavalitsus</w:t>
            </w: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4 702</w:t>
            </w:r>
          </w:p>
        </w:tc>
        <w:tc>
          <w:tcPr>
            <w:tcW w:w="932"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8</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Ida-Viru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34</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Järva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1 480</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21</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1 717</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Lääne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180</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Lääne-Viru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97</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1 974</w:t>
            </w: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Rapla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1 282</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14</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1 071</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Tartu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16 686</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4"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Viljandi Maavalitsus</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1 238</w:t>
            </w:r>
          </w:p>
        </w:tc>
        <w:tc>
          <w:tcPr>
            <w:tcW w:w="932"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8</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40" w:type="dxa"/>
            <w:tcBorders>
              <w:top w:val="nil"/>
              <w:left w:val="nil"/>
              <w:bottom w:val="single" w:sz="4"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r>
      <w:tr w:rsidR="00B6319C" w:rsidRPr="00025B9E" w:rsidTr="000F3178">
        <w:trPr>
          <w:trHeight w:hRule="exact" w:val="340"/>
        </w:trPr>
        <w:tc>
          <w:tcPr>
            <w:tcW w:w="2440" w:type="dxa"/>
            <w:tcBorders>
              <w:top w:val="nil"/>
              <w:left w:val="single" w:sz="8" w:space="0" w:color="auto"/>
              <w:bottom w:val="single" w:sz="8" w:space="0" w:color="auto"/>
              <w:right w:val="single" w:sz="4" w:space="0" w:color="auto"/>
            </w:tcBorders>
            <w:shd w:val="clear" w:color="auto" w:fill="auto"/>
            <w:vAlign w:val="bottom"/>
            <w:hideMark/>
          </w:tcPr>
          <w:p w:rsidR="00B6319C" w:rsidRPr="00025B9E" w:rsidRDefault="00B6319C" w:rsidP="000F3178">
            <w:pPr>
              <w:spacing w:before="0"/>
              <w:jc w:val="left"/>
              <w:rPr>
                <w:color w:val="000000"/>
                <w:sz w:val="18"/>
                <w:szCs w:val="18"/>
                <w:lang w:eastAsia="et-EE"/>
              </w:rPr>
            </w:pPr>
            <w:r w:rsidRPr="00025B9E">
              <w:rPr>
                <w:color w:val="000000"/>
                <w:sz w:val="18"/>
                <w:szCs w:val="18"/>
                <w:lang w:eastAsia="et-EE"/>
              </w:rPr>
              <w:t>Võru Maavalitsus</w:t>
            </w: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p>
        </w:tc>
        <w:tc>
          <w:tcPr>
            <w:tcW w:w="13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264</w:t>
            </w:r>
          </w:p>
        </w:tc>
        <w:tc>
          <w:tcPr>
            <w:tcW w:w="932"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5</w:t>
            </w:r>
          </w:p>
        </w:tc>
        <w:tc>
          <w:tcPr>
            <w:tcW w:w="12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77</w:t>
            </w:r>
          </w:p>
        </w:tc>
        <w:tc>
          <w:tcPr>
            <w:tcW w:w="940" w:type="dxa"/>
            <w:tcBorders>
              <w:top w:val="nil"/>
              <w:left w:val="nil"/>
              <w:bottom w:val="single" w:sz="8" w:space="0" w:color="auto"/>
              <w:right w:val="single" w:sz="8" w:space="0" w:color="auto"/>
            </w:tcBorders>
            <w:shd w:val="clear" w:color="auto" w:fill="auto"/>
            <w:noWrap/>
            <w:vAlign w:val="bottom"/>
            <w:hideMark/>
          </w:tcPr>
          <w:p w:rsidR="00B6319C" w:rsidRPr="00025B9E" w:rsidRDefault="00B6319C" w:rsidP="000F3178">
            <w:pPr>
              <w:spacing w:before="0"/>
              <w:jc w:val="center"/>
              <w:rPr>
                <w:color w:val="000000"/>
                <w:sz w:val="18"/>
                <w:szCs w:val="18"/>
                <w:lang w:eastAsia="et-EE"/>
              </w:rPr>
            </w:pPr>
            <w:r w:rsidRPr="00025B9E">
              <w:rPr>
                <w:color w:val="000000"/>
                <w:sz w:val="18"/>
                <w:szCs w:val="18"/>
                <w:lang w:eastAsia="et-EE"/>
              </w:rPr>
              <w:t>2</w:t>
            </w:r>
          </w:p>
        </w:tc>
      </w:tr>
      <w:tr w:rsidR="00B6319C" w:rsidRPr="00025B9E" w:rsidTr="000F3178">
        <w:trPr>
          <w:trHeight w:hRule="exact" w:val="340"/>
        </w:trPr>
        <w:tc>
          <w:tcPr>
            <w:tcW w:w="2440" w:type="dxa"/>
            <w:tcBorders>
              <w:top w:val="nil"/>
              <w:left w:val="single" w:sz="4" w:space="0" w:color="auto"/>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left"/>
              <w:rPr>
                <w:b/>
                <w:bCs/>
                <w:color w:val="000000"/>
                <w:sz w:val="18"/>
                <w:szCs w:val="18"/>
                <w:lang w:eastAsia="et-EE"/>
              </w:rPr>
            </w:pPr>
            <w:r w:rsidRPr="00025B9E">
              <w:rPr>
                <w:b/>
                <w:bCs/>
                <w:color w:val="000000"/>
                <w:sz w:val="18"/>
                <w:szCs w:val="18"/>
                <w:lang w:eastAsia="et-EE"/>
              </w:rPr>
              <w:t>Kokku</w:t>
            </w:r>
          </w:p>
        </w:tc>
        <w:tc>
          <w:tcPr>
            <w:tcW w:w="13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1 519 785</w:t>
            </w:r>
          </w:p>
        </w:tc>
        <w:tc>
          <w:tcPr>
            <w:tcW w:w="932"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2670</w:t>
            </w:r>
          </w:p>
        </w:tc>
        <w:tc>
          <w:tcPr>
            <w:tcW w:w="13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1 593 877</w:t>
            </w:r>
          </w:p>
        </w:tc>
        <w:tc>
          <w:tcPr>
            <w:tcW w:w="932"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2803</w:t>
            </w:r>
          </w:p>
        </w:tc>
        <w:tc>
          <w:tcPr>
            <w:tcW w:w="128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1 543 322</w:t>
            </w:r>
          </w:p>
        </w:tc>
        <w:tc>
          <w:tcPr>
            <w:tcW w:w="94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F3178">
            <w:pPr>
              <w:spacing w:before="0"/>
              <w:jc w:val="center"/>
              <w:rPr>
                <w:b/>
                <w:bCs/>
                <w:color w:val="000000"/>
                <w:sz w:val="18"/>
                <w:szCs w:val="18"/>
                <w:lang w:eastAsia="et-EE"/>
              </w:rPr>
            </w:pPr>
            <w:r w:rsidRPr="00025B9E">
              <w:rPr>
                <w:b/>
                <w:bCs/>
                <w:color w:val="000000"/>
                <w:sz w:val="18"/>
                <w:szCs w:val="18"/>
                <w:lang w:eastAsia="et-EE"/>
              </w:rPr>
              <w:t>2453</w:t>
            </w:r>
          </w:p>
        </w:tc>
      </w:tr>
    </w:tbl>
    <w:p w:rsidR="00B6319C" w:rsidRPr="009A297C" w:rsidRDefault="00B6319C" w:rsidP="00B6319C">
      <w:pPr>
        <w:sectPr w:rsidR="00B6319C" w:rsidRPr="009A297C" w:rsidSect="00A170DA">
          <w:footerReference w:type="default" r:id="rId76"/>
          <w:pgSz w:w="11906" w:h="16838"/>
          <w:pgMar w:top="1417" w:right="1417" w:bottom="1417" w:left="1417" w:header="708" w:footer="708" w:gutter="0"/>
          <w:cols w:space="708"/>
          <w:docGrid w:linePitch="360"/>
        </w:sectPr>
      </w:pPr>
    </w:p>
    <w:p w:rsidR="00B6319C" w:rsidRDefault="00B6319C" w:rsidP="00025B9E">
      <w:pPr>
        <w:pStyle w:val="Caption"/>
        <w:spacing w:before="0"/>
      </w:pPr>
      <w:bookmarkStart w:id="471" w:name="_Ref411869832"/>
      <w:bookmarkStart w:id="472" w:name="_Ref423622024"/>
      <w:r>
        <w:t xml:space="preserve">Tabel </w:t>
      </w:r>
      <w:fldSimple w:instr=" SEQ Tabel \* ARABIC ">
        <w:r w:rsidR="00477322">
          <w:rPr>
            <w:noProof/>
          </w:rPr>
          <w:t>2</w:t>
        </w:r>
      </w:fldSimple>
      <w:bookmarkEnd w:id="471"/>
      <w:r>
        <w:t>. Riigi omandis olevate hoonete registreerimine ehitisregistris ja energiamärgiste olemasolu riigivara valitsejate kaupa 2014 seisuga</w:t>
      </w:r>
      <w:bookmarkEnd w:id="472"/>
    </w:p>
    <w:tbl>
      <w:tblPr>
        <w:tblW w:w="12320" w:type="dxa"/>
        <w:tblInd w:w="65" w:type="dxa"/>
        <w:tblCellMar>
          <w:left w:w="70" w:type="dxa"/>
          <w:right w:w="70" w:type="dxa"/>
        </w:tblCellMar>
        <w:tblLook w:val="04A0"/>
      </w:tblPr>
      <w:tblGrid>
        <w:gridCol w:w="2557"/>
        <w:gridCol w:w="1276"/>
        <w:gridCol w:w="1207"/>
        <w:gridCol w:w="1300"/>
        <w:gridCol w:w="1020"/>
        <w:gridCol w:w="1280"/>
        <w:gridCol w:w="1160"/>
        <w:gridCol w:w="1240"/>
        <w:gridCol w:w="1280"/>
      </w:tblGrid>
      <w:tr w:rsidR="00B6319C" w:rsidRPr="00025B9E" w:rsidTr="00025B9E">
        <w:trPr>
          <w:trHeight w:hRule="exact" w:val="499"/>
        </w:trPr>
        <w:tc>
          <w:tcPr>
            <w:tcW w:w="2557" w:type="dxa"/>
            <w:vMerge w:val="restart"/>
            <w:tcBorders>
              <w:top w:val="single" w:sz="4" w:space="0" w:color="auto"/>
              <w:left w:val="single" w:sz="4" w:space="0" w:color="auto"/>
              <w:bottom w:val="single" w:sz="4" w:space="0" w:color="000000"/>
              <w:right w:val="single" w:sz="4" w:space="0" w:color="auto"/>
            </w:tcBorders>
            <w:shd w:val="clear" w:color="DBE5F1" w:fill="DBE5F1"/>
            <w:noWrap/>
            <w:vAlign w:val="bottom"/>
            <w:hideMark/>
          </w:tcPr>
          <w:p w:rsidR="00B6319C" w:rsidRPr="00025B9E" w:rsidRDefault="00B6319C" w:rsidP="00CD371C">
            <w:pPr>
              <w:jc w:val="center"/>
              <w:rPr>
                <w:b/>
                <w:bCs/>
                <w:color w:val="000000"/>
                <w:sz w:val="18"/>
                <w:szCs w:val="18"/>
                <w:lang w:eastAsia="et-EE"/>
              </w:rPr>
            </w:pPr>
            <w:r w:rsidRPr="00025B9E">
              <w:rPr>
                <w:b/>
                <w:bCs/>
                <w:color w:val="000000"/>
                <w:sz w:val="18"/>
                <w:szCs w:val="18"/>
                <w:lang w:eastAsia="et-EE"/>
              </w:rPr>
              <w:t>Riigivara valitseja</w:t>
            </w:r>
          </w:p>
        </w:tc>
        <w:tc>
          <w:tcPr>
            <w:tcW w:w="2483"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Omandis</w:t>
            </w:r>
          </w:p>
        </w:tc>
        <w:tc>
          <w:tcPr>
            <w:tcW w:w="232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EHR-i kantud</w:t>
            </w:r>
          </w:p>
        </w:tc>
        <w:tc>
          <w:tcPr>
            <w:tcW w:w="244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Energiamärgis väljastatud</w:t>
            </w:r>
          </w:p>
        </w:tc>
        <w:tc>
          <w:tcPr>
            <w:tcW w:w="2520" w:type="dxa"/>
            <w:gridSpan w:val="2"/>
            <w:tcBorders>
              <w:top w:val="single" w:sz="4" w:space="0" w:color="auto"/>
              <w:left w:val="nil"/>
              <w:bottom w:val="single" w:sz="4" w:space="0" w:color="auto"/>
              <w:right w:val="single" w:sz="4" w:space="0" w:color="000000"/>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 xml:space="preserve">Energiamärgiseta </w:t>
            </w:r>
            <w:r w:rsidR="00025B9E">
              <w:rPr>
                <w:b/>
                <w:bCs/>
                <w:color w:val="000000"/>
                <w:sz w:val="18"/>
                <w:szCs w:val="18"/>
                <w:lang w:eastAsia="et-EE"/>
              </w:rPr>
              <w:t>üle 50 m² sisekliima tagamisega</w:t>
            </w:r>
          </w:p>
        </w:tc>
      </w:tr>
      <w:tr w:rsidR="00B6319C" w:rsidRPr="00025B9E" w:rsidTr="00025B9E">
        <w:trPr>
          <w:trHeight w:hRule="exact" w:val="510"/>
        </w:trPr>
        <w:tc>
          <w:tcPr>
            <w:tcW w:w="2557" w:type="dxa"/>
            <w:vMerge/>
            <w:tcBorders>
              <w:top w:val="single" w:sz="4" w:space="0" w:color="auto"/>
              <w:left w:val="single" w:sz="4" w:space="0" w:color="auto"/>
              <w:bottom w:val="single" w:sz="4" w:space="0" w:color="000000"/>
              <w:right w:val="single" w:sz="4" w:space="0" w:color="auto"/>
            </w:tcBorders>
            <w:vAlign w:val="center"/>
            <w:hideMark/>
          </w:tcPr>
          <w:p w:rsidR="00B6319C" w:rsidRPr="00025B9E" w:rsidRDefault="00B6319C" w:rsidP="00CD371C">
            <w:pPr>
              <w:jc w:val="left"/>
              <w:rPr>
                <w:b/>
                <w:bCs/>
                <w:color w:val="000000"/>
                <w:sz w:val="18"/>
                <w:szCs w:val="18"/>
                <w:lang w:eastAsia="et-EE"/>
              </w:rPr>
            </w:pPr>
          </w:p>
        </w:tc>
        <w:tc>
          <w:tcPr>
            <w:tcW w:w="1276"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pind m²</w:t>
            </w:r>
          </w:p>
        </w:tc>
        <w:tc>
          <w:tcPr>
            <w:tcW w:w="1207"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arv</w:t>
            </w:r>
          </w:p>
        </w:tc>
        <w:tc>
          <w:tcPr>
            <w:tcW w:w="13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pind m²</w:t>
            </w:r>
          </w:p>
        </w:tc>
        <w:tc>
          <w:tcPr>
            <w:tcW w:w="102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arv</w:t>
            </w:r>
          </w:p>
        </w:tc>
        <w:tc>
          <w:tcPr>
            <w:tcW w:w="128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pind m²</w:t>
            </w:r>
          </w:p>
        </w:tc>
        <w:tc>
          <w:tcPr>
            <w:tcW w:w="116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arv</w:t>
            </w:r>
          </w:p>
        </w:tc>
        <w:tc>
          <w:tcPr>
            <w:tcW w:w="124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pind m²</w:t>
            </w:r>
          </w:p>
        </w:tc>
        <w:tc>
          <w:tcPr>
            <w:tcW w:w="128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Hoonete arv</w:t>
            </w:r>
          </w:p>
        </w:tc>
      </w:tr>
      <w:tr w:rsidR="00B6319C" w:rsidRPr="00025B9E" w:rsidTr="00025B9E">
        <w:trPr>
          <w:trHeight w:hRule="exact" w:val="284"/>
        </w:trPr>
        <w:tc>
          <w:tcPr>
            <w:tcW w:w="1232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Ministeeriumid</w:t>
            </w:r>
          </w:p>
        </w:tc>
      </w:tr>
      <w:tr w:rsidR="00B6319C" w:rsidRPr="00025B9E" w:rsidTr="00025B9E">
        <w:trPr>
          <w:trHeight w:hRule="exact" w:val="51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Haridus- ja Teadusministeerium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614 913</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456</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579 416</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384</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149 134</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44</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308 472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155</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Kaitseministeerium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396 506</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665</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292 287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441</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12 403</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140</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256 262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233</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Keskkonnaministeerium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135 244</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639</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119 071</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530</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30 445</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17</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41 288</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128</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sh RMK</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87 954</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551</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84 369</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482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4 364</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29 335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101</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Kultuuriministeerium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37 476</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117</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31 628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2 087</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w:t>
            </w:r>
          </w:p>
        </w:tc>
      </w:tr>
      <w:tr w:rsidR="00B6319C" w:rsidRPr="00025B9E" w:rsidTr="00025B9E">
        <w:trPr>
          <w:trHeight w:hRule="exact" w:val="624"/>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Majandus- ja Kommunikatsiooni-ministeerium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54 815</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128</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20 658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36</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35 951</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Põllumajandus-ministeerium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102 922</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156</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88 480</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55 074</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35</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23 312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Siseministeerium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122 470</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225</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87 727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134</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8 032</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83 366</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90</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Sotsiaalministeerium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1 577</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1 577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1 486</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Välisministeerium</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42 969</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39</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12 508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8 950</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4 985</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w:t>
            </w:r>
          </w:p>
        </w:tc>
      </w:tr>
      <w:tr w:rsidR="00B6319C" w:rsidRPr="00025B9E" w:rsidTr="00025B9E">
        <w:trPr>
          <w:trHeight w:hRule="exact" w:val="284"/>
        </w:trPr>
        <w:tc>
          <w:tcPr>
            <w:tcW w:w="1232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Põhiseaduslikud institutsioonid</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Riigikantselei</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7 028</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7 028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Riigikogu Kantselei</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15 842</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15 842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71</w:t>
            </w: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Riigikohus</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5 703</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5 703</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Vabariigi Presidendi Kantselei</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3 774</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3 774</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284"/>
        </w:trPr>
        <w:tc>
          <w:tcPr>
            <w:tcW w:w="1232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Maavalitsused</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Ida-Viru Maavalitsus</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34</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34</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Lääne-Viru Maavalitsus</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1 974</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1 974</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1 974</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Võru Maavalitsus</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77</w:t>
            </w:r>
          </w:p>
        </w:tc>
        <w:tc>
          <w:tcPr>
            <w:tcW w:w="1207"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3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1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4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c>
          <w:tcPr>
            <w:tcW w:w="12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p>
        </w:tc>
      </w:tr>
      <w:tr w:rsidR="00B6319C" w:rsidRPr="00025B9E" w:rsidTr="00025B9E">
        <w:trPr>
          <w:trHeight w:hRule="exact" w:val="340"/>
        </w:trPr>
        <w:tc>
          <w:tcPr>
            <w:tcW w:w="2557" w:type="dxa"/>
            <w:tcBorders>
              <w:top w:val="nil"/>
              <w:left w:val="single" w:sz="4" w:space="0" w:color="auto"/>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Kokku</w:t>
            </w:r>
          </w:p>
        </w:tc>
        <w:tc>
          <w:tcPr>
            <w:tcW w:w="1276"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1 543 322</w:t>
            </w:r>
          </w:p>
        </w:tc>
        <w:tc>
          <w:tcPr>
            <w:tcW w:w="1207"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2 453</w:t>
            </w:r>
          </w:p>
        </w:tc>
        <w:tc>
          <w:tcPr>
            <w:tcW w:w="13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1 267 783</w:t>
            </w:r>
          </w:p>
        </w:tc>
        <w:tc>
          <w:tcPr>
            <w:tcW w:w="102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1 765</w:t>
            </w:r>
          </w:p>
        </w:tc>
        <w:tc>
          <w:tcPr>
            <w:tcW w:w="128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265 633</w:t>
            </w:r>
          </w:p>
        </w:tc>
        <w:tc>
          <w:tcPr>
            <w:tcW w:w="116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246</w:t>
            </w:r>
          </w:p>
        </w:tc>
        <w:tc>
          <w:tcPr>
            <w:tcW w:w="124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757 697</w:t>
            </w:r>
          </w:p>
        </w:tc>
        <w:tc>
          <w:tcPr>
            <w:tcW w:w="128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698</w:t>
            </w:r>
          </w:p>
        </w:tc>
      </w:tr>
    </w:tbl>
    <w:p w:rsidR="00B6319C" w:rsidRDefault="00B6319C" w:rsidP="00B6319C">
      <w:pPr>
        <w:pStyle w:val="Caption"/>
      </w:pPr>
      <w:bookmarkStart w:id="473" w:name="_Ref411937046"/>
      <w:bookmarkStart w:id="474" w:name="_Ref423630921"/>
      <w:bookmarkStart w:id="475" w:name="_Toc380048642"/>
      <w:r>
        <w:t xml:space="preserve">Tabel </w:t>
      </w:r>
      <w:fldSimple w:instr=" SEQ Tabel \* ARABIC ">
        <w:r w:rsidR="00477322">
          <w:rPr>
            <w:noProof/>
          </w:rPr>
          <w:t>3</w:t>
        </w:r>
      </w:fldSimple>
      <w:bookmarkEnd w:id="473"/>
      <w:bookmarkEnd w:id="474"/>
      <w:r>
        <w:t>. Riigi omandis olevad maad riigivara valitsejate kaupa aastate lõikes</w:t>
      </w:r>
    </w:p>
    <w:tbl>
      <w:tblPr>
        <w:tblW w:w="10400" w:type="dxa"/>
        <w:tblInd w:w="55" w:type="dxa"/>
        <w:tblCellMar>
          <w:left w:w="70" w:type="dxa"/>
          <w:right w:w="70" w:type="dxa"/>
        </w:tblCellMar>
        <w:tblLook w:val="04A0"/>
      </w:tblPr>
      <w:tblGrid>
        <w:gridCol w:w="2440"/>
        <w:gridCol w:w="1611"/>
        <w:gridCol w:w="1611"/>
        <w:gridCol w:w="1611"/>
        <w:gridCol w:w="1611"/>
        <w:gridCol w:w="1611"/>
        <w:gridCol w:w="1611"/>
      </w:tblGrid>
      <w:tr w:rsidR="00B6319C" w:rsidRPr="00025B9E" w:rsidTr="00025B9E">
        <w:trPr>
          <w:trHeight w:hRule="exact" w:val="340"/>
        </w:trPr>
        <w:tc>
          <w:tcPr>
            <w:tcW w:w="2440" w:type="dxa"/>
            <w:vMerge w:val="restart"/>
            <w:tcBorders>
              <w:top w:val="single" w:sz="4" w:space="0" w:color="auto"/>
              <w:left w:val="single" w:sz="4" w:space="0" w:color="auto"/>
              <w:bottom w:val="single" w:sz="4" w:space="0" w:color="000000"/>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Riigivara valitseja</w:t>
            </w:r>
          </w:p>
        </w:tc>
        <w:tc>
          <w:tcPr>
            <w:tcW w:w="268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2012</w:t>
            </w:r>
          </w:p>
        </w:tc>
        <w:tc>
          <w:tcPr>
            <w:tcW w:w="262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2013</w:t>
            </w:r>
          </w:p>
        </w:tc>
        <w:tc>
          <w:tcPr>
            <w:tcW w:w="2660" w:type="dxa"/>
            <w:gridSpan w:val="2"/>
            <w:tcBorders>
              <w:top w:val="single" w:sz="4" w:space="0" w:color="auto"/>
              <w:left w:val="nil"/>
              <w:bottom w:val="single" w:sz="4" w:space="0" w:color="auto"/>
              <w:right w:val="single" w:sz="4" w:space="0" w:color="000000"/>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2014</w:t>
            </w:r>
          </w:p>
        </w:tc>
      </w:tr>
      <w:tr w:rsidR="00B6319C" w:rsidRPr="00025B9E" w:rsidTr="00CD371C">
        <w:trPr>
          <w:trHeight w:val="600"/>
        </w:trPr>
        <w:tc>
          <w:tcPr>
            <w:tcW w:w="2440" w:type="dxa"/>
            <w:vMerge/>
            <w:tcBorders>
              <w:top w:val="single" w:sz="4" w:space="0" w:color="auto"/>
              <w:left w:val="single" w:sz="4" w:space="0" w:color="auto"/>
              <w:bottom w:val="single" w:sz="4" w:space="0" w:color="000000"/>
              <w:right w:val="single" w:sz="4" w:space="0" w:color="auto"/>
            </w:tcBorders>
            <w:vAlign w:val="center"/>
            <w:hideMark/>
          </w:tcPr>
          <w:p w:rsidR="00B6319C" w:rsidRPr="00025B9E" w:rsidRDefault="00B6319C" w:rsidP="00025B9E">
            <w:pPr>
              <w:spacing w:before="0"/>
              <w:jc w:val="left"/>
              <w:rPr>
                <w:b/>
                <w:bCs/>
                <w:color w:val="000000"/>
                <w:sz w:val="18"/>
                <w:szCs w:val="18"/>
                <w:lang w:eastAsia="et-EE"/>
              </w:rPr>
            </w:pPr>
          </w:p>
        </w:tc>
        <w:tc>
          <w:tcPr>
            <w:tcW w:w="16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pind ha</w:t>
            </w:r>
          </w:p>
        </w:tc>
        <w:tc>
          <w:tcPr>
            <w:tcW w:w="108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arv</w:t>
            </w:r>
          </w:p>
        </w:tc>
        <w:tc>
          <w:tcPr>
            <w:tcW w:w="16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pind ha</w:t>
            </w:r>
          </w:p>
        </w:tc>
        <w:tc>
          <w:tcPr>
            <w:tcW w:w="102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arv</w:t>
            </w:r>
          </w:p>
        </w:tc>
        <w:tc>
          <w:tcPr>
            <w:tcW w:w="160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pind ha</w:t>
            </w:r>
          </w:p>
        </w:tc>
        <w:tc>
          <w:tcPr>
            <w:tcW w:w="1060" w:type="dxa"/>
            <w:tcBorders>
              <w:top w:val="nil"/>
              <w:left w:val="nil"/>
              <w:bottom w:val="single" w:sz="4" w:space="0" w:color="auto"/>
              <w:right w:val="single" w:sz="4" w:space="0" w:color="auto"/>
            </w:tcBorders>
            <w:shd w:val="clear" w:color="DBE5F1" w:fill="DBE5F1"/>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Katastriüksuste arv</w:t>
            </w:r>
          </w:p>
        </w:tc>
      </w:tr>
      <w:tr w:rsidR="00B6319C" w:rsidRPr="00025B9E" w:rsidTr="00CD371C">
        <w:trPr>
          <w:trHeight w:val="315"/>
        </w:trPr>
        <w:tc>
          <w:tcPr>
            <w:tcW w:w="2440" w:type="dxa"/>
            <w:tcBorders>
              <w:top w:val="nil"/>
              <w:left w:val="single" w:sz="4" w:space="0" w:color="auto"/>
              <w:bottom w:val="single" w:sz="8" w:space="0" w:color="auto"/>
              <w:right w:val="nil"/>
            </w:tcBorders>
            <w:shd w:val="clear" w:color="auto" w:fill="auto"/>
            <w:noWrap/>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Ministeeriumid</w:t>
            </w:r>
          </w:p>
        </w:tc>
        <w:tc>
          <w:tcPr>
            <w:tcW w:w="1600" w:type="dxa"/>
            <w:tcBorders>
              <w:top w:val="nil"/>
              <w:left w:val="nil"/>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p>
        </w:tc>
        <w:tc>
          <w:tcPr>
            <w:tcW w:w="1080" w:type="dxa"/>
            <w:tcBorders>
              <w:top w:val="nil"/>
              <w:left w:val="nil"/>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p>
        </w:tc>
        <w:tc>
          <w:tcPr>
            <w:tcW w:w="1600" w:type="dxa"/>
            <w:tcBorders>
              <w:top w:val="nil"/>
              <w:left w:val="nil"/>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p>
        </w:tc>
        <w:tc>
          <w:tcPr>
            <w:tcW w:w="1020" w:type="dxa"/>
            <w:tcBorders>
              <w:top w:val="nil"/>
              <w:left w:val="nil"/>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p>
        </w:tc>
        <w:tc>
          <w:tcPr>
            <w:tcW w:w="1600" w:type="dxa"/>
            <w:tcBorders>
              <w:top w:val="nil"/>
              <w:left w:val="nil"/>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p>
        </w:tc>
        <w:tc>
          <w:tcPr>
            <w:tcW w:w="106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w:t>
            </w:r>
          </w:p>
        </w:tc>
      </w:tr>
      <w:tr w:rsidR="00B6319C" w:rsidRPr="00025B9E" w:rsidTr="00025B9E">
        <w:trPr>
          <w:trHeight w:hRule="exact" w:val="567"/>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Haridus- ja Teadusministeerium </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11 464,86</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403</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11 048,81</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336</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11 068,38</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327</w:t>
            </w:r>
          </w:p>
        </w:tc>
      </w:tr>
      <w:tr w:rsidR="00B6319C" w:rsidRPr="00025B9E" w:rsidTr="00CD371C">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Justiitsministeerium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6,83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4,10</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10</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4,37</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Kaitseministeerium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24 266,86</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835</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24 228,71</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816</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24 280,22</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820</w:t>
            </w:r>
          </w:p>
        </w:tc>
      </w:tr>
      <w:tr w:rsidR="00B6319C" w:rsidRPr="00025B9E" w:rsidTr="00CD371C">
        <w:trPr>
          <w:trHeight w:val="262"/>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Keskkonnaministeerium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1 347 039,20</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20 608</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1 414 773,22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23 545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1 462 641,37</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26 719</w:t>
            </w:r>
          </w:p>
        </w:tc>
      </w:tr>
      <w:tr w:rsidR="00B6319C" w:rsidRPr="00025B9E" w:rsidTr="00CD371C">
        <w:trPr>
          <w:trHeight w:val="300"/>
        </w:trPr>
        <w:tc>
          <w:tcPr>
            <w:tcW w:w="2440" w:type="dxa"/>
            <w:tcBorders>
              <w:top w:val="nil"/>
              <w:left w:val="single" w:sz="4" w:space="0" w:color="auto"/>
              <w:bottom w:val="nil"/>
              <w:right w:val="nil"/>
            </w:tcBorders>
            <w:shd w:val="clear" w:color="auto" w:fill="auto"/>
            <w:vAlign w:val="bottom"/>
            <w:hideMark/>
          </w:tcPr>
          <w:p w:rsidR="00B6319C" w:rsidRPr="00025B9E" w:rsidRDefault="00B6319C" w:rsidP="00025B9E">
            <w:pPr>
              <w:spacing w:before="0"/>
              <w:jc w:val="left"/>
              <w:rPr>
                <w:color w:val="7F7F7F"/>
                <w:sz w:val="18"/>
                <w:szCs w:val="18"/>
                <w:lang w:eastAsia="et-EE"/>
              </w:rPr>
            </w:pPr>
            <w:r w:rsidRPr="00025B9E">
              <w:rPr>
                <w:color w:val="7F7F7F"/>
                <w:sz w:val="18"/>
                <w:szCs w:val="18"/>
                <w:lang w:eastAsia="et-EE"/>
              </w:rPr>
              <w:t xml:space="preserve">    sh RMK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1 255 031,42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13 842</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1 314 400,27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15 795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1 353 250,50</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17 599</w:t>
            </w:r>
          </w:p>
        </w:tc>
      </w:tr>
      <w:tr w:rsidR="00B6319C" w:rsidRPr="00025B9E" w:rsidTr="00CD371C">
        <w:trPr>
          <w:trHeight w:val="315"/>
        </w:trPr>
        <w:tc>
          <w:tcPr>
            <w:tcW w:w="2440" w:type="dxa"/>
            <w:tcBorders>
              <w:top w:val="nil"/>
              <w:left w:val="single" w:sz="4" w:space="0" w:color="auto"/>
              <w:bottom w:val="nil"/>
              <w:right w:val="nil"/>
            </w:tcBorders>
            <w:shd w:val="clear" w:color="auto" w:fill="auto"/>
            <w:vAlign w:val="bottom"/>
            <w:hideMark/>
          </w:tcPr>
          <w:p w:rsidR="00B6319C" w:rsidRPr="00025B9E" w:rsidRDefault="00B6319C" w:rsidP="00025B9E">
            <w:pPr>
              <w:spacing w:before="0"/>
              <w:jc w:val="left"/>
              <w:rPr>
                <w:color w:val="7F7F7F"/>
                <w:sz w:val="18"/>
                <w:szCs w:val="18"/>
                <w:lang w:eastAsia="et-EE"/>
              </w:rPr>
            </w:pPr>
            <w:r w:rsidRPr="00025B9E">
              <w:rPr>
                <w:color w:val="7F7F7F"/>
                <w:sz w:val="18"/>
                <w:szCs w:val="18"/>
                <w:lang w:eastAsia="et-EE"/>
              </w:rPr>
              <w:t xml:space="preserve">          Maa-amet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91 958,63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6 686</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100 323,22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7 668</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109 339,75</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7F7F7F"/>
                <w:sz w:val="18"/>
                <w:szCs w:val="18"/>
                <w:lang w:eastAsia="et-EE"/>
              </w:rPr>
            </w:pPr>
            <w:r w:rsidRPr="00025B9E">
              <w:rPr>
                <w:color w:val="7F7F7F"/>
                <w:sz w:val="18"/>
                <w:szCs w:val="18"/>
                <w:lang w:eastAsia="et-EE"/>
              </w:rPr>
              <w:t>9 047</w:t>
            </w:r>
          </w:p>
        </w:tc>
      </w:tr>
      <w:tr w:rsidR="00B6319C" w:rsidRPr="00025B9E" w:rsidTr="00CD371C">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Kultuuriministeerium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208,45</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61,61</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53</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49,00</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44</w:t>
            </w:r>
          </w:p>
        </w:tc>
      </w:tr>
      <w:tr w:rsidR="00B6319C" w:rsidRPr="00025B9E" w:rsidTr="00CD371C">
        <w:trPr>
          <w:trHeight w:val="592"/>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Majandus- ja Kommunikatsiooni-ministeerium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40 979,37</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10 804</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41 320,32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11 355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41 726,51</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11 770</w:t>
            </w:r>
          </w:p>
        </w:tc>
      </w:tr>
      <w:tr w:rsidR="00B6319C" w:rsidRPr="00025B9E" w:rsidTr="00025B9E">
        <w:trPr>
          <w:trHeight w:hRule="exact" w:val="567"/>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Põllumajandus-ministeerium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4 951,31</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194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4 968,99</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194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4 968,17</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197</w:t>
            </w:r>
          </w:p>
        </w:tc>
      </w:tr>
      <w:tr w:rsidR="00B6319C" w:rsidRPr="00025B9E" w:rsidTr="00CD371C">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Rahandusministeerium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1,10</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1,10</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0,99</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Siseministeerium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640,72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335</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653,77</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293</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661,44</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312</w:t>
            </w:r>
          </w:p>
        </w:tc>
      </w:tr>
      <w:tr w:rsidR="00B6319C" w:rsidRPr="00025B9E" w:rsidTr="00CD371C">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Sotsiaalministeerium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11,74</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5,18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0,15</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w:t>
            </w:r>
          </w:p>
        </w:tc>
      </w:tr>
      <w:tr w:rsidR="00B6319C" w:rsidRPr="00025B9E" w:rsidTr="00CD371C">
        <w:trPr>
          <w:trHeight w:val="315"/>
        </w:trPr>
        <w:tc>
          <w:tcPr>
            <w:tcW w:w="2440" w:type="dxa"/>
            <w:tcBorders>
              <w:top w:val="nil"/>
              <w:left w:val="single" w:sz="4" w:space="0" w:color="auto"/>
              <w:bottom w:val="single" w:sz="8"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Välisministeerium </w:t>
            </w:r>
          </w:p>
        </w:tc>
        <w:tc>
          <w:tcPr>
            <w:tcW w:w="16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118,36</w:t>
            </w:r>
          </w:p>
        </w:tc>
        <w:tc>
          <w:tcPr>
            <w:tcW w:w="10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25</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117,64</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94,28</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w:t>
            </w:r>
          </w:p>
        </w:tc>
      </w:tr>
      <w:tr w:rsidR="00B6319C" w:rsidRPr="00025B9E" w:rsidTr="00CD371C">
        <w:trPr>
          <w:trHeight w:val="327"/>
        </w:trPr>
        <w:tc>
          <w:tcPr>
            <w:tcW w:w="10400" w:type="dxa"/>
            <w:gridSpan w:val="7"/>
            <w:tcBorders>
              <w:top w:val="nil"/>
              <w:left w:val="single" w:sz="4" w:space="0" w:color="auto"/>
              <w:bottom w:val="single" w:sz="8" w:space="0" w:color="auto"/>
              <w:right w:val="single" w:sz="4" w:space="0" w:color="000000"/>
            </w:tcBorders>
            <w:shd w:val="clear" w:color="auto" w:fill="auto"/>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Põhiseaduslikud institutsioonid</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Riigikantselei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0,93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0,93</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0,93</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w:t>
            </w:r>
          </w:p>
        </w:tc>
      </w:tr>
      <w:tr w:rsidR="00B6319C" w:rsidRPr="00025B9E" w:rsidTr="00CD371C">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Riigikogu Kantselei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2,32</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Riigikohus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0,32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0,43</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0,32</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w:t>
            </w:r>
          </w:p>
        </w:tc>
      </w:tr>
      <w:tr w:rsidR="00B6319C" w:rsidRPr="00025B9E" w:rsidTr="00025B9E">
        <w:trPr>
          <w:trHeight w:hRule="exact" w:val="567"/>
        </w:trPr>
        <w:tc>
          <w:tcPr>
            <w:tcW w:w="2440" w:type="dxa"/>
            <w:tcBorders>
              <w:top w:val="nil"/>
              <w:left w:val="single" w:sz="4" w:space="0" w:color="auto"/>
              <w:bottom w:val="single" w:sz="8"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Vabariigi Presidendi Kantselei </w:t>
            </w:r>
          </w:p>
        </w:tc>
        <w:tc>
          <w:tcPr>
            <w:tcW w:w="160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9,58</w:t>
            </w:r>
          </w:p>
        </w:tc>
        <w:tc>
          <w:tcPr>
            <w:tcW w:w="10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9,58</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9,58</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w:t>
            </w:r>
          </w:p>
        </w:tc>
      </w:tr>
      <w:tr w:rsidR="00B6319C" w:rsidRPr="00025B9E" w:rsidTr="00CD371C">
        <w:trPr>
          <w:trHeight w:val="315"/>
        </w:trPr>
        <w:tc>
          <w:tcPr>
            <w:tcW w:w="10400" w:type="dxa"/>
            <w:gridSpan w:val="7"/>
            <w:tcBorders>
              <w:top w:val="single" w:sz="8" w:space="0" w:color="auto"/>
              <w:left w:val="single" w:sz="4" w:space="0" w:color="auto"/>
              <w:bottom w:val="nil"/>
              <w:right w:val="single" w:sz="4" w:space="0" w:color="000000"/>
            </w:tcBorders>
            <w:shd w:val="clear" w:color="auto" w:fill="auto"/>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Maavalitsused</w:t>
            </w:r>
          </w:p>
        </w:tc>
      </w:tr>
      <w:tr w:rsidR="00B6319C" w:rsidRPr="00025B9E" w:rsidTr="00CD371C">
        <w:trPr>
          <w:trHeight w:val="315"/>
        </w:trPr>
        <w:tc>
          <w:tcPr>
            <w:tcW w:w="244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Harju Maavalitsus </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4 841,37</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608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4 641,42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557</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4 379,56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485</w:t>
            </w:r>
          </w:p>
        </w:tc>
      </w:tr>
      <w:tr w:rsidR="00B6319C" w:rsidRPr="00025B9E" w:rsidTr="00CD371C">
        <w:trPr>
          <w:trHeight w:val="300"/>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Hiiu Maavalitsus </w:t>
            </w:r>
          </w:p>
        </w:tc>
        <w:tc>
          <w:tcPr>
            <w:tcW w:w="160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1 874,28</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291</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1 510,88</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240</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1 346,96</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210</w:t>
            </w:r>
          </w:p>
        </w:tc>
      </w:tr>
      <w:tr w:rsidR="00B6319C" w:rsidRPr="00025B9E" w:rsidTr="00CD371C">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Ida-Viru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7 620,49</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1 719</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7 482,17</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1 711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7 310,94</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1 473</w:t>
            </w:r>
          </w:p>
        </w:tc>
      </w:tr>
      <w:tr w:rsidR="00B6319C" w:rsidRPr="00025B9E" w:rsidTr="00CD371C">
        <w:trPr>
          <w:trHeight w:val="300"/>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Jõgeva Maavalitsus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6 471,42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600</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5 621,05</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491</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5 452,26</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467</w:t>
            </w:r>
          </w:p>
        </w:tc>
      </w:tr>
      <w:tr w:rsidR="00B6319C" w:rsidRPr="00025B9E" w:rsidTr="00CD371C">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Järva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8 336,93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645</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5 920,30</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488</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4 599,36</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380</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Lääne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6 219,57</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538</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5 201,94</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485</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4 812,15</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437</w:t>
            </w:r>
          </w:p>
        </w:tc>
      </w:tr>
      <w:tr w:rsidR="00B6319C" w:rsidRPr="00025B9E" w:rsidTr="00CD371C">
        <w:trPr>
          <w:trHeight w:val="315"/>
        </w:trPr>
        <w:tc>
          <w:tcPr>
            <w:tcW w:w="2440" w:type="dxa"/>
            <w:tcBorders>
              <w:top w:val="nil"/>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Lääne-Viru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8 443,89</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692</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7 798,83</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663</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7 586,72</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646</w:t>
            </w:r>
          </w:p>
        </w:tc>
      </w:tr>
      <w:tr w:rsidR="00B6319C" w:rsidRPr="00025B9E" w:rsidTr="00CD371C">
        <w:trPr>
          <w:trHeight w:val="300"/>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Põlva Maavalitsus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1 851,23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309</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1 554,50</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246</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1 016,75</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176</w:t>
            </w:r>
          </w:p>
        </w:tc>
      </w:tr>
      <w:tr w:rsidR="00B6319C" w:rsidRPr="00025B9E" w:rsidTr="00CD371C">
        <w:trPr>
          <w:trHeight w:val="315"/>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Pärnu Maavalitsus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5 863,07</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421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5 229,26</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384</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4 751,49</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334</w:t>
            </w:r>
          </w:p>
        </w:tc>
      </w:tr>
      <w:tr w:rsidR="00B6319C" w:rsidRPr="00025B9E" w:rsidTr="00CD371C">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Rapla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5 249,11</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537</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4 974,26</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499</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4 740,72</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495</w:t>
            </w:r>
          </w:p>
        </w:tc>
      </w:tr>
      <w:tr w:rsidR="00B6319C" w:rsidRPr="00025B9E" w:rsidTr="00CD371C">
        <w:trPr>
          <w:trHeight w:val="315"/>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Saare Maavalitsus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7 112,63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911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6 853,40</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876</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6 836,94</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852</w:t>
            </w:r>
          </w:p>
        </w:tc>
      </w:tr>
      <w:tr w:rsidR="00B6319C" w:rsidRPr="00025B9E" w:rsidTr="00CD371C">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Tartu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2 811,38</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358</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2 830,18</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374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2 614,79</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309</w:t>
            </w:r>
          </w:p>
        </w:tc>
      </w:tr>
      <w:tr w:rsidR="00B6319C" w:rsidRPr="00025B9E" w:rsidTr="00CD371C">
        <w:trPr>
          <w:trHeight w:val="315"/>
        </w:trPr>
        <w:tc>
          <w:tcPr>
            <w:tcW w:w="2440" w:type="dxa"/>
            <w:tcBorders>
              <w:top w:val="nil"/>
              <w:left w:val="single" w:sz="4" w:space="0" w:color="auto"/>
              <w:bottom w:val="nil"/>
              <w:right w:val="nil"/>
            </w:tcBorders>
            <w:shd w:val="clear" w:color="auto" w:fill="auto"/>
            <w:noWrap/>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Valga Maavalitsus </w:t>
            </w:r>
          </w:p>
        </w:tc>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1 956,72</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181</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1 879,42</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163</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1 684,48</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143</w:t>
            </w:r>
          </w:p>
        </w:tc>
      </w:tr>
      <w:tr w:rsidR="00B6319C" w:rsidRPr="00025B9E" w:rsidTr="00CD371C">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Viljandi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4 941,83</w:t>
            </w:r>
          </w:p>
        </w:tc>
        <w:tc>
          <w:tcPr>
            <w:tcW w:w="108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491</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4 353,17</w:t>
            </w:r>
          </w:p>
        </w:tc>
        <w:tc>
          <w:tcPr>
            <w:tcW w:w="102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434</w:t>
            </w:r>
          </w:p>
        </w:tc>
        <w:tc>
          <w:tcPr>
            <w:tcW w:w="160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3 822,87</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367</w:t>
            </w:r>
          </w:p>
        </w:tc>
      </w:tr>
      <w:tr w:rsidR="00B6319C" w:rsidRPr="00025B9E" w:rsidTr="00CD371C">
        <w:trPr>
          <w:trHeight w:val="315"/>
        </w:trPr>
        <w:tc>
          <w:tcPr>
            <w:tcW w:w="2440" w:type="dxa"/>
            <w:tcBorders>
              <w:top w:val="nil"/>
              <w:left w:val="single" w:sz="4" w:space="0" w:color="auto"/>
              <w:bottom w:val="single" w:sz="8" w:space="0" w:color="auto"/>
              <w:right w:val="single" w:sz="4" w:space="0" w:color="auto"/>
            </w:tcBorders>
            <w:shd w:val="clear" w:color="auto" w:fill="auto"/>
            <w:vAlign w:val="bottom"/>
            <w:hideMark/>
          </w:tcPr>
          <w:p w:rsidR="00B6319C" w:rsidRPr="00025B9E" w:rsidRDefault="00B6319C" w:rsidP="00025B9E">
            <w:pPr>
              <w:spacing w:before="0"/>
              <w:jc w:val="left"/>
              <w:rPr>
                <w:color w:val="000000"/>
                <w:sz w:val="18"/>
                <w:szCs w:val="18"/>
                <w:lang w:eastAsia="et-EE"/>
              </w:rPr>
            </w:pPr>
            <w:r w:rsidRPr="00025B9E">
              <w:rPr>
                <w:color w:val="000000"/>
                <w:sz w:val="18"/>
                <w:szCs w:val="18"/>
                <w:lang w:eastAsia="et-EE"/>
              </w:rPr>
              <w:t xml:space="preserve"> Võru Maavalitsus </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2 649,71</w:t>
            </w:r>
          </w:p>
        </w:tc>
        <w:tc>
          <w:tcPr>
            <w:tcW w:w="1080" w:type="dxa"/>
            <w:tcBorders>
              <w:top w:val="nil"/>
              <w:left w:val="nil"/>
              <w:bottom w:val="single" w:sz="8"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242</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2 442,79</w:t>
            </w:r>
          </w:p>
        </w:tc>
        <w:tc>
          <w:tcPr>
            <w:tcW w:w="102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216</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2 227,89</w:t>
            </w:r>
          </w:p>
        </w:tc>
        <w:tc>
          <w:tcPr>
            <w:tcW w:w="106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center"/>
              <w:rPr>
                <w:color w:val="000000"/>
                <w:sz w:val="18"/>
                <w:szCs w:val="18"/>
                <w:lang w:eastAsia="et-EE"/>
              </w:rPr>
            </w:pPr>
            <w:r w:rsidRPr="00025B9E">
              <w:rPr>
                <w:color w:val="000000"/>
                <w:sz w:val="18"/>
                <w:szCs w:val="18"/>
                <w:lang w:eastAsia="et-EE"/>
              </w:rPr>
              <w:t>183</w:t>
            </w:r>
          </w:p>
        </w:tc>
      </w:tr>
      <w:tr w:rsidR="00B6319C" w:rsidRPr="00025B9E" w:rsidTr="00CD371C">
        <w:trPr>
          <w:trHeight w:val="300"/>
        </w:trPr>
        <w:tc>
          <w:tcPr>
            <w:tcW w:w="2440" w:type="dxa"/>
            <w:tcBorders>
              <w:top w:val="nil"/>
              <w:left w:val="single" w:sz="4" w:space="0" w:color="auto"/>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left"/>
              <w:rPr>
                <w:b/>
                <w:bCs/>
                <w:color w:val="000000"/>
                <w:sz w:val="18"/>
                <w:szCs w:val="18"/>
                <w:lang w:eastAsia="et-EE"/>
              </w:rPr>
            </w:pPr>
            <w:r w:rsidRPr="00025B9E">
              <w:rPr>
                <w:b/>
                <w:bCs/>
                <w:color w:val="000000"/>
                <w:sz w:val="18"/>
                <w:szCs w:val="18"/>
                <w:lang w:eastAsia="et-EE"/>
              </w:rPr>
              <w:t xml:space="preserve"> Kokku </w:t>
            </w:r>
          </w:p>
        </w:tc>
        <w:tc>
          <w:tcPr>
            <w:tcW w:w="16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1 505 945,56</w:t>
            </w:r>
          </w:p>
        </w:tc>
        <w:tc>
          <w:tcPr>
            <w:tcW w:w="108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41 904</w:t>
            </w:r>
          </w:p>
        </w:tc>
        <w:tc>
          <w:tcPr>
            <w:tcW w:w="16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1 565 490,26</w:t>
            </w:r>
          </w:p>
        </w:tc>
        <w:tc>
          <w:tcPr>
            <w:tcW w:w="102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44 492</w:t>
            </w:r>
          </w:p>
        </w:tc>
        <w:tc>
          <w:tcPr>
            <w:tcW w:w="160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bookmarkStart w:id="476" w:name="OLE_LINK1"/>
            <w:r w:rsidRPr="00025B9E">
              <w:rPr>
                <w:b/>
                <w:bCs/>
                <w:color w:val="000000"/>
                <w:sz w:val="18"/>
                <w:szCs w:val="18"/>
                <w:lang w:eastAsia="et-EE"/>
              </w:rPr>
              <w:t>1 608 691,88</w:t>
            </w:r>
            <w:bookmarkEnd w:id="476"/>
          </w:p>
        </w:tc>
        <w:tc>
          <w:tcPr>
            <w:tcW w:w="1060" w:type="dxa"/>
            <w:tcBorders>
              <w:top w:val="nil"/>
              <w:left w:val="nil"/>
              <w:bottom w:val="single" w:sz="4" w:space="0" w:color="auto"/>
              <w:right w:val="single" w:sz="4" w:space="0" w:color="auto"/>
            </w:tcBorders>
            <w:shd w:val="clear" w:color="DBE5F1" w:fill="DBE5F1"/>
            <w:noWrap/>
            <w:vAlign w:val="bottom"/>
            <w:hideMark/>
          </w:tcPr>
          <w:p w:rsidR="00B6319C" w:rsidRPr="00025B9E" w:rsidRDefault="00B6319C" w:rsidP="00025B9E">
            <w:pPr>
              <w:spacing w:before="0"/>
              <w:jc w:val="center"/>
              <w:rPr>
                <w:b/>
                <w:bCs/>
                <w:color w:val="000000"/>
                <w:sz w:val="18"/>
                <w:szCs w:val="18"/>
                <w:lang w:eastAsia="et-EE"/>
              </w:rPr>
            </w:pPr>
            <w:r w:rsidRPr="00025B9E">
              <w:rPr>
                <w:b/>
                <w:bCs/>
                <w:color w:val="000000"/>
                <w:sz w:val="18"/>
                <w:szCs w:val="18"/>
                <w:lang w:eastAsia="et-EE"/>
              </w:rPr>
              <w:t>47 207</w:t>
            </w:r>
          </w:p>
        </w:tc>
      </w:tr>
    </w:tbl>
    <w:p w:rsidR="007E624D" w:rsidRDefault="007E624D" w:rsidP="00B6319C">
      <w:pPr>
        <w:pStyle w:val="Caption"/>
      </w:pPr>
      <w:bookmarkStart w:id="477" w:name="_Ref411936982"/>
    </w:p>
    <w:p w:rsidR="007E624D" w:rsidRDefault="007E624D">
      <w:pPr>
        <w:spacing w:before="0"/>
        <w:jc w:val="left"/>
        <w:rPr>
          <w:rFonts w:eastAsia="Times New Roman" w:cs="Calibri"/>
          <w:b/>
          <w:bCs/>
          <w:color w:val="0070C0"/>
          <w:sz w:val="18"/>
          <w:szCs w:val="18"/>
        </w:rPr>
        <w:sectPr w:rsidR="007E624D" w:rsidSect="00CD371C">
          <w:footerReference w:type="first" r:id="rId77"/>
          <w:pgSz w:w="16838" w:h="11906" w:orient="landscape"/>
          <w:pgMar w:top="1417" w:right="1417" w:bottom="1417" w:left="1417" w:header="708" w:footer="708" w:gutter="0"/>
          <w:cols w:space="708"/>
          <w:docGrid w:linePitch="360"/>
        </w:sectPr>
      </w:pPr>
    </w:p>
    <w:p w:rsidR="00B6319C" w:rsidRDefault="00B6319C" w:rsidP="00B6319C">
      <w:pPr>
        <w:pStyle w:val="Caption"/>
      </w:pPr>
      <w:r>
        <w:t xml:space="preserve">Tabel </w:t>
      </w:r>
      <w:fldSimple w:instr=" SEQ Tabel \* ARABIC ">
        <w:r w:rsidR="00477322">
          <w:rPr>
            <w:noProof/>
          </w:rPr>
          <w:t>4</w:t>
        </w:r>
      </w:fldSimple>
      <w:bookmarkEnd w:id="477"/>
      <w:r>
        <w:t>. Riigi omandis olevate maade sihtotstarbeline jaotus</w:t>
      </w:r>
    </w:p>
    <w:tbl>
      <w:tblPr>
        <w:tblW w:w="4309" w:type="dxa"/>
        <w:tblInd w:w="55" w:type="dxa"/>
        <w:tblCellMar>
          <w:left w:w="70" w:type="dxa"/>
          <w:right w:w="70" w:type="dxa"/>
        </w:tblCellMar>
        <w:tblLook w:val="04A0"/>
      </w:tblPr>
      <w:tblGrid>
        <w:gridCol w:w="2709"/>
        <w:gridCol w:w="1600"/>
      </w:tblGrid>
      <w:tr w:rsidR="00B6319C" w:rsidRPr="00025B9E" w:rsidTr="00025B9E">
        <w:trPr>
          <w:trHeight w:hRule="exact" w:val="34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left"/>
              <w:rPr>
                <w:b/>
                <w:color w:val="000000"/>
                <w:sz w:val="18"/>
                <w:szCs w:val="18"/>
                <w:lang w:eastAsia="et-EE"/>
              </w:rPr>
            </w:pPr>
            <w:r w:rsidRPr="00025B9E">
              <w:rPr>
                <w:b/>
                <w:color w:val="000000"/>
                <w:sz w:val="18"/>
                <w:szCs w:val="18"/>
                <w:lang w:eastAsia="et-EE"/>
              </w:rPr>
              <w:t>Maakasutuse sihtotstarve</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B6319C" w:rsidRPr="00025B9E" w:rsidRDefault="00B6319C" w:rsidP="00025B9E">
            <w:pPr>
              <w:spacing w:before="0"/>
              <w:jc w:val="left"/>
              <w:rPr>
                <w:b/>
                <w:color w:val="000000"/>
                <w:sz w:val="18"/>
                <w:szCs w:val="18"/>
                <w:lang w:eastAsia="et-EE"/>
              </w:rPr>
            </w:pPr>
            <w:r w:rsidRPr="00025B9E">
              <w:rPr>
                <w:b/>
                <w:color w:val="000000"/>
                <w:sz w:val="18"/>
                <w:szCs w:val="18"/>
                <w:lang w:eastAsia="et-EE"/>
              </w:rPr>
              <w:t>Omandis (KV)</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Elamumaa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1 100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Ärimaa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350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Tootmismaa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2 050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Veekogude 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4 600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Transpordimaa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37 000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Jäätmehoidla 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3 100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Riigikaitsemaa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16 700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Kaitsealune 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183 650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Maatulundusmaa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1 318 200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Sihtotstarbeta 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1 300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Mäetööstusmaa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13 700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Turbatööstusmaa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25 650</w:t>
            </w:r>
          </w:p>
        </w:tc>
      </w:tr>
      <w:tr w:rsidR="00A576E5" w:rsidRPr="00025B9E" w:rsidTr="00A576E5">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A576E5" w:rsidRPr="00025B9E" w:rsidRDefault="00A576E5" w:rsidP="00025B9E">
            <w:pPr>
              <w:spacing w:before="0"/>
              <w:jc w:val="left"/>
              <w:rPr>
                <w:color w:val="000000"/>
                <w:sz w:val="18"/>
                <w:szCs w:val="18"/>
                <w:lang w:eastAsia="et-EE"/>
              </w:rPr>
            </w:pPr>
            <w:r w:rsidRPr="00025B9E">
              <w:rPr>
                <w:color w:val="000000"/>
                <w:sz w:val="18"/>
                <w:szCs w:val="18"/>
                <w:lang w:eastAsia="et-EE"/>
              </w:rPr>
              <w:t>Sotsiaalmaa</w:t>
            </w:r>
          </w:p>
        </w:tc>
        <w:tc>
          <w:tcPr>
            <w:tcW w:w="1600" w:type="dxa"/>
            <w:tcBorders>
              <w:top w:val="nil"/>
              <w:left w:val="nil"/>
              <w:bottom w:val="single" w:sz="4" w:space="0" w:color="auto"/>
              <w:right w:val="single" w:sz="4" w:space="0" w:color="auto"/>
            </w:tcBorders>
            <w:shd w:val="clear" w:color="auto" w:fill="auto"/>
            <w:noWrap/>
            <w:vAlign w:val="bottom"/>
            <w:hideMark/>
          </w:tcPr>
          <w:p w:rsidR="00A576E5" w:rsidRDefault="00A576E5" w:rsidP="00A576E5">
            <w:pPr>
              <w:spacing w:before="0"/>
              <w:jc w:val="center"/>
              <w:rPr>
                <w:rFonts w:ascii="Calibri" w:hAnsi="Calibri"/>
                <w:color w:val="000000"/>
              </w:rPr>
            </w:pPr>
            <w:r>
              <w:rPr>
                <w:rFonts w:ascii="Calibri" w:hAnsi="Calibri"/>
                <w:color w:val="000000"/>
              </w:rPr>
              <w:t>1 300</w:t>
            </w:r>
          </w:p>
        </w:tc>
      </w:tr>
      <w:tr w:rsidR="00B6319C" w:rsidRPr="00025B9E" w:rsidTr="00747999">
        <w:trPr>
          <w:trHeight w:hRule="exact" w:val="340"/>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B6319C" w:rsidRPr="00025B9E" w:rsidRDefault="00B6319C" w:rsidP="00025B9E">
            <w:pPr>
              <w:spacing w:before="0"/>
              <w:jc w:val="left"/>
              <w:rPr>
                <w:b/>
                <w:color w:val="000000"/>
                <w:sz w:val="18"/>
                <w:szCs w:val="18"/>
                <w:lang w:eastAsia="et-EE"/>
              </w:rPr>
            </w:pPr>
            <w:r w:rsidRPr="00025B9E">
              <w:rPr>
                <w:b/>
                <w:color w:val="000000"/>
                <w:sz w:val="18"/>
                <w:szCs w:val="18"/>
                <w:lang w:eastAsia="et-EE"/>
              </w:rPr>
              <w:t>Kokku</w:t>
            </w:r>
          </w:p>
        </w:tc>
        <w:tc>
          <w:tcPr>
            <w:tcW w:w="1600" w:type="dxa"/>
            <w:tcBorders>
              <w:top w:val="nil"/>
              <w:left w:val="nil"/>
              <w:bottom w:val="single" w:sz="4" w:space="0" w:color="auto"/>
              <w:right w:val="single" w:sz="4" w:space="0" w:color="auto"/>
            </w:tcBorders>
            <w:shd w:val="clear" w:color="auto" w:fill="auto"/>
            <w:noWrap/>
            <w:vAlign w:val="bottom"/>
            <w:hideMark/>
          </w:tcPr>
          <w:p w:rsidR="00B6319C" w:rsidRPr="00025B9E" w:rsidRDefault="00B6319C" w:rsidP="00747999">
            <w:pPr>
              <w:spacing w:before="0"/>
              <w:jc w:val="center"/>
              <w:rPr>
                <w:b/>
                <w:color w:val="000000"/>
                <w:sz w:val="18"/>
                <w:szCs w:val="18"/>
                <w:lang w:eastAsia="et-EE"/>
              </w:rPr>
            </w:pPr>
            <w:r w:rsidRPr="00025B9E">
              <w:rPr>
                <w:b/>
                <w:color w:val="000000"/>
                <w:sz w:val="18"/>
                <w:szCs w:val="18"/>
                <w:lang w:eastAsia="et-EE"/>
              </w:rPr>
              <w:t>1 608 </w:t>
            </w:r>
            <w:r w:rsidR="00747999">
              <w:rPr>
                <w:b/>
                <w:color w:val="000000"/>
                <w:sz w:val="18"/>
                <w:szCs w:val="18"/>
                <w:lang w:eastAsia="et-EE"/>
              </w:rPr>
              <w:t>700</w:t>
            </w:r>
          </w:p>
        </w:tc>
      </w:tr>
    </w:tbl>
    <w:p w:rsidR="00B6319C" w:rsidRDefault="00B6319C" w:rsidP="00B6319C">
      <w:pPr>
        <w:pStyle w:val="Caption"/>
      </w:pPr>
    </w:p>
    <w:p w:rsidR="007E624D" w:rsidRDefault="007E624D">
      <w:pPr>
        <w:spacing w:before="0"/>
        <w:jc w:val="left"/>
        <w:rPr>
          <w:rFonts w:eastAsia="Times New Roman" w:cs="Calibri"/>
          <w:b/>
          <w:bCs/>
          <w:color w:val="0070C0"/>
          <w:sz w:val="18"/>
          <w:szCs w:val="18"/>
        </w:rPr>
        <w:sectPr w:rsidR="007E624D" w:rsidSect="007E624D">
          <w:pgSz w:w="11906" w:h="16838"/>
          <w:pgMar w:top="1417" w:right="1417" w:bottom="1417" w:left="1417" w:header="708" w:footer="708" w:gutter="0"/>
          <w:cols w:space="708"/>
          <w:docGrid w:linePitch="360"/>
        </w:sectPr>
      </w:pPr>
    </w:p>
    <w:p w:rsidR="00B6319C" w:rsidRDefault="00B6319C" w:rsidP="00B6319C">
      <w:pPr>
        <w:pStyle w:val="Caption"/>
      </w:pPr>
      <w:bookmarkStart w:id="478" w:name="_Ref411854292"/>
      <w:r>
        <w:t xml:space="preserve">Tabel </w:t>
      </w:r>
      <w:fldSimple w:instr=" SEQ Tabel \* ARABIC ">
        <w:r w:rsidR="00477322">
          <w:rPr>
            <w:noProof/>
          </w:rPr>
          <w:t>5</w:t>
        </w:r>
      </w:fldSimple>
      <w:bookmarkEnd w:id="478"/>
      <w:r>
        <w:t>.</w:t>
      </w:r>
      <w:r w:rsidRPr="005F13CD">
        <w:t>Riigivara omandamine valitsejate lõikes 2013-2014</w:t>
      </w:r>
      <w:r w:rsidR="00575929">
        <w:t xml:space="preserve"> (k.a kinnistute jagamise</w:t>
      </w:r>
      <w:r w:rsidR="00AA67C7">
        <w:t xml:space="preserve"> ja andmete parandamise teel arvele võetud varad</w:t>
      </w:r>
      <w:r w:rsidR="00575929">
        <w:t>)</w:t>
      </w:r>
    </w:p>
    <w:tbl>
      <w:tblPr>
        <w:tblW w:w="10540" w:type="dxa"/>
        <w:tblInd w:w="65" w:type="dxa"/>
        <w:tblCellMar>
          <w:left w:w="70" w:type="dxa"/>
          <w:right w:w="70" w:type="dxa"/>
        </w:tblCellMar>
        <w:tblLook w:val="04A0"/>
      </w:tblPr>
      <w:tblGrid>
        <w:gridCol w:w="2740"/>
        <w:gridCol w:w="962"/>
        <w:gridCol w:w="958"/>
        <w:gridCol w:w="1150"/>
        <w:gridCol w:w="1190"/>
        <w:gridCol w:w="796"/>
        <w:gridCol w:w="804"/>
        <w:gridCol w:w="935"/>
        <w:gridCol w:w="1005"/>
      </w:tblGrid>
      <w:tr w:rsidR="00B6319C" w:rsidRPr="007E624D" w:rsidTr="00CD371C">
        <w:trPr>
          <w:trHeight w:val="264"/>
        </w:trPr>
        <w:tc>
          <w:tcPr>
            <w:tcW w:w="2740" w:type="dxa"/>
            <w:vMerge w:val="restart"/>
            <w:tcBorders>
              <w:top w:val="single" w:sz="4" w:space="0" w:color="auto"/>
              <w:left w:val="single" w:sz="4" w:space="0" w:color="auto"/>
              <w:bottom w:val="nil"/>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Riigivara valitseja</w:t>
            </w:r>
          </w:p>
        </w:tc>
        <w:tc>
          <w:tcPr>
            <w:tcW w:w="1920" w:type="dxa"/>
            <w:gridSpan w:val="2"/>
            <w:tcBorders>
              <w:top w:val="single" w:sz="4" w:space="0" w:color="auto"/>
              <w:left w:val="nil"/>
              <w:bottom w:val="single" w:sz="4" w:space="0" w:color="auto"/>
              <w:right w:val="single" w:sz="4" w:space="0" w:color="000000"/>
            </w:tcBorders>
            <w:shd w:val="clear" w:color="000000" w:fill="DBEEF3"/>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Kinnistute arv</w:t>
            </w:r>
          </w:p>
        </w:tc>
        <w:tc>
          <w:tcPr>
            <w:tcW w:w="234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Kinnistute pindala (ha)</w:t>
            </w:r>
          </w:p>
        </w:tc>
        <w:tc>
          <w:tcPr>
            <w:tcW w:w="160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Hoonete arv</w:t>
            </w:r>
          </w:p>
        </w:tc>
        <w:tc>
          <w:tcPr>
            <w:tcW w:w="194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Hoonete pind (m²)</w:t>
            </w:r>
          </w:p>
        </w:tc>
      </w:tr>
      <w:tr w:rsidR="00B6319C" w:rsidRPr="007E624D" w:rsidTr="00CD371C">
        <w:trPr>
          <w:trHeight w:val="276"/>
        </w:trPr>
        <w:tc>
          <w:tcPr>
            <w:tcW w:w="2740" w:type="dxa"/>
            <w:vMerge/>
            <w:tcBorders>
              <w:top w:val="single" w:sz="4" w:space="0" w:color="auto"/>
              <w:left w:val="single" w:sz="4" w:space="0" w:color="auto"/>
              <w:bottom w:val="nil"/>
              <w:right w:val="single" w:sz="4" w:space="0" w:color="auto"/>
            </w:tcBorders>
            <w:vAlign w:val="center"/>
            <w:hideMark/>
          </w:tcPr>
          <w:p w:rsidR="00B6319C" w:rsidRPr="007E624D" w:rsidRDefault="00B6319C" w:rsidP="007E624D">
            <w:pPr>
              <w:spacing w:before="0"/>
              <w:jc w:val="left"/>
              <w:rPr>
                <w:rFonts w:cs="Arial"/>
                <w:b/>
                <w:bCs/>
                <w:color w:val="000000"/>
                <w:sz w:val="18"/>
                <w:szCs w:val="18"/>
                <w:lang w:eastAsia="et-EE"/>
              </w:rPr>
            </w:pPr>
          </w:p>
        </w:tc>
        <w:tc>
          <w:tcPr>
            <w:tcW w:w="962"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958"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1150"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190"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796"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804"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935"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005" w:type="dxa"/>
            <w:tcBorders>
              <w:top w:val="nil"/>
              <w:left w:val="nil"/>
              <w:bottom w:val="nil"/>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r>
      <w:tr w:rsidR="00B6319C" w:rsidRPr="007E624D" w:rsidTr="00CD371C">
        <w:trPr>
          <w:trHeight w:val="288"/>
        </w:trPr>
        <w:tc>
          <w:tcPr>
            <w:tcW w:w="2740" w:type="dxa"/>
            <w:tcBorders>
              <w:top w:val="single" w:sz="8" w:space="0" w:color="auto"/>
              <w:left w:val="single" w:sz="8" w:space="0" w:color="auto"/>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Ministeeriumid</w:t>
            </w:r>
          </w:p>
        </w:tc>
        <w:tc>
          <w:tcPr>
            <w:tcW w:w="962"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958"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1150"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1190"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796"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804"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935" w:type="dxa"/>
            <w:tcBorders>
              <w:top w:val="single" w:sz="8" w:space="0" w:color="auto"/>
              <w:left w:val="nil"/>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c>
          <w:tcPr>
            <w:tcW w:w="1005" w:type="dxa"/>
            <w:tcBorders>
              <w:top w:val="single" w:sz="8" w:space="0" w:color="auto"/>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w:t>
            </w: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Haridus- ja Teadusministeerium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22,21</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18,05</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410</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Justiitsministeerium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0,27</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Kaitseministeerium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278,18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2208,47</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124</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4 249</w:t>
            </w: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Keskkonnaministeerium</w:t>
            </w:r>
            <w:r w:rsidR="00F96800">
              <w:rPr>
                <w:rFonts w:cs="Arial"/>
                <w:sz w:val="18"/>
                <w:szCs w:val="18"/>
                <w:lang w:eastAsia="et-EE"/>
              </w:rPr>
              <w:t xml:space="preserve"> </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1851</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2008</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14834,88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12750,923</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559</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323,2</w:t>
            </w: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Kultuuriministeerium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7,98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0,00</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7 635</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CD371C">
        <w:trPr>
          <w:trHeight w:val="276"/>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Majandus- ja Kommunikatsiooni-ministeerium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507</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401</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520,08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401,48</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455</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4 024</w:t>
            </w: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E34436" w:rsidP="007E624D">
            <w:pPr>
              <w:spacing w:before="0"/>
              <w:jc w:val="left"/>
              <w:rPr>
                <w:rFonts w:cs="Arial"/>
                <w:sz w:val="18"/>
                <w:szCs w:val="18"/>
                <w:lang w:eastAsia="et-EE"/>
              </w:rPr>
            </w:pPr>
            <w:r>
              <w:rPr>
                <w:rFonts w:cs="Arial"/>
                <w:sz w:val="18"/>
                <w:szCs w:val="18"/>
                <w:lang w:eastAsia="et-EE"/>
              </w:rPr>
              <w:t>Põllumajandus</w:t>
            </w:r>
            <w:r w:rsidR="00B6319C" w:rsidRPr="007E624D">
              <w:rPr>
                <w:rFonts w:cs="Arial"/>
                <w:sz w:val="18"/>
                <w:szCs w:val="18"/>
                <w:lang w:eastAsia="et-EE"/>
              </w:rPr>
              <w:t>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17,20</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4,21</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1 511</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3 702</w:t>
            </w:r>
          </w:p>
        </w:tc>
      </w:tr>
      <w:tr w:rsidR="00B6319C" w:rsidRPr="007E624D" w:rsidTr="007E624D">
        <w:trPr>
          <w:trHeight w:hRule="exact" w:val="340"/>
        </w:trPr>
        <w:tc>
          <w:tcPr>
            <w:tcW w:w="2740" w:type="dxa"/>
            <w:tcBorders>
              <w:top w:val="nil"/>
              <w:left w:val="single" w:sz="8"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Siseministeerium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24</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6,91</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40,24</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17</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1 476</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15 186</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Välisministeerium</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270</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6 163</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000000" w:fill="DBEEF3"/>
            <w:vAlign w:val="bottom"/>
            <w:hideMark/>
          </w:tcPr>
          <w:p w:rsidR="00B6319C" w:rsidRPr="007E624D" w:rsidRDefault="00B6319C" w:rsidP="007E624D">
            <w:pPr>
              <w:spacing w:before="0"/>
              <w:jc w:val="left"/>
              <w:rPr>
                <w:rFonts w:cs="Arial"/>
                <w:b/>
                <w:bCs/>
                <w:sz w:val="18"/>
                <w:szCs w:val="18"/>
                <w:lang w:eastAsia="et-EE"/>
              </w:rPr>
            </w:pPr>
            <w:r w:rsidRPr="007E624D">
              <w:rPr>
                <w:rFonts w:cs="Arial"/>
                <w:b/>
                <w:bCs/>
                <w:sz w:val="18"/>
                <w:szCs w:val="18"/>
                <w:lang w:eastAsia="et-EE"/>
              </w:rPr>
              <w:t>RMK</w:t>
            </w:r>
          </w:p>
        </w:tc>
        <w:tc>
          <w:tcPr>
            <w:tcW w:w="962"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2065</w:t>
            </w:r>
          </w:p>
        </w:tc>
        <w:tc>
          <w:tcPr>
            <w:tcW w:w="958"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1827</w:t>
            </w:r>
          </w:p>
        </w:tc>
        <w:tc>
          <w:tcPr>
            <w:tcW w:w="1150"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60724,37</w:t>
            </w:r>
          </w:p>
        </w:tc>
        <w:tc>
          <w:tcPr>
            <w:tcW w:w="1190"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39067,08</w:t>
            </w:r>
          </w:p>
        </w:tc>
        <w:tc>
          <w:tcPr>
            <w:tcW w:w="796"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34</w:t>
            </w:r>
          </w:p>
        </w:tc>
        <w:tc>
          <w:tcPr>
            <w:tcW w:w="80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935"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3350</w:t>
            </w:r>
          </w:p>
        </w:tc>
        <w:tc>
          <w:tcPr>
            <w:tcW w:w="1005"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1383</w:t>
            </w:r>
          </w:p>
        </w:tc>
      </w:tr>
      <w:tr w:rsidR="00B6319C" w:rsidRPr="007E624D" w:rsidTr="007E624D">
        <w:trPr>
          <w:trHeight w:hRule="exact" w:val="340"/>
        </w:trPr>
        <w:tc>
          <w:tcPr>
            <w:tcW w:w="2740" w:type="dxa"/>
            <w:tcBorders>
              <w:top w:val="nil"/>
              <w:left w:val="single" w:sz="8" w:space="0" w:color="auto"/>
              <w:bottom w:val="single" w:sz="8" w:space="0" w:color="auto"/>
              <w:right w:val="single" w:sz="4" w:space="0" w:color="auto"/>
            </w:tcBorders>
            <w:shd w:val="clear" w:color="000000" w:fill="DBEEF3"/>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Maavalitsused</w:t>
            </w:r>
          </w:p>
        </w:tc>
        <w:tc>
          <w:tcPr>
            <w:tcW w:w="962"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958"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50"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90"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796"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Harju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32</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83,41</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95,85</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Hiiu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10,25</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2,04</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Ida-Viru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34</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95,80</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178,99</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29</w:t>
            </w: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34</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Jõgeva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105,05</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151,20</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Järva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27,08</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46,79</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2827C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Lääne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176,79</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140,69</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2827CD">
        <w:trPr>
          <w:trHeight w:hRule="exact" w:val="34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Lääne-Viru Maavalitsus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47</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76,49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390,92</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127</w:t>
            </w:r>
          </w:p>
        </w:tc>
      </w:tr>
      <w:tr w:rsidR="00B6319C" w:rsidRPr="007E624D" w:rsidTr="002827CD">
        <w:trPr>
          <w:trHeight w:hRule="exact" w:val="34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Põlva Maavalitsus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3,32</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0,00</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2827CD">
        <w:trPr>
          <w:trHeight w:hRule="exact" w:val="34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Pärnu Maavalitsus</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w:t>
            </w:r>
          </w:p>
        </w:tc>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57,65</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2827CD">
        <w:trPr>
          <w:trHeight w:hRule="exact" w:val="340"/>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Rapla Maavalitsus</w:t>
            </w:r>
          </w:p>
        </w:tc>
        <w:tc>
          <w:tcPr>
            <w:tcW w:w="962"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17</w:t>
            </w:r>
          </w:p>
        </w:tc>
        <w:tc>
          <w:tcPr>
            <w:tcW w:w="958"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22</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140,19</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138,47</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Saare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35,67</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64,30</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Tartu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25</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180,26</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65,97</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Valga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72,95</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24,33</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Viljandi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40,51</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113,11</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215</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Võru Maavalitsus</w:t>
            </w:r>
          </w:p>
        </w:tc>
        <w:tc>
          <w:tcPr>
            <w:tcW w:w="962"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958"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11</w:t>
            </w:r>
          </w:p>
        </w:tc>
        <w:tc>
          <w:tcPr>
            <w:tcW w:w="115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157,70</w:t>
            </w:r>
          </w:p>
        </w:tc>
        <w:tc>
          <w:tcPr>
            <w:tcW w:w="1190"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102,24</w:t>
            </w:r>
          </w:p>
        </w:tc>
        <w:tc>
          <w:tcPr>
            <w:tcW w:w="79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80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93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00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77</w:t>
            </w:r>
          </w:p>
        </w:tc>
      </w:tr>
      <w:tr w:rsidR="00B6319C" w:rsidRPr="007E624D" w:rsidTr="007E624D">
        <w:trPr>
          <w:trHeight w:hRule="exact" w:val="340"/>
        </w:trPr>
        <w:tc>
          <w:tcPr>
            <w:tcW w:w="2740" w:type="dxa"/>
            <w:tcBorders>
              <w:top w:val="nil"/>
              <w:left w:val="single" w:sz="4" w:space="0" w:color="auto"/>
              <w:bottom w:val="single" w:sz="4" w:space="0" w:color="auto"/>
              <w:right w:val="single" w:sz="4" w:space="0" w:color="auto"/>
            </w:tcBorders>
            <w:shd w:val="clear" w:color="DBE5F1" w:fill="DBE5F1"/>
            <w:noWrap/>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Kokku</w:t>
            </w:r>
          </w:p>
        </w:tc>
        <w:tc>
          <w:tcPr>
            <w:tcW w:w="962" w:type="dxa"/>
            <w:tcBorders>
              <w:top w:val="nil"/>
              <w:left w:val="nil"/>
              <w:bottom w:val="single" w:sz="4" w:space="0" w:color="auto"/>
              <w:right w:val="nil"/>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4704</w:t>
            </w:r>
          </w:p>
        </w:tc>
        <w:tc>
          <w:tcPr>
            <w:tcW w:w="958"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4454</w:t>
            </w:r>
          </w:p>
        </w:tc>
        <w:tc>
          <w:tcPr>
            <w:tcW w:w="1150" w:type="dxa"/>
            <w:tcBorders>
              <w:top w:val="nil"/>
              <w:left w:val="nil"/>
              <w:bottom w:val="single" w:sz="4" w:space="0" w:color="auto"/>
              <w:right w:val="nil"/>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77678,10</w:t>
            </w:r>
          </w:p>
        </w:tc>
        <w:tc>
          <w:tcPr>
            <w:tcW w:w="1190"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56010,97</w:t>
            </w:r>
          </w:p>
        </w:tc>
        <w:tc>
          <w:tcPr>
            <w:tcW w:w="796"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69</w:t>
            </w:r>
          </w:p>
        </w:tc>
        <w:tc>
          <w:tcPr>
            <w:tcW w:w="80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72</w:t>
            </w:r>
          </w:p>
        </w:tc>
        <w:tc>
          <w:tcPr>
            <w:tcW w:w="935"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16209</w:t>
            </w:r>
          </w:p>
        </w:tc>
        <w:tc>
          <w:tcPr>
            <w:tcW w:w="1005"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35 536</w:t>
            </w:r>
          </w:p>
        </w:tc>
      </w:tr>
    </w:tbl>
    <w:p w:rsidR="00B6319C" w:rsidRPr="009F5C8A" w:rsidRDefault="00B6319C" w:rsidP="00B6319C">
      <w:pPr>
        <w:pStyle w:val="Caption"/>
      </w:pPr>
    </w:p>
    <w:p w:rsidR="00B6319C" w:rsidRDefault="00B6319C" w:rsidP="00B6319C">
      <w:pPr>
        <w:pStyle w:val="Caption"/>
      </w:pPr>
      <w:r w:rsidRPr="009F5C8A">
        <w:t xml:space="preserve">Tabel </w:t>
      </w:r>
      <w:fldSimple w:instr=" SEQ Tabel \* ARABIC ">
        <w:r w:rsidR="00477322">
          <w:rPr>
            <w:noProof/>
          </w:rPr>
          <w:t>6</w:t>
        </w:r>
      </w:fldSimple>
      <w:r w:rsidRPr="009F5C8A">
        <w:t xml:space="preserve">. Riigivara võõrandamine </w:t>
      </w:r>
      <w:r>
        <w:t xml:space="preserve"> </w:t>
      </w:r>
      <w:r w:rsidRPr="009F5C8A">
        <w:t>valitsejate lõikes 2013-2014</w:t>
      </w:r>
    </w:p>
    <w:tbl>
      <w:tblPr>
        <w:tblW w:w="14752" w:type="dxa"/>
        <w:tblInd w:w="60" w:type="dxa"/>
        <w:tblCellMar>
          <w:left w:w="70" w:type="dxa"/>
          <w:right w:w="70" w:type="dxa"/>
        </w:tblCellMar>
        <w:tblLook w:val="04A0"/>
      </w:tblPr>
      <w:tblGrid>
        <w:gridCol w:w="2845"/>
        <w:gridCol w:w="993"/>
        <w:gridCol w:w="1134"/>
        <w:gridCol w:w="1134"/>
        <w:gridCol w:w="1275"/>
        <w:gridCol w:w="1134"/>
        <w:gridCol w:w="1134"/>
        <w:gridCol w:w="1276"/>
        <w:gridCol w:w="1134"/>
        <w:gridCol w:w="1276"/>
        <w:gridCol w:w="1417"/>
      </w:tblGrid>
      <w:tr w:rsidR="007E624D" w:rsidRPr="007E624D" w:rsidTr="002827CD">
        <w:trPr>
          <w:trHeight w:val="264"/>
        </w:trPr>
        <w:tc>
          <w:tcPr>
            <w:tcW w:w="2845" w:type="dxa"/>
            <w:vMerge w:val="restart"/>
            <w:tcBorders>
              <w:top w:val="single" w:sz="8" w:space="0" w:color="auto"/>
              <w:left w:val="single" w:sz="8" w:space="0" w:color="auto"/>
              <w:bottom w:val="single" w:sz="8" w:space="0" w:color="000000"/>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Riigivara valitseja</w:t>
            </w:r>
          </w:p>
        </w:tc>
        <w:tc>
          <w:tcPr>
            <w:tcW w:w="2127" w:type="dxa"/>
            <w:gridSpan w:val="2"/>
            <w:tcBorders>
              <w:top w:val="single" w:sz="8" w:space="0" w:color="auto"/>
              <w:left w:val="nil"/>
              <w:bottom w:val="single" w:sz="4" w:space="0" w:color="auto"/>
              <w:right w:val="single" w:sz="4" w:space="0" w:color="000000"/>
            </w:tcBorders>
            <w:shd w:val="clear" w:color="000000" w:fill="DBEEF3"/>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Kinnistute arv</w:t>
            </w:r>
          </w:p>
        </w:tc>
        <w:tc>
          <w:tcPr>
            <w:tcW w:w="2409" w:type="dxa"/>
            <w:gridSpan w:val="2"/>
            <w:tcBorders>
              <w:top w:val="single" w:sz="8" w:space="0" w:color="auto"/>
              <w:left w:val="nil"/>
              <w:bottom w:val="single" w:sz="4" w:space="0" w:color="auto"/>
              <w:right w:val="single" w:sz="4"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Kinnistute pindala (ha)</w:t>
            </w:r>
          </w:p>
        </w:tc>
        <w:tc>
          <w:tcPr>
            <w:tcW w:w="2268" w:type="dxa"/>
            <w:gridSpan w:val="2"/>
            <w:tcBorders>
              <w:top w:val="single" w:sz="8" w:space="0" w:color="auto"/>
              <w:left w:val="nil"/>
              <w:bottom w:val="single" w:sz="4" w:space="0" w:color="auto"/>
              <w:right w:val="single" w:sz="4"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Hoonete arv</w:t>
            </w:r>
          </w:p>
        </w:tc>
        <w:tc>
          <w:tcPr>
            <w:tcW w:w="2410" w:type="dxa"/>
            <w:gridSpan w:val="2"/>
            <w:tcBorders>
              <w:top w:val="single" w:sz="8" w:space="0" w:color="auto"/>
              <w:left w:val="nil"/>
              <w:bottom w:val="single" w:sz="4" w:space="0" w:color="auto"/>
              <w:right w:val="single" w:sz="8"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Hoonete pind (m²)</w:t>
            </w:r>
          </w:p>
        </w:tc>
        <w:tc>
          <w:tcPr>
            <w:tcW w:w="2693" w:type="dxa"/>
            <w:gridSpan w:val="2"/>
            <w:tcBorders>
              <w:top w:val="single" w:sz="8" w:space="0" w:color="auto"/>
              <w:left w:val="single" w:sz="4" w:space="0" w:color="auto"/>
              <w:bottom w:val="single" w:sz="4" w:space="0" w:color="auto"/>
              <w:right w:val="single" w:sz="8" w:space="0" w:color="000000"/>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Tehinguväärtus</w:t>
            </w:r>
          </w:p>
        </w:tc>
      </w:tr>
      <w:tr w:rsidR="007E624D" w:rsidRPr="007E624D" w:rsidTr="002827CD">
        <w:trPr>
          <w:trHeight w:val="276"/>
        </w:trPr>
        <w:tc>
          <w:tcPr>
            <w:tcW w:w="2845" w:type="dxa"/>
            <w:vMerge/>
            <w:tcBorders>
              <w:top w:val="single" w:sz="8" w:space="0" w:color="auto"/>
              <w:left w:val="single" w:sz="8" w:space="0" w:color="auto"/>
              <w:bottom w:val="single" w:sz="8" w:space="0" w:color="000000"/>
              <w:right w:val="single" w:sz="4" w:space="0" w:color="auto"/>
            </w:tcBorders>
            <w:vAlign w:val="center"/>
            <w:hideMark/>
          </w:tcPr>
          <w:p w:rsidR="00B6319C" w:rsidRPr="007E624D" w:rsidRDefault="00B6319C" w:rsidP="007E624D">
            <w:pPr>
              <w:spacing w:before="0"/>
              <w:jc w:val="left"/>
              <w:rPr>
                <w:rFonts w:cs="Arial"/>
                <w:b/>
                <w:bCs/>
                <w:color w:val="000000"/>
                <w:sz w:val="18"/>
                <w:szCs w:val="18"/>
                <w:lang w:eastAsia="et-EE"/>
              </w:rPr>
            </w:pPr>
          </w:p>
        </w:tc>
        <w:tc>
          <w:tcPr>
            <w:tcW w:w="993"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134"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1134"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275"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1134"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134"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1276"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134" w:type="dxa"/>
            <w:tcBorders>
              <w:top w:val="nil"/>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c>
          <w:tcPr>
            <w:tcW w:w="1276" w:type="dxa"/>
            <w:tcBorders>
              <w:top w:val="nil"/>
              <w:left w:val="single" w:sz="4" w:space="0" w:color="auto"/>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2013</w:t>
            </w:r>
          </w:p>
        </w:tc>
        <w:tc>
          <w:tcPr>
            <w:tcW w:w="1417" w:type="dxa"/>
            <w:tcBorders>
              <w:top w:val="nil"/>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center"/>
              <w:rPr>
                <w:rFonts w:cs="Arial"/>
                <w:b/>
                <w:bCs/>
                <w:sz w:val="18"/>
                <w:szCs w:val="18"/>
                <w:lang w:eastAsia="et-EE"/>
              </w:rPr>
            </w:pPr>
            <w:r w:rsidRPr="007E624D">
              <w:rPr>
                <w:rFonts w:cs="Arial"/>
                <w:b/>
                <w:bCs/>
                <w:sz w:val="18"/>
                <w:szCs w:val="18"/>
                <w:lang w:eastAsia="et-EE"/>
              </w:rPr>
              <w:t>2014</w:t>
            </w:r>
          </w:p>
        </w:tc>
      </w:tr>
      <w:tr w:rsidR="007E624D" w:rsidRPr="007E624D" w:rsidTr="002827CD">
        <w:trPr>
          <w:trHeight w:val="288"/>
        </w:trPr>
        <w:tc>
          <w:tcPr>
            <w:tcW w:w="2845" w:type="dxa"/>
            <w:tcBorders>
              <w:top w:val="nil"/>
              <w:left w:val="single" w:sz="8" w:space="0" w:color="auto"/>
              <w:bottom w:val="single" w:sz="8" w:space="0" w:color="auto"/>
              <w:right w:val="nil"/>
            </w:tcBorders>
            <w:shd w:val="clear" w:color="000000" w:fill="DBEEF3"/>
            <w:noWrap/>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Ministeeriumid</w:t>
            </w:r>
          </w:p>
        </w:tc>
        <w:tc>
          <w:tcPr>
            <w:tcW w:w="993"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5" w:type="dxa"/>
            <w:tcBorders>
              <w:top w:val="nil"/>
              <w:left w:val="nil"/>
              <w:bottom w:val="single" w:sz="8" w:space="0" w:color="auto"/>
              <w:right w:val="nil"/>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single" w:sz="4" w:space="0" w:color="auto"/>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single" w:sz="4" w:space="0" w:color="auto"/>
              <w:bottom w:val="single" w:sz="8"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8" w:space="0" w:color="auto"/>
              <w:right w:val="single" w:sz="8"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Haridus- ja Teadusministeerium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1,09</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8,65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5 530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38 142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12 802 962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4 109 417</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Justiitsministeerium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Kaitseministeerium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32,32</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4,48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 xml:space="preserve">Keskkonnaministeerium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845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617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6 217,42</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3 374,95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252,4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CE594B" w:rsidP="007E624D">
            <w:pPr>
              <w:spacing w:before="0"/>
              <w:jc w:val="center"/>
              <w:rPr>
                <w:rFonts w:cs="Arial"/>
                <w:sz w:val="18"/>
                <w:szCs w:val="18"/>
                <w:lang w:eastAsia="et-EE"/>
              </w:rPr>
            </w:pPr>
            <w:r>
              <w:rPr>
                <w:rFonts w:cs="Arial"/>
                <w:sz w:val="18"/>
                <w:szCs w:val="18"/>
                <w:lang w:eastAsia="et-EE"/>
              </w:rPr>
              <w:t>20 754</w:t>
            </w:r>
            <w:r w:rsidR="00B6319C" w:rsidRPr="007E624D">
              <w:rPr>
                <w:rFonts w:cs="Arial"/>
                <w:sz w:val="18"/>
                <w:szCs w:val="18"/>
                <w:lang w:eastAsia="et-EE"/>
              </w:rPr>
              <w:t xml:space="preserve"> </w:t>
            </w:r>
            <w:r>
              <w:rPr>
                <w:rFonts w:cs="Arial"/>
                <w:sz w:val="18"/>
                <w:szCs w:val="18"/>
                <w:lang w:eastAsia="et-EE"/>
              </w:rPr>
              <w:t>640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r w:rsidR="00CE594B">
              <w:rPr>
                <w:rFonts w:cs="Arial"/>
                <w:sz w:val="18"/>
                <w:szCs w:val="18"/>
                <w:lang w:eastAsia="et-EE"/>
              </w:rPr>
              <w:t>5 221 831</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Kultuuriministeerium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3,36</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0,09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3 040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1 300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293 000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150 000</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Majandus- ja Kommunikatsiooniministeerium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20,62</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63,66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99 193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1 600 936</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Põllumajandus-ministeerium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1,84</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1 351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436 919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Rahandusministeerium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0,12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1 584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2 163 010</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Siseministeerium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5,44</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3,55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14</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3 481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1 252</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390 000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18 513</w:t>
            </w:r>
          </w:p>
        </w:tc>
      </w:tr>
      <w:tr w:rsidR="007E624D" w:rsidRPr="007E624D" w:rsidTr="002827CD">
        <w:trPr>
          <w:trHeight w:val="264"/>
        </w:trPr>
        <w:tc>
          <w:tcPr>
            <w:tcW w:w="2845" w:type="dxa"/>
            <w:tcBorders>
              <w:top w:val="nil"/>
              <w:left w:val="single" w:sz="8" w:space="0" w:color="auto"/>
              <w:bottom w:val="single" w:sz="4" w:space="0" w:color="auto"/>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Sotsiaalministeerium</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1,87</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0,00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1 649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8" w:space="0" w:color="auto"/>
              <w:bottom w:val="nil"/>
              <w:right w:val="nil"/>
            </w:tcBorders>
            <w:shd w:val="clear" w:color="auto" w:fill="auto"/>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Välisministeerium</w:t>
            </w:r>
          </w:p>
        </w:tc>
        <w:tc>
          <w:tcPr>
            <w:tcW w:w="993" w:type="dxa"/>
            <w:tcBorders>
              <w:top w:val="nil"/>
              <w:left w:val="single" w:sz="4" w:space="0" w:color="auto"/>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34"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134"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0,00</w:t>
            </w:r>
          </w:p>
        </w:tc>
        <w:tc>
          <w:tcPr>
            <w:tcW w:w="1275"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0,73</w:t>
            </w:r>
          </w:p>
        </w:tc>
        <w:tc>
          <w:tcPr>
            <w:tcW w:w="1134"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34"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276"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551</w:t>
            </w:r>
          </w:p>
        </w:tc>
        <w:tc>
          <w:tcPr>
            <w:tcW w:w="1134" w:type="dxa"/>
            <w:tcBorders>
              <w:top w:val="nil"/>
              <w:left w:val="nil"/>
              <w:bottom w:val="nil"/>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1 169</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1 799 931</w:t>
            </w:r>
          </w:p>
        </w:tc>
      </w:tr>
      <w:tr w:rsidR="007E624D" w:rsidRPr="007E624D" w:rsidTr="002827CD">
        <w:trPr>
          <w:trHeight w:val="264"/>
        </w:trPr>
        <w:tc>
          <w:tcPr>
            <w:tcW w:w="2845" w:type="dxa"/>
            <w:tcBorders>
              <w:top w:val="single" w:sz="4" w:space="0" w:color="auto"/>
              <w:left w:val="single" w:sz="4" w:space="0" w:color="auto"/>
              <w:bottom w:val="single" w:sz="4" w:space="0" w:color="auto"/>
              <w:right w:val="single" w:sz="4" w:space="0" w:color="auto"/>
            </w:tcBorders>
            <w:shd w:val="clear" w:color="000000" w:fill="DBEEF3"/>
            <w:vAlign w:val="bottom"/>
            <w:hideMark/>
          </w:tcPr>
          <w:p w:rsidR="00B6319C" w:rsidRPr="007E624D" w:rsidRDefault="00B6319C" w:rsidP="007E624D">
            <w:pPr>
              <w:spacing w:before="0"/>
              <w:jc w:val="left"/>
              <w:rPr>
                <w:rFonts w:cs="Arial"/>
                <w:b/>
                <w:bCs/>
                <w:sz w:val="18"/>
                <w:szCs w:val="18"/>
                <w:lang w:eastAsia="et-EE"/>
              </w:rPr>
            </w:pPr>
            <w:r w:rsidRPr="007E624D">
              <w:rPr>
                <w:rFonts w:cs="Arial"/>
                <w:b/>
                <w:bCs/>
                <w:sz w:val="18"/>
                <w:szCs w:val="18"/>
                <w:lang w:eastAsia="et-EE"/>
              </w:rPr>
              <w:t>RMK</w:t>
            </w:r>
          </w:p>
        </w:tc>
        <w:tc>
          <w:tcPr>
            <w:tcW w:w="993"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37</w:t>
            </w:r>
          </w:p>
        </w:tc>
        <w:tc>
          <w:tcPr>
            <w:tcW w:w="1134"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w:t>
            </w:r>
          </w:p>
        </w:tc>
        <w:tc>
          <w:tcPr>
            <w:tcW w:w="1134"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31,18</w:t>
            </w:r>
          </w:p>
        </w:tc>
        <w:tc>
          <w:tcPr>
            <w:tcW w:w="1275"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19,76</w:t>
            </w:r>
          </w:p>
        </w:tc>
        <w:tc>
          <w:tcPr>
            <w:tcW w:w="1134"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60</w:t>
            </w:r>
          </w:p>
        </w:tc>
        <w:tc>
          <w:tcPr>
            <w:tcW w:w="1134"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42</w:t>
            </w:r>
          </w:p>
        </w:tc>
        <w:tc>
          <w:tcPr>
            <w:tcW w:w="1276"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9638</w:t>
            </w:r>
          </w:p>
        </w:tc>
        <w:tc>
          <w:tcPr>
            <w:tcW w:w="1134"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4987</w:t>
            </w:r>
          </w:p>
        </w:tc>
        <w:tc>
          <w:tcPr>
            <w:tcW w:w="1276"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color w:val="000000"/>
                <w:sz w:val="18"/>
                <w:szCs w:val="18"/>
                <w:lang w:eastAsia="et-EE"/>
              </w:rPr>
            </w:pPr>
            <w:r w:rsidRPr="007E624D">
              <w:rPr>
                <w:rFonts w:cs="Arial"/>
                <w:color w:val="000000"/>
                <w:sz w:val="18"/>
                <w:szCs w:val="18"/>
                <w:lang w:eastAsia="et-EE"/>
              </w:rPr>
              <w:t>718 156</w:t>
            </w:r>
          </w:p>
        </w:tc>
        <w:tc>
          <w:tcPr>
            <w:tcW w:w="1417"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color w:val="000000"/>
                <w:sz w:val="18"/>
                <w:szCs w:val="18"/>
                <w:lang w:eastAsia="et-EE"/>
              </w:rPr>
            </w:pPr>
            <w:r w:rsidRPr="007E624D">
              <w:rPr>
                <w:rFonts w:cs="Arial"/>
                <w:color w:val="000000"/>
                <w:sz w:val="18"/>
                <w:szCs w:val="18"/>
                <w:lang w:eastAsia="et-EE"/>
              </w:rPr>
              <w:t>372 833</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000000" w:fill="DBEEF3"/>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Maavalitsused</w:t>
            </w:r>
          </w:p>
        </w:tc>
        <w:tc>
          <w:tcPr>
            <w:tcW w:w="993"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5"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c>
          <w:tcPr>
            <w:tcW w:w="1417" w:type="dxa"/>
            <w:tcBorders>
              <w:top w:val="nil"/>
              <w:left w:val="nil"/>
              <w:bottom w:val="single" w:sz="4" w:space="0" w:color="auto"/>
              <w:right w:val="single" w:sz="4" w:space="0" w:color="auto"/>
            </w:tcBorders>
            <w:shd w:val="clear" w:color="000000" w:fill="DBEEF3"/>
            <w:noWrap/>
            <w:vAlign w:val="bottom"/>
            <w:hideMark/>
          </w:tcPr>
          <w:p w:rsidR="00B6319C" w:rsidRPr="007E624D" w:rsidRDefault="00B6319C" w:rsidP="007E624D">
            <w:pPr>
              <w:spacing w:before="0"/>
              <w:jc w:val="center"/>
              <w:rPr>
                <w:rFonts w:cs="Arial"/>
                <w:sz w:val="18"/>
                <w:szCs w:val="18"/>
                <w:lang w:eastAsia="et-EE"/>
              </w:rPr>
            </w:pP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Harju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283,59</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348,29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1 789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4 724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947 363</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5 492 005</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Hiiu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373,64</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165,96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289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338 288</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202 533</w:t>
            </w:r>
          </w:p>
        </w:tc>
      </w:tr>
      <w:tr w:rsidR="007E624D" w:rsidRPr="007E624D" w:rsidTr="002827CD">
        <w:trPr>
          <w:trHeight w:val="264"/>
        </w:trPr>
        <w:tc>
          <w:tcPr>
            <w:tcW w:w="2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Ida-Viru Maavalitsus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221,91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305,46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2 139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390 509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345 345</w:t>
            </w:r>
          </w:p>
        </w:tc>
      </w:tr>
      <w:tr w:rsidR="007E624D" w:rsidRPr="007E624D" w:rsidTr="002827CD">
        <w:trPr>
          <w:trHeight w:val="264"/>
        </w:trPr>
        <w:tc>
          <w:tcPr>
            <w:tcW w:w="2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Jõgeva Maavalitsus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879,57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284,99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1 120 900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537 470</w:t>
            </w:r>
          </w:p>
        </w:tc>
      </w:tr>
      <w:tr w:rsidR="007E624D" w:rsidRPr="007E624D" w:rsidTr="002827CD">
        <w:trPr>
          <w:trHeight w:val="264"/>
        </w:trPr>
        <w:tc>
          <w:tcPr>
            <w:tcW w:w="2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Järva Maavalitsus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123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2 451,47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1 351,29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1 853 525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1 804 414</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Lääne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1 150,07</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530,98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990 387</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662 566</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Lääne-Viru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703,95</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563,23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458</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1 065 843</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913 971</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Põlva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296,40</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537,75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220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424 658</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1 214 132</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Pärnu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650,62</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483,12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814 660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825 511</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Rapla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25</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415,14</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361,18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900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614 534</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318 410</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Saare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38</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292,71</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80,76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367 032</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98 673</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Tartu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161,65</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280,52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3 376</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625 960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407 949</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Valga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29</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26</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150,48</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219,27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194 890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352 810</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Viljandi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77</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584,25</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643,42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332</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314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746 122</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1 173 517</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auto" w:fill="auto"/>
            <w:noWrap/>
            <w:vAlign w:val="bottom"/>
            <w:hideMark/>
          </w:tcPr>
          <w:p w:rsidR="00B6319C" w:rsidRPr="007E624D" w:rsidRDefault="00B6319C" w:rsidP="007E624D">
            <w:pPr>
              <w:spacing w:before="0"/>
              <w:jc w:val="left"/>
              <w:rPr>
                <w:rFonts w:cs="Arial"/>
                <w:sz w:val="18"/>
                <w:szCs w:val="18"/>
                <w:lang w:eastAsia="et-EE"/>
              </w:rPr>
            </w:pPr>
            <w:r w:rsidRPr="007E624D">
              <w:rPr>
                <w:rFonts w:cs="Arial"/>
                <w:sz w:val="18"/>
                <w:szCs w:val="18"/>
                <w:lang w:eastAsia="et-EE"/>
              </w:rPr>
              <w:t>Võru Maavalitsus</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30</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43</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364,69</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201,21</w:t>
            </w: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p>
        </w:tc>
        <w:tc>
          <w:tcPr>
            <w:tcW w:w="1134"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104</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282 150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7E624D" w:rsidRDefault="00B6319C" w:rsidP="007E624D">
            <w:pPr>
              <w:spacing w:before="0"/>
              <w:jc w:val="center"/>
              <w:rPr>
                <w:rFonts w:cs="Arial"/>
                <w:sz w:val="18"/>
                <w:szCs w:val="18"/>
                <w:lang w:eastAsia="et-EE"/>
              </w:rPr>
            </w:pPr>
            <w:r w:rsidRPr="007E624D">
              <w:rPr>
                <w:rFonts w:cs="Arial"/>
                <w:sz w:val="18"/>
                <w:szCs w:val="18"/>
                <w:lang w:eastAsia="et-EE"/>
              </w:rPr>
              <w:t>395 555</w:t>
            </w:r>
          </w:p>
        </w:tc>
      </w:tr>
      <w:tr w:rsidR="007E624D" w:rsidRPr="007E624D" w:rsidTr="002827CD">
        <w:trPr>
          <w:trHeight w:val="264"/>
        </w:trPr>
        <w:tc>
          <w:tcPr>
            <w:tcW w:w="2845" w:type="dxa"/>
            <w:tcBorders>
              <w:top w:val="nil"/>
              <w:left w:val="single" w:sz="4" w:space="0" w:color="auto"/>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left"/>
              <w:rPr>
                <w:rFonts w:cs="Arial"/>
                <w:b/>
                <w:bCs/>
                <w:color w:val="000000"/>
                <w:sz w:val="18"/>
                <w:szCs w:val="18"/>
                <w:lang w:eastAsia="et-EE"/>
              </w:rPr>
            </w:pPr>
            <w:r w:rsidRPr="007E624D">
              <w:rPr>
                <w:rFonts w:cs="Arial"/>
                <w:b/>
                <w:bCs/>
                <w:color w:val="000000"/>
                <w:sz w:val="18"/>
                <w:szCs w:val="18"/>
                <w:lang w:eastAsia="et-EE"/>
              </w:rPr>
              <w:t>Kokku</w:t>
            </w:r>
          </w:p>
        </w:tc>
        <w:tc>
          <w:tcPr>
            <w:tcW w:w="993"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1844</w:t>
            </w:r>
          </w:p>
        </w:tc>
        <w:tc>
          <w:tcPr>
            <w:tcW w:w="1134"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1742</w:t>
            </w:r>
          </w:p>
        </w:tc>
        <w:tc>
          <w:tcPr>
            <w:tcW w:w="1134"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15 295,28</w:t>
            </w:r>
          </w:p>
        </w:tc>
        <w:tc>
          <w:tcPr>
            <w:tcW w:w="1275"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9 833,40</w:t>
            </w:r>
          </w:p>
        </w:tc>
        <w:tc>
          <w:tcPr>
            <w:tcW w:w="1134"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126</w:t>
            </w:r>
          </w:p>
        </w:tc>
        <w:tc>
          <w:tcPr>
            <w:tcW w:w="1134"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198</w:t>
            </w:r>
          </w:p>
        </w:tc>
        <w:tc>
          <w:tcPr>
            <w:tcW w:w="1276"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28676</w:t>
            </w:r>
          </w:p>
        </w:tc>
        <w:tc>
          <w:tcPr>
            <w:tcW w:w="1134" w:type="dxa"/>
            <w:tcBorders>
              <w:top w:val="nil"/>
              <w:left w:val="nil"/>
              <w:bottom w:val="single" w:sz="4" w:space="0" w:color="auto"/>
              <w:right w:val="single" w:sz="4" w:space="0" w:color="auto"/>
            </w:tcBorders>
            <w:shd w:val="clear" w:color="DBE5F1" w:fill="DBEEF3"/>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61204</w:t>
            </w:r>
          </w:p>
        </w:tc>
        <w:tc>
          <w:tcPr>
            <w:tcW w:w="1276" w:type="dxa"/>
            <w:tcBorders>
              <w:top w:val="nil"/>
              <w:left w:val="nil"/>
              <w:bottom w:val="single" w:sz="4" w:space="0" w:color="auto"/>
              <w:right w:val="single" w:sz="4" w:space="0" w:color="auto"/>
            </w:tcBorders>
            <w:shd w:val="clear" w:color="DBE5F1" w:fill="DBE5F1"/>
            <w:noWrap/>
            <w:vAlign w:val="bottom"/>
            <w:hideMark/>
          </w:tcPr>
          <w:p w:rsidR="00B6319C" w:rsidRPr="007E624D" w:rsidRDefault="00B6319C" w:rsidP="007E624D">
            <w:pPr>
              <w:spacing w:before="0"/>
              <w:jc w:val="center"/>
              <w:rPr>
                <w:rFonts w:cs="Arial"/>
                <w:b/>
                <w:bCs/>
                <w:color w:val="000000"/>
                <w:sz w:val="18"/>
                <w:szCs w:val="18"/>
                <w:lang w:eastAsia="et-EE"/>
              </w:rPr>
            </w:pPr>
            <w:r w:rsidRPr="007E624D">
              <w:rPr>
                <w:rFonts w:cs="Arial"/>
                <w:b/>
                <w:bCs/>
                <w:color w:val="000000"/>
                <w:sz w:val="18"/>
                <w:szCs w:val="18"/>
                <w:lang w:eastAsia="et-EE"/>
              </w:rPr>
              <w:t>4</w:t>
            </w:r>
            <w:r w:rsidR="00CE594B">
              <w:rPr>
                <w:rFonts w:cs="Arial"/>
                <w:b/>
                <w:bCs/>
                <w:color w:val="000000"/>
                <w:sz w:val="18"/>
                <w:szCs w:val="18"/>
                <w:lang w:eastAsia="et-EE"/>
              </w:rPr>
              <w:t>6 271 751</w:t>
            </w:r>
          </w:p>
        </w:tc>
        <w:tc>
          <w:tcPr>
            <w:tcW w:w="1417" w:type="dxa"/>
            <w:tcBorders>
              <w:top w:val="nil"/>
              <w:left w:val="nil"/>
              <w:bottom w:val="single" w:sz="4" w:space="0" w:color="auto"/>
              <w:right w:val="single" w:sz="4" w:space="0" w:color="auto"/>
            </w:tcBorders>
            <w:shd w:val="clear" w:color="DBE5F1" w:fill="DBE5F1"/>
            <w:noWrap/>
            <w:vAlign w:val="bottom"/>
            <w:hideMark/>
          </w:tcPr>
          <w:p w:rsidR="00B6319C" w:rsidRPr="007E624D" w:rsidRDefault="00CE594B" w:rsidP="007E624D">
            <w:pPr>
              <w:spacing w:before="0"/>
              <w:jc w:val="center"/>
              <w:rPr>
                <w:rFonts w:cs="Arial"/>
                <w:b/>
                <w:bCs/>
                <w:color w:val="000000"/>
                <w:sz w:val="18"/>
                <w:szCs w:val="18"/>
                <w:lang w:eastAsia="et-EE"/>
              </w:rPr>
            </w:pPr>
            <w:r>
              <w:rPr>
                <w:rFonts w:cs="Arial"/>
                <w:b/>
                <w:bCs/>
                <w:color w:val="000000"/>
                <w:sz w:val="18"/>
                <w:szCs w:val="18"/>
                <w:lang w:eastAsia="et-EE"/>
              </w:rPr>
              <w:t>40 181 333</w:t>
            </w:r>
          </w:p>
        </w:tc>
      </w:tr>
    </w:tbl>
    <w:p w:rsidR="00B6319C" w:rsidRPr="009F5C8A" w:rsidRDefault="00B6319C" w:rsidP="00B6319C">
      <w:pPr>
        <w:pStyle w:val="Caption"/>
      </w:pPr>
    </w:p>
    <w:p w:rsidR="00B6319C" w:rsidRDefault="00B6319C" w:rsidP="00B6319C">
      <w:pPr>
        <w:pStyle w:val="Caption"/>
      </w:pPr>
    </w:p>
    <w:p w:rsidR="00B6319C" w:rsidRDefault="00B6319C" w:rsidP="00B6319C">
      <w:pPr>
        <w:pStyle w:val="Caption"/>
      </w:pPr>
      <w:bookmarkStart w:id="479" w:name="_Ref411869551"/>
      <w:r>
        <w:t xml:space="preserve">Tabel </w:t>
      </w:r>
      <w:fldSimple w:instr=" SEQ Tabel \* ARABIC ">
        <w:r w:rsidR="00477322">
          <w:rPr>
            <w:noProof/>
          </w:rPr>
          <w:t>7</w:t>
        </w:r>
      </w:fldSimple>
      <w:bookmarkEnd w:id="479"/>
      <w:r>
        <w:t xml:space="preserve">. </w:t>
      </w:r>
      <w:r w:rsidRPr="0084773C">
        <w:t>Riigivara üleandmine mitterahalise sissemaksena eraõiguslikele juriidilistele isikutele valitsejate lõikes 2013-2014</w:t>
      </w:r>
    </w:p>
    <w:tbl>
      <w:tblPr>
        <w:tblW w:w="13240" w:type="dxa"/>
        <w:tblInd w:w="65" w:type="dxa"/>
        <w:tblCellMar>
          <w:left w:w="70" w:type="dxa"/>
          <w:right w:w="70" w:type="dxa"/>
        </w:tblCellMar>
        <w:tblLook w:val="04A0"/>
      </w:tblPr>
      <w:tblGrid>
        <w:gridCol w:w="3860"/>
        <w:gridCol w:w="1655"/>
        <w:gridCol w:w="965"/>
        <w:gridCol w:w="1263"/>
        <w:gridCol w:w="1037"/>
        <w:gridCol w:w="990"/>
        <w:gridCol w:w="990"/>
        <w:gridCol w:w="1342"/>
        <w:gridCol w:w="1138"/>
      </w:tblGrid>
      <w:tr w:rsidR="00B6319C" w:rsidRPr="002827CD" w:rsidTr="00CD371C">
        <w:trPr>
          <w:trHeight w:val="276"/>
        </w:trPr>
        <w:tc>
          <w:tcPr>
            <w:tcW w:w="3860" w:type="dxa"/>
            <w:vMerge w:val="restart"/>
            <w:tcBorders>
              <w:top w:val="single" w:sz="4" w:space="0" w:color="auto"/>
              <w:left w:val="single" w:sz="4" w:space="0" w:color="auto"/>
              <w:bottom w:val="nil"/>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Riigivara valitseja</w:t>
            </w:r>
          </w:p>
        </w:tc>
        <w:tc>
          <w:tcPr>
            <w:tcW w:w="2620" w:type="dxa"/>
            <w:gridSpan w:val="2"/>
            <w:tcBorders>
              <w:top w:val="single" w:sz="4" w:space="0" w:color="auto"/>
              <w:left w:val="nil"/>
              <w:bottom w:val="single" w:sz="4" w:space="0" w:color="auto"/>
              <w:right w:val="single" w:sz="4" w:space="0" w:color="000000"/>
            </w:tcBorders>
            <w:shd w:val="clear" w:color="000000" w:fill="DBEEF3"/>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Kinnistute arv</w:t>
            </w:r>
          </w:p>
        </w:tc>
        <w:tc>
          <w:tcPr>
            <w:tcW w:w="230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Kinnistute pindala (ha)</w:t>
            </w:r>
          </w:p>
        </w:tc>
        <w:tc>
          <w:tcPr>
            <w:tcW w:w="198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Hoonete arv</w:t>
            </w:r>
          </w:p>
        </w:tc>
        <w:tc>
          <w:tcPr>
            <w:tcW w:w="2480" w:type="dxa"/>
            <w:gridSpan w:val="2"/>
            <w:tcBorders>
              <w:top w:val="single" w:sz="4" w:space="0" w:color="auto"/>
              <w:left w:val="nil"/>
              <w:bottom w:val="single" w:sz="4" w:space="0" w:color="auto"/>
              <w:right w:val="single" w:sz="4" w:space="0" w:color="000000"/>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Hoonete pind (m²)</w:t>
            </w:r>
          </w:p>
        </w:tc>
      </w:tr>
      <w:tr w:rsidR="00B6319C" w:rsidRPr="002827CD" w:rsidTr="00CD371C">
        <w:trPr>
          <w:trHeight w:val="276"/>
        </w:trPr>
        <w:tc>
          <w:tcPr>
            <w:tcW w:w="3860" w:type="dxa"/>
            <w:vMerge/>
            <w:tcBorders>
              <w:top w:val="single" w:sz="4" w:space="0" w:color="auto"/>
              <w:left w:val="single" w:sz="4" w:space="0" w:color="auto"/>
              <w:bottom w:val="nil"/>
              <w:right w:val="single" w:sz="4" w:space="0" w:color="auto"/>
            </w:tcBorders>
            <w:vAlign w:val="center"/>
            <w:hideMark/>
          </w:tcPr>
          <w:p w:rsidR="00B6319C" w:rsidRPr="002827CD" w:rsidRDefault="00B6319C" w:rsidP="002827CD">
            <w:pPr>
              <w:spacing w:before="0"/>
              <w:jc w:val="left"/>
              <w:rPr>
                <w:b/>
                <w:bCs/>
                <w:color w:val="000000"/>
                <w:sz w:val="18"/>
                <w:szCs w:val="18"/>
                <w:lang w:eastAsia="et-EE"/>
              </w:rPr>
            </w:pPr>
          </w:p>
        </w:tc>
        <w:tc>
          <w:tcPr>
            <w:tcW w:w="1655"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2013</w:t>
            </w:r>
          </w:p>
        </w:tc>
        <w:tc>
          <w:tcPr>
            <w:tcW w:w="965"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2014</w:t>
            </w:r>
          </w:p>
        </w:tc>
        <w:tc>
          <w:tcPr>
            <w:tcW w:w="1263"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2013</w:t>
            </w:r>
          </w:p>
        </w:tc>
        <w:tc>
          <w:tcPr>
            <w:tcW w:w="1037"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2014</w:t>
            </w:r>
          </w:p>
        </w:tc>
        <w:tc>
          <w:tcPr>
            <w:tcW w:w="990"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2013</w:t>
            </w:r>
          </w:p>
        </w:tc>
        <w:tc>
          <w:tcPr>
            <w:tcW w:w="990"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2014</w:t>
            </w:r>
          </w:p>
        </w:tc>
        <w:tc>
          <w:tcPr>
            <w:tcW w:w="134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2013</w:t>
            </w:r>
          </w:p>
        </w:tc>
        <w:tc>
          <w:tcPr>
            <w:tcW w:w="113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2014</w:t>
            </w:r>
          </w:p>
        </w:tc>
      </w:tr>
      <w:tr w:rsidR="00B6319C" w:rsidRPr="002827CD" w:rsidTr="00CD371C">
        <w:trPr>
          <w:trHeight w:val="300"/>
        </w:trPr>
        <w:tc>
          <w:tcPr>
            <w:tcW w:w="3860" w:type="dxa"/>
            <w:tcBorders>
              <w:top w:val="single" w:sz="8" w:space="0" w:color="auto"/>
              <w:left w:val="single" w:sz="8" w:space="0" w:color="auto"/>
              <w:bottom w:val="nil"/>
              <w:right w:val="single" w:sz="4" w:space="0" w:color="auto"/>
            </w:tcBorders>
            <w:shd w:val="clear" w:color="auto" w:fill="auto"/>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Ministeeriumid</w:t>
            </w:r>
          </w:p>
        </w:tc>
        <w:tc>
          <w:tcPr>
            <w:tcW w:w="16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037" w:type="dxa"/>
            <w:tcBorders>
              <w:top w:val="nil"/>
              <w:left w:val="single" w:sz="4" w:space="0" w:color="auto"/>
              <w:bottom w:val="nil"/>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990" w:type="dxa"/>
            <w:tcBorders>
              <w:top w:val="nil"/>
              <w:left w:val="nil"/>
              <w:bottom w:val="nil"/>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990" w:type="dxa"/>
            <w:tcBorders>
              <w:top w:val="nil"/>
              <w:left w:val="nil"/>
              <w:bottom w:val="nil"/>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342" w:type="dxa"/>
            <w:tcBorders>
              <w:top w:val="nil"/>
              <w:left w:val="nil"/>
              <w:bottom w:val="nil"/>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138" w:type="dxa"/>
            <w:tcBorders>
              <w:top w:val="nil"/>
              <w:left w:val="nil"/>
              <w:bottom w:val="nil"/>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r>
      <w:tr w:rsidR="00B6319C" w:rsidRPr="002827CD" w:rsidTr="00CD371C">
        <w:trPr>
          <w:trHeight w:val="288"/>
        </w:trPr>
        <w:tc>
          <w:tcPr>
            <w:tcW w:w="386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Haridus- ja Teadusministeerium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60</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5</w:t>
            </w:r>
          </w:p>
        </w:tc>
        <w:tc>
          <w:tcPr>
            <w:tcW w:w="1263" w:type="dxa"/>
            <w:tcBorders>
              <w:top w:val="single" w:sz="4" w:space="0" w:color="auto"/>
              <w:left w:val="nil"/>
              <w:bottom w:val="single" w:sz="4" w:space="0" w:color="auto"/>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320,01</w:t>
            </w:r>
          </w:p>
        </w:tc>
        <w:tc>
          <w:tcPr>
            <w:tcW w:w="103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7,84</w:t>
            </w:r>
          </w:p>
        </w:tc>
        <w:tc>
          <w:tcPr>
            <w:tcW w:w="990" w:type="dxa"/>
            <w:tcBorders>
              <w:top w:val="single" w:sz="8"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73</w:t>
            </w:r>
          </w:p>
        </w:tc>
        <w:tc>
          <w:tcPr>
            <w:tcW w:w="990" w:type="dxa"/>
            <w:tcBorders>
              <w:top w:val="single" w:sz="8"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w:t>
            </w:r>
          </w:p>
        </w:tc>
        <w:tc>
          <w:tcPr>
            <w:tcW w:w="1342" w:type="dxa"/>
            <w:tcBorders>
              <w:top w:val="single" w:sz="8"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58331</w:t>
            </w:r>
          </w:p>
        </w:tc>
        <w:tc>
          <w:tcPr>
            <w:tcW w:w="1138" w:type="dxa"/>
            <w:tcBorders>
              <w:top w:val="single" w:sz="8" w:space="0" w:color="auto"/>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22745</w:t>
            </w:r>
          </w:p>
        </w:tc>
      </w:tr>
      <w:tr w:rsidR="00B6319C" w:rsidRPr="002827CD" w:rsidTr="00CD371C">
        <w:trPr>
          <w:trHeight w:val="288"/>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Kaitseministeerium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22</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3</w:t>
            </w:r>
          </w:p>
        </w:tc>
        <w:tc>
          <w:tcPr>
            <w:tcW w:w="1263" w:type="dxa"/>
            <w:tcBorders>
              <w:top w:val="single" w:sz="4" w:space="0" w:color="auto"/>
              <w:left w:val="nil"/>
              <w:bottom w:val="single" w:sz="4" w:space="0" w:color="auto"/>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9,78</w:t>
            </w: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9,83</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19</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w:t>
            </w: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1372</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7167</w:t>
            </w:r>
          </w:p>
        </w:tc>
      </w:tr>
      <w:tr w:rsidR="00B6319C" w:rsidRPr="002827CD" w:rsidTr="00CD371C">
        <w:trPr>
          <w:trHeight w:val="288"/>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Keskkonnaministeerium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28</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2,85</w:t>
            </w:r>
          </w:p>
        </w:tc>
        <w:tc>
          <w:tcPr>
            <w:tcW w:w="103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6,12</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8</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33</w:t>
            </w: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4835</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12278</w:t>
            </w:r>
          </w:p>
        </w:tc>
      </w:tr>
      <w:tr w:rsidR="00B6319C" w:rsidRPr="002827CD" w:rsidTr="00CD371C">
        <w:trPr>
          <w:trHeight w:val="288"/>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Kultuuriministeerium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46</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9</w:t>
            </w:r>
          </w:p>
        </w:tc>
        <w:tc>
          <w:tcPr>
            <w:tcW w:w="1263" w:type="dxa"/>
            <w:tcBorders>
              <w:top w:val="single" w:sz="4" w:space="0" w:color="auto"/>
              <w:left w:val="nil"/>
              <w:bottom w:val="single" w:sz="4" w:space="0" w:color="auto"/>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151,49</w:t>
            </w:r>
          </w:p>
        </w:tc>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16,97</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67</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27</w:t>
            </w: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72217</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7754</w:t>
            </w:r>
          </w:p>
        </w:tc>
      </w:tr>
      <w:tr w:rsidR="00B6319C" w:rsidRPr="002827CD" w:rsidTr="002827CD">
        <w:trPr>
          <w:trHeight w:hRule="exact" w:val="539"/>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Majandus- ja Kommunikatsiooni-ministeerium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2,49</w:t>
            </w:r>
          </w:p>
        </w:tc>
        <w:tc>
          <w:tcPr>
            <w:tcW w:w="103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8</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p>
        </w:tc>
      </w:tr>
      <w:tr w:rsidR="00B6319C" w:rsidRPr="002827CD" w:rsidTr="00CD371C">
        <w:trPr>
          <w:trHeight w:val="288"/>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Põllumajandusministeerium</w:t>
            </w:r>
          </w:p>
        </w:tc>
        <w:tc>
          <w:tcPr>
            <w:tcW w:w="165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w:t>
            </w:r>
          </w:p>
        </w:tc>
        <w:tc>
          <w:tcPr>
            <w:tcW w:w="96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126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0,38</w:t>
            </w:r>
          </w:p>
        </w:tc>
        <w:tc>
          <w:tcPr>
            <w:tcW w:w="103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3</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636</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p>
        </w:tc>
      </w:tr>
      <w:tr w:rsidR="00B6319C" w:rsidRPr="002827CD" w:rsidTr="002827CD">
        <w:trPr>
          <w:trHeight w:val="288"/>
        </w:trPr>
        <w:tc>
          <w:tcPr>
            <w:tcW w:w="3860" w:type="dxa"/>
            <w:tcBorders>
              <w:top w:val="nil"/>
              <w:left w:val="single" w:sz="8"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Siseministeerium</w:t>
            </w:r>
          </w:p>
        </w:tc>
        <w:tc>
          <w:tcPr>
            <w:tcW w:w="165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73</w:t>
            </w:r>
          </w:p>
        </w:tc>
        <w:tc>
          <w:tcPr>
            <w:tcW w:w="96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47,82</w:t>
            </w:r>
          </w:p>
        </w:tc>
        <w:tc>
          <w:tcPr>
            <w:tcW w:w="1037" w:type="dxa"/>
            <w:tcBorders>
              <w:top w:val="single" w:sz="4" w:space="0" w:color="auto"/>
              <w:left w:val="single" w:sz="4" w:space="0" w:color="auto"/>
              <w:bottom w:val="single" w:sz="4" w:space="0" w:color="auto"/>
              <w:right w:val="nil"/>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2,97</w:t>
            </w:r>
          </w:p>
        </w:tc>
        <w:tc>
          <w:tcPr>
            <w:tcW w:w="990" w:type="dxa"/>
            <w:tcBorders>
              <w:top w:val="nil"/>
              <w:left w:val="single" w:sz="4" w:space="0" w:color="auto"/>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108</w:t>
            </w:r>
          </w:p>
        </w:tc>
        <w:tc>
          <w:tcPr>
            <w:tcW w:w="990"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12</w:t>
            </w:r>
          </w:p>
        </w:tc>
        <w:tc>
          <w:tcPr>
            <w:tcW w:w="1342" w:type="dxa"/>
            <w:tcBorders>
              <w:top w:val="nil"/>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65397</w:t>
            </w:r>
          </w:p>
        </w:tc>
        <w:tc>
          <w:tcPr>
            <w:tcW w:w="1138" w:type="dxa"/>
            <w:tcBorders>
              <w:top w:val="nil"/>
              <w:left w:val="nil"/>
              <w:bottom w:val="single" w:sz="4" w:space="0" w:color="auto"/>
              <w:right w:val="single" w:sz="8"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2280</w:t>
            </w:r>
          </w:p>
        </w:tc>
      </w:tr>
      <w:tr w:rsidR="00B6319C" w:rsidRPr="002827CD" w:rsidTr="002827CD">
        <w:trPr>
          <w:trHeight w:val="288"/>
        </w:trPr>
        <w:tc>
          <w:tcPr>
            <w:tcW w:w="3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319C" w:rsidRPr="002827CD" w:rsidRDefault="00B6319C" w:rsidP="002827CD">
            <w:pPr>
              <w:spacing w:before="0"/>
              <w:jc w:val="left"/>
              <w:rPr>
                <w:rFonts w:cs="Arial"/>
                <w:sz w:val="18"/>
                <w:szCs w:val="18"/>
                <w:lang w:eastAsia="et-EE"/>
              </w:rPr>
            </w:pPr>
            <w:r w:rsidRPr="002827CD">
              <w:rPr>
                <w:rFonts w:cs="Arial"/>
                <w:sz w:val="18"/>
                <w:szCs w:val="18"/>
                <w:lang w:eastAsia="et-EE"/>
              </w:rPr>
              <w:t>Sotsiaalministeerium</w:t>
            </w:r>
          </w:p>
        </w:tc>
        <w:tc>
          <w:tcPr>
            <w:tcW w:w="165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14</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10</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6,32</w:t>
            </w:r>
          </w:p>
        </w:tc>
        <w:tc>
          <w:tcPr>
            <w:tcW w:w="1037"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4,15</w:t>
            </w:r>
          </w:p>
        </w:tc>
        <w:tc>
          <w:tcPr>
            <w:tcW w:w="990" w:type="dxa"/>
            <w:tcBorders>
              <w:top w:val="single" w:sz="4"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23</w:t>
            </w:r>
          </w:p>
        </w:tc>
        <w:tc>
          <w:tcPr>
            <w:tcW w:w="990" w:type="dxa"/>
            <w:tcBorders>
              <w:top w:val="single" w:sz="4"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12</w:t>
            </w:r>
          </w:p>
        </w:tc>
        <w:tc>
          <w:tcPr>
            <w:tcW w:w="1342" w:type="dxa"/>
            <w:tcBorders>
              <w:top w:val="single" w:sz="4"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17957</w:t>
            </w:r>
          </w:p>
        </w:tc>
        <w:tc>
          <w:tcPr>
            <w:tcW w:w="1138" w:type="dxa"/>
            <w:tcBorders>
              <w:top w:val="single" w:sz="4" w:space="0" w:color="auto"/>
              <w:left w:val="nil"/>
              <w:bottom w:val="single" w:sz="4" w:space="0" w:color="auto"/>
              <w:right w:val="single" w:sz="4" w:space="0" w:color="auto"/>
            </w:tcBorders>
            <w:shd w:val="clear" w:color="D8D8D8" w:fill="FFFFFF"/>
            <w:noWrap/>
            <w:vAlign w:val="bottom"/>
            <w:hideMark/>
          </w:tcPr>
          <w:p w:rsidR="00B6319C" w:rsidRPr="002827CD" w:rsidRDefault="00B6319C" w:rsidP="002827CD">
            <w:pPr>
              <w:spacing w:before="0"/>
              <w:jc w:val="center"/>
              <w:rPr>
                <w:rFonts w:cs="Arial"/>
                <w:sz w:val="18"/>
                <w:szCs w:val="18"/>
                <w:lang w:eastAsia="et-EE"/>
              </w:rPr>
            </w:pPr>
            <w:r w:rsidRPr="002827CD">
              <w:rPr>
                <w:rFonts w:cs="Arial"/>
                <w:sz w:val="18"/>
                <w:szCs w:val="18"/>
                <w:lang w:eastAsia="et-EE"/>
              </w:rPr>
              <w:t>16229</w:t>
            </w:r>
          </w:p>
        </w:tc>
      </w:tr>
      <w:tr w:rsidR="00B6319C" w:rsidRPr="002827CD" w:rsidTr="002827CD">
        <w:trPr>
          <w:trHeight w:val="288"/>
        </w:trPr>
        <w:tc>
          <w:tcPr>
            <w:tcW w:w="3860" w:type="dxa"/>
            <w:tcBorders>
              <w:top w:val="single" w:sz="4" w:space="0" w:color="auto"/>
              <w:left w:val="single" w:sz="4" w:space="0" w:color="auto"/>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Kokku</w:t>
            </w:r>
          </w:p>
        </w:tc>
        <w:tc>
          <w:tcPr>
            <w:tcW w:w="1655"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225</w:t>
            </w:r>
          </w:p>
        </w:tc>
        <w:tc>
          <w:tcPr>
            <w:tcW w:w="965"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61</w:t>
            </w:r>
          </w:p>
        </w:tc>
        <w:tc>
          <w:tcPr>
            <w:tcW w:w="1263"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541,13</w:t>
            </w:r>
          </w:p>
        </w:tc>
        <w:tc>
          <w:tcPr>
            <w:tcW w:w="1037"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rFonts w:cs="Arial"/>
                <w:b/>
                <w:bCs/>
                <w:sz w:val="18"/>
                <w:szCs w:val="18"/>
                <w:lang w:eastAsia="et-EE"/>
              </w:rPr>
            </w:pPr>
            <w:r w:rsidRPr="002827CD">
              <w:rPr>
                <w:rFonts w:cs="Arial"/>
                <w:b/>
                <w:bCs/>
                <w:sz w:val="18"/>
                <w:szCs w:val="18"/>
                <w:lang w:eastAsia="et-EE"/>
              </w:rPr>
              <w:t>47,87</w:t>
            </w:r>
          </w:p>
        </w:tc>
        <w:tc>
          <w:tcPr>
            <w:tcW w:w="990"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302</w:t>
            </w:r>
          </w:p>
        </w:tc>
        <w:tc>
          <w:tcPr>
            <w:tcW w:w="990"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98</w:t>
            </w:r>
          </w:p>
        </w:tc>
        <w:tc>
          <w:tcPr>
            <w:tcW w:w="1342"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220 752</w:t>
            </w:r>
          </w:p>
        </w:tc>
        <w:tc>
          <w:tcPr>
            <w:tcW w:w="1138" w:type="dxa"/>
            <w:tcBorders>
              <w:top w:val="single" w:sz="4" w:space="0" w:color="auto"/>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68 454</w:t>
            </w:r>
          </w:p>
        </w:tc>
      </w:tr>
    </w:tbl>
    <w:p w:rsidR="00B6319C" w:rsidRDefault="00B6319C" w:rsidP="00B6319C">
      <w:pPr>
        <w:pStyle w:val="Caption"/>
      </w:pPr>
    </w:p>
    <w:p w:rsidR="00B6319C" w:rsidRDefault="00B6319C" w:rsidP="00B6319C">
      <w:pPr>
        <w:pStyle w:val="Caption"/>
      </w:pPr>
      <w:bookmarkStart w:id="480" w:name="_Ref423641588"/>
      <w:r>
        <w:t xml:space="preserve">Tabel </w:t>
      </w:r>
      <w:fldSimple w:instr=" SEQ Tabel \* ARABIC ">
        <w:r w:rsidR="00477322">
          <w:rPr>
            <w:noProof/>
          </w:rPr>
          <w:t>8</w:t>
        </w:r>
      </w:fldSimple>
      <w:bookmarkEnd w:id="480"/>
      <w:r>
        <w:t>. Riigivara kasutamiseks andmine valitsejate lõikes seisuga 31.12.2014</w:t>
      </w:r>
    </w:p>
    <w:tbl>
      <w:tblPr>
        <w:tblW w:w="12120" w:type="dxa"/>
        <w:tblInd w:w="65" w:type="dxa"/>
        <w:tblCellMar>
          <w:left w:w="70" w:type="dxa"/>
          <w:right w:w="70" w:type="dxa"/>
        </w:tblCellMar>
        <w:tblLook w:val="04A0"/>
      </w:tblPr>
      <w:tblGrid>
        <w:gridCol w:w="3707"/>
        <w:gridCol w:w="1640"/>
        <w:gridCol w:w="1643"/>
        <w:gridCol w:w="1928"/>
        <w:gridCol w:w="1544"/>
        <w:gridCol w:w="1658"/>
      </w:tblGrid>
      <w:tr w:rsidR="00B6319C" w:rsidRPr="002827CD" w:rsidTr="00CD371C">
        <w:trPr>
          <w:trHeight w:val="480"/>
        </w:trPr>
        <w:tc>
          <w:tcPr>
            <w:tcW w:w="3707"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Ministeeriumid</w:t>
            </w:r>
          </w:p>
        </w:tc>
        <w:tc>
          <w:tcPr>
            <w:tcW w:w="1640" w:type="dxa"/>
            <w:tcBorders>
              <w:top w:val="single" w:sz="4" w:space="0" w:color="auto"/>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Lepingute arv</w:t>
            </w:r>
          </w:p>
        </w:tc>
        <w:tc>
          <w:tcPr>
            <w:tcW w:w="1643" w:type="dxa"/>
            <w:tcBorders>
              <w:top w:val="single" w:sz="4" w:space="0" w:color="auto"/>
              <w:left w:val="nil"/>
              <w:bottom w:val="single" w:sz="4" w:space="0" w:color="auto"/>
              <w:right w:val="single" w:sz="4" w:space="0" w:color="auto"/>
            </w:tcBorders>
            <w:shd w:val="clear" w:color="000000" w:fill="DBEEF3"/>
            <w:vAlign w:val="bottom"/>
            <w:hideMark/>
          </w:tcPr>
          <w:p w:rsidR="00B6319C" w:rsidRPr="002827CD" w:rsidRDefault="004A1F89" w:rsidP="002827CD">
            <w:pPr>
              <w:spacing w:before="0"/>
              <w:jc w:val="center"/>
              <w:rPr>
                <w:b/>
                <w:bCs/>
                <w:color w:val="000000"/>
                <w:sz w:val="18"/>
                <w:szCs w:val="18"/>
                <w:lang w:eastAsia="et-EE"/>
              </w:rPr>
            </w:pPr>
            <w:r>
              <w:rPr>
                <w:b/>
                <w:bCs/>
                <w:color w:val="000000"/>
                <w:sz w:val="18"/>
                <w:szCs w:val="18"/>
                <w:lang w:eastAsia="et-EE"/>
              </w:rPr>
              <w:t xml:space="preserve">  K</w:t>
            </w:r>
            <w:r w:rsidR="00B6319C" w:rsidRPr="002827CD">
              <w:rPr>
                <w:b/>
                <w:bCs/>
                <w:color w:val="000000"/>
                <w:sz w:val="18"/>
                <w:szCs w:val="18"/>
                <w:lang w:eastAsia="et-EE"/>
              </w:rPr>
              <w:t>innistu pind ha</w:t>
            </w:r>
          </w:p>
        </w:tc>
        <w:tc>
          <w:tcPr>
            <w:tcW w:w="1928" w:type="dxa"/>
            <w:tcBorders>
              <w:top w:val="single" w:sz="4" w:space="0" w:color="auto"/>
              <w:left w:val="nil"/>
              <w:bottom w:val="single" w:sz="4" w:space="0" w:color="auto"/>
              <w:right w:val="single" w:sz="4" w:space="0" w:color="auto"/>
            </w:tcBorders>
            <w:shd w:val="clear" w:color="000000"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Kasutusse antud hoonete pind m²</w:t>
            </w:r>
          </w:p>
        </w:tc>
        <w:tc>
          <w:tcPr>
            <w:tcW w:w="1544" w:type="dxa"/>
            <w:tcBorders>
              <w:top w:val="single" w:sz="4" w:space="0" w:color="auto"/>
              <w:left w:val="nil"/>
              <w:bottom w:val="single" w:sz="4" w:space="0" w:color="auto"/>
              <w:right w:val="single" w:sz="4" w:space="0" w:color="auto"/>
            </w:tcBorders>
            <w:shd w:val="clear" w:color="000000"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Kasutustasu kuus €</w:t>
            </w:r>
          </w:p>
        </w:tc>
        <w:tc>
          <w:tcPr>
            <w:tcW w:w="1658" w:type="dxa"/>
            <w:tcBorders>
              <w:top w:val="single" w:sz="4" w:space="0" w:color="auto"/>
              <w:left w:val="nil"/>
              <w:bottom w:val="single" w:sz="4" w:space="0" w:color="auto"/>
              <w:right w:val="single" w:sz="4" w:space="0" w:color="auto"/>
            </w:tcBorders>
            <w:shd w:val="clear" w:color="000000"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Kasutustasu aastas €</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Haridus- ja Teadusministeerium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158</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1 014</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16 189</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4 915</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58 980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Justiitsministeerium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4 561</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784</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9 408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Kaitseministeerium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600</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784</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27 829</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15 580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186 960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000000" w:fill="FFFFFF"/>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Keskkonnaministeerium (v.a RMK)</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1 575</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53 615</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1 612</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b/>
                <w:bCs/>
                <w:sz w:val="18"/>
                <w:szCs w:val="18"/>
                <w:lang w:eastAsia="et-EE"/>
              </w:rPr>
            </w:pPr>
            <w:r w:rsidRPr="002827CD">
              <w:rPr>
                <w:b/>
                <w:bCs/>
                <w:sz w:val="18"/>
                <w:szCs w:val="18"/>
                <w:lang w:eastAsia="et-EE"/>
              </w:rPr>
              <w:t>168 272</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2 019 264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Kultuuriministeerium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22</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1 104</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7 957</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95 484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Majandus- ja Kommunikatsiooniministeerium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3 561</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10 142</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3 754</w:t>
            </w:r>
          </w:p>
        </w:tc>
        <w:tc>
          <w:tcPr>
            <w:tcW w:w="1544" w:type="dxa"/>
            <w:tcBorders>
              <w:top w:val="nil"/>
              <w:left w:val="nil"/>
              <w:bottom w:val="nil"/>
              <w:right w:val="nil"/>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29 198</w:t>
            </w:r>
          </w:p>
        </w:tc>
        <w:tc>
          <w:tcPr>
            <w:tcW w:w="1658"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350 376</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Põllumajandusministeerium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77</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2 942</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6 237</w:t>
            </w:r>
          </w:p>
        </w:tc>
        <w:tc>
          <w:tcPr>
            <w:tcW w:w="1544"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5 933</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71 196</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Rahandusministeerium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202</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2 424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Siseministeerium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120</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122</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11 423</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16 027</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192 324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Välisministeerium</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6 108</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Riigikantselei</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39</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54</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648</w:t>
            </w:r>
          </w:p>
        </w:tc>
      </w:tr>
      <w:tr w:rsidR="00B6319C" w:rsidRPr="002827CD" w:rsidTr="00CD371C">
        <w:trPr>
          <w:trHeight w:val="288"/>
        </w:trPr>
        <w:tc>
          <w:tcPr>
            <w:tcW w:w="3707" w:type="dxa"/>
            <w:tcBorders>
              <w:top w:val="nil"/>
              <w:left w:val="single" w:sz="4" w:space="0" w:color="auto"/>
              <w:bottom w:val="nil"/>
              <w:right w:val="single" w:sz="4" w:space="0" w:color="auto"/>
            </w:tcBorders>
            <w:shd w:val="clear" w:color="000000"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RMK</w:t>
            </w:r>
          </w:p>
        </w:tc>
        <w:tc>
          <w:tcPr>
            <w:tcW w:w="1640"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1 548</w:t>
            </w:r>
          </w:p>
        </w:tc>
        <w:tc>
          <w:tcPr>
            <w:tcW w:w="1643"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280 494</w:t>
            </w:r>
          </w:p>
        </w:tc>
        <w:tc>
          <w:tcPr>
            <w:tcW w:w="192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9 524</w:t>
            </w:r>
          </w:p>
        </w:tc>
        <w:tc>
          <w:tcPr>
            <w:tcW w:w="1544"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sz w:val="18"/>
                <w:szCs w:val="18"/>
                <w:lang w:eastAsia="et-EE"/>
              </w:rPr>
            </w:pPr>
            <w:r w:rsidRPr="002827CD">
              <w:rPr>
                <w:b/>
                <w:bCs/>
                <w:sz w:val="18"/>
                <w:szCs w:val="18"/>
                <w:lang w:eastAsia="et-EE"/>
              </w:rPr>
              <w:t>24 020</w:t>
            </w:r>
          </w:p>
        </w:tc>
        <w:tc>
          <w:tcPr>
            <w:tcW w:w="165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sz w:val="18"/>
                <w:szCs w:val="18"/>
                <w:lang w:eastAsia="et-EE"/>
              </w:rPr>
            </w:pPr>
            <w:r w:rsidRPr="002827CD">
              <w:rPr>
                <w:b/>
                <w:bCs/>
                <w:sz w:val="18"/>
                <w:szCs w:val="18"/>
                <w:lang w:eastAsia="et-EE"/>
              </w:rPr>
              <w:t>288 240</w:t>
            </w:r>
          </w:p>
        </w:tc>
      </w:tr>
      <w:tr w:rsidR="00B6319C" w:rsidRPr="002827CD" w:rsidTr="00CD371C">
        <w:trPr>
          <w:trHeight w:val="288"/>
        </w:trPr>
        <w:tc>
          <w:tcPr>
            <w:tcW w:w="3707"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left"/>
              <w:rPr>
                <w:b/>
                <w:bCs/>
                <w:sz w:val="18"/>
                <w:szCs w:val="18"/>
                <w:lang w:eastAsia="et-EE"/>
              </w:rPr>
            </w:pPr>
            <w:r w:rsidRPr="002827CD">
              <w:rPr>
                <w:b/>
                <w:bCs/>
                <w:sz w:val="18"/>
                <w:szCs w:val="18"/>
                <w:lang w:eastAsia="et-EE"/>
              </w:rPr>
              <w:t>Põhiseaduslikud institutsioonid</w:t>
            </w:r>
          </w:p>
        </w:tc>
        <w:tc>
          <w:tcPr>
            <w:tcW w:w="6755" w:type="dxa"/>
            <w:gridSpan w:val="4"/>
            <w:tcBorders>
              <w:top w:val="single" w:sz="4" w:space="0" w:color="auto"/>
              <w:left w:val="nil"/>
              <w:bottom w:val="single" w:sz="4" w:space="0" w:color="auto"/>
              <w:right w:val="single" w:sz="4" w:space="0" w:color="000000"/>
            </w:tcBorders>
            <w:shd w:val="clear" w:color="000000" w:fill="DBEEF3"/>
            <w:noWrap/>
            <w:vAlign w:val="bottom"/>
            <w:hideMark/>
          </w:tcPr>
          <w:p w:rsidR="00B6319C" w:rsidRPr="002827CD" w:rsidRDefault="00B6319C" w:rsidP="002827CD">
            <w:pPr>
              <w:spacing w:before="0"/>
              <w:jc w:val="center"/>
              <w:rPr>
                <w:b/>
                <w:bCs/>
                <w:sz w:val="18"/>
                <w:szCs w:val="18"/>
                <w:lang w:eastAsia="et-EE"/>
              </w:rPr>
            </w:pPr>
          </w:p>
        </w:tc>
        <w:tc>
          <w:tcPr>
            <w:tcW w:w="165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sz w:val="18"/>
                <w:szCs w:val="18"/>
                <w:lang w:eastAsia="et-EE"/>
              </w:rPr>
            </w:pP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Riigikogu Kantselei</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135</w:t>
            </w: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Maavalitsused</w:t>
            </w:r>
          </w:p>
        </w:tc>
        <w:tc>
          <w:tcPr>
            <w:tcW w:w="1640"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p>
        </w:tc>
        <w:tc>
          <w:tcPr>
            <w:tcW w:w="1643"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p>
        </w:tc>
        <w:tc>
          <w:tcPr>
            <w:tcW w:w="192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p>
        </w:tc>
        <w:tc>
          <w:tcPr>
            <w:tcW w:w="165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sz w:val="18"/>
                <w:szCs w:val="18"/>
                <w:lang w:eastAsia="et-EE"/>
              </w:rPr>
            </w:pP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Harju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480</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4 323</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2 557</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30 684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Hiiu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205</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1 335</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298</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3 576</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Ida-Viru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1 327</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7 010</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3 604</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43 248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Jõgeva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447</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5 013</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1 102</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13 224</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Järva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372</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4 522</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2 035</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24 420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Lääne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432</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4 806</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851</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10 212</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Lääne-Viru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661</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7 409</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1 800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21 600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Põlva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164</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989</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569</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6 828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Pärnu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349</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4 923</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5 159</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61 908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Rapla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497</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4 641</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1 490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17 880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Saare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856</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6 704</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650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7 800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Tartu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303</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2 520</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200</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2 400</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Valga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137</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1 670</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349</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4 188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Viljandi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364</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3 826</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1 443</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17 316</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Võru Maavalitsus</w:t>
            </w:r>
          </w:p>
        </w:tc>
        <w:tc>
          <w:tcPr>
            <w:tcW w:w="164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178</w:t>
            </w:r>
          </w:p>
        </w:tc>
        <w:tc>
          <w:tcPr>
            <w:tcW w:w="164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2 104</w:t>
            </w:r>
          </w:p>
        </w:tc>
        <w:tc>
          <w:tcPr>
            <w:tcW w:w="192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p>
        </w:tc>
        <w:tc>
          <w:tcPr>
            <w:tcW w:w="1544"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1 329</w:t>
            </w:r>
          </w:p>
        </w:tc>
        <w:tc>
          <w:tcPr>
            <w:tcW w:w="1658"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sz w:val="18"/>
                <w:szCs w:val="18"/>
                <w:lang w:eastAsia="et-EE"/>
              </w:rPr>
            </w:pPr>
            <w:r w:rsidRPr="002827CD">
              <w:rPr>
                <w:sz w:val="18"/>
                <w:szCs w:val="18"/>
                <w:lang w:eastAsia="et-EE"/>
              </w:rPr>
              <w:t>15 948</w:t>
            </w:r>
          </w:p>
        </w:tc>
      </w:tr>
      <w:tr w:rsidR="00B6319C" w:rsidRPr="002827CD" w:rsidTr="00CD371C">
        <w:trPr>
          <w:trHeight w:val="288"/>
        </w:trPr>
        <w:tc>
          <w:tcPr>
            <w:tcW w:w="3707" w:type="dxa"/>
            <w:tcBorders>
              <w:top w:val="nil"/>
              <w:left w:val="single" w:sz="4" w:space="0" w:color="auto"/>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Kokku</w:t>
            </w:r>
          </w:p>
        </w:tc>
        <w:tc>
          <w:tcPr>
            <w:tcW w:w="1640"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14 446</w:t>
            </w:r>
          </w:p>
        </w:tc>
        <w:tc>
          <w:tcPr>
            <w:tcW w:w="1643"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410 909</w:t>
            </w:r>
          </w:p>
        </w:tc>
        <w:tc>
          <w:tcPr>
            <w:tcW w:w="192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88 515</w:t>
            </w:r>
          </w:p>
        </w:tc>
        <w:tc>
          <w:tcPr>
            <w:tcW w:w="1544" w:type="dxa"/>
            <w:tcBorders>
              <w:top w:val="nil"/>
              <w:left w:val="nil"/>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center"/>
              <w:rPr>
                <w:b/>
                <w:bCs/>
                <w:sz w:val="18"/>
                <w:szCs w:val="18"/>
                <w:lang w:eastAsia="et-EE"/>
              </w:rPr>
            </w:pPr>
            <w:r w:rsidRPr="002827CD">
              <w:rPr>
                <w:b/>
                <w:bCs/>
                <w:sz w:val="18"/>
                <w:szCs w:val="18"/>
                <w:lang w:eastAsia="et-EE"/>
              </w:rPr>
              <w:t>296 379</w:t>
            </w:r>
          </w:p>
        </w:tc>
        <w:tc>
          <w:tcPr>
            <w:tcW w:w="1658"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sz w:val="18"/>
                <w:szCs w:val="18"/>
                <w:lang w:eastAsia="et-EE"/>
              </w:rPr>
            </w:pPr>
            <w:r w:rsidRPr="002827CD">
              <w:rPr>
                <w:b/>
                <w:bCs/>
                <w:sz w:val="18"/>
                <w:szCs w:val="18"/>
                <w:lang w:eastAsia="et-EE"/>
              </w:rPr>
              <w:t>3 556 548</w:t>
            </w:r>
          </w:p>
        </w:tc>
      </w:tr>
    </w:tbl>
    <w:p w:rsidR="00B6319C" w:rsidRDefault="00B6319C" w:rsidP="00B6319C">
      <w:pPr>
        <w:pStyle w:val="Caption"/>
      </w:pPr>
    </w:p>
    <w:p w:rsidR="002827CD" w:rsidRDefault="002827CD" w:rsidP="002827CD">
      <w:pPr>
        <w:pStyle w:val="Caption"/>
      </w:pPr>
    </w:p>
    <w:p w:rsidR="002827CD" w:rsidRDefault="002827CD" w:rsidP="002827CD">
      <w:pPr>
        <w:pStyle w:val="Caption"/>
      </w:pPr>
      <w:r>
        <w:t xml:space="preserve">Tabel </w:t>
      </w:r>
      <w:fldSimple w:instr=" SEQ Tabel \* ARABIC ">
        <w:r w:rsidR="00477322">
          <w:rPr>
            <w:noProof/>
          </w:rPr>
          <w:t>9</w:t>
        </w:r>
      </w:fldSimple>
      <w:r>
        <w:t xml:space="preserve">. </w:t>
      </w:r>
      <w:r w:rsidRPr="00143E9B">
        <w:t>Riigi hoonete kasutamiseks andmine valitsejate lõikes seisuga 31.12.2014</w:t>
      </w:r>
    </w:p>
    <w:tbl>
      <w:tblPr>
        <w:tblW w:w="12360" w:type="dxa"/>
        <w:tblInd w:w="65" w:type="dxa"/>
        <w:tblCellMar>
          <w:left w:w="70" w:type="dxa"/>
          <w:right w:w="70" w:type="dxa"/>
        </w:tblCellMar>
        <w:tblLook w:val="04A0"/>
      </w:tblPr>
      <w:tblGrid>
        <w:gridCol w:w="5580"/>
        <w:gridCol w:w="1460"/>
        <w:gridCol w:w="1920"/>
        <w:gridCol w:w="1900"/>
        <w:gridCol w:w="1500"/>
      </w:tblGrid>
      <w:tr w:rsidR="00B6319C" w:rsidRPr="002827CD" w:rsidTr="00CD371C">
        <w:trPr>
          <w:trHeight w:val="480"/>
        </w:trPr>
        <w:tc>
          <w:tcPr>
            <w:tcW w:w="5580" w:type="dxa"/>
            <w:tcBorders>
              <w:top w:val="single" w:sz="4" w:space="0" w:color="auto"/>
              <w:left w:val="single" w:sz="4" w:space="0" w:color="auto"/>
              <w:bottom w:val="single" w:sz="4" w:space="0" w:color="auto"/>
              <w:right w:val="single" w:sz="4" w:space="0" w:color="auto"/>
            </w:tcBorders>
            <w:shd w:val="clear" w:color="DBE5F1" w:fill="DBEEF3"/>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Riigivara valitseja</w:t>
            </w:r>
          </w:p>
        </w:tc>
        <w:tc>
          <w:tcPr>
            <w:tcW w:w="1460" w:type="dxa"/>
            <w:tcBorders>
              <w:top w:val="single" w:sz="4" w:space="0" w:color="auto"/>
              <w:left w:val="nil"/>
              <w:bottom w:val="single" w:sz="4" w:space="0" w:color="auto"/>
              <w:right w:val="single" w:sz="4" w:space="0" w:color="auto"/>
            </w:tcBorders>
            <w:shd w:val="clear" w:color="DBE5F1"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Lepingute arv</w:t>
            </w:r>
          </w:p>
        </w:tc>
        <w:tc>
          <w:tcPr>
            <w:tcW w:w="1920" w:type="dxa"/>
            <w:tcBorders>
              <w:top w:val="single" w:sz="4" w:space="0" w:color="auto"/>
              <w:left w:val="nil"/>
              <w:bottom w:val="single" w:sz="4" w:space="0" w:color="auto"/>
              <w:right w:val="single" w:sz="4" w:space="0" w:color="auto"/>
            </w:tcBorders>
            <w:shd w:val="clear" w:color="DBE5F1"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Üüripind hoones m</w:t>
            </w:r>
            <w:r w:rsidR="002827CD">
              <w:rPr>
                <w:b/>
                <w:bCs/>
                <w:color w:val="000000"/>
                <w:sz w:val="18"/>
                <w:szCs w:val="18"/>
                <w:lang w:eastAsia="et-EE"/>
              </w:rPr>
              <w:t>²</w:t>
            </w:r>
          </w:p>
        </w:tc>
        <w:tc>
          <w:tcPr>
            <w:tcW w:w="1900" w:type="dxa"/>
            <w:tcBorders>
              <w:top w:val="single" w:sz="4" w:space="0" w:color="auto"/>
              <w:left w:val="nil"/>
              <w:bottom w:val="single" w:sz="4" w:space="0" w:color="auto"/>
              <w:right w:val="single" w:sz="4" w:space="0" w:color="auto"/>
            </w:tcBorders>
            <w:shd w:val="clear" w:color="DBE5F1"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Kasutustasu kuus</w:t>
            </w:r>
          </w:p>
        </w:tc>
        <w:tc>
          <w:tcPr>
            <w:tcW w:w="1500" w:type="dxa"/>
            <w:tcBorders>
              <w:top w:val="single" w:sz="4" w:space="0" w:color="auto"/>
              <w:left w:val="nil"/>
              <w:bottom w:val="single" w:sz="4" w:space="0" w:color="auto"/>
              <w:right w:val="single" w:sz="4" w:space="0" w:color="auto"/>
            </w:tcBorders>
            <w:shd w:val="clear" w:color="DBE5F1"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€/m</w:t>
            </w:r>
            <w:r w:rsidR="002827CD">
              <w:rPr>
                <w:b/>
                <w:bCs/>
                <w:color w:val="000000"/>
                <w:sz w:val="18"/>
                <w:szCs w:val="18"/>
                <w:lang w:eastAsia="et-EE"/>
              </w:rPr>
              <w:t>²</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Haridus- ja Teadusministeerium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44</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16 189</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4 316</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0,27</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Justiitsministeerium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4 561</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747</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0,16</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Kaitseministeerium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534</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27 829</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6 940</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0,25</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Keskkonnaministeerium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86</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11 136</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5 437</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0,49</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Kultuuriministeerium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1 104</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2 137</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1,94</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Majandus- ja Kommunikatsiooniministeerium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11</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3 754</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461</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0,12</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Põllumajandusministeerium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41</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6 237</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3 635</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0,58</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Riigikantselei</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39</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25</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0,64</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Riigikogu Kantselei</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135</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0,00</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Siseministeerium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55</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11 423</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12 792</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1,12</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Välisministeerium</w:t>
            </w:r>
          </w:p>
        </w:tc>
        <w:tc>
          <w:tcPr>
            <w:tcW w:w="146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w:t>
            </w:r>
          </w:p>
        </w:tc>
        <w:tc>
          <w:tcPr>
            <w:tcW w:w="192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6 108</w:t>
            </w:r>
          </w:p>
        </w:tc>
        <w:tc>
          <w:tcPr>
            <w:tcW w:w="19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1500"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0,00</w:t>
            </w:r>
          </w:p>
        </w:tc>
      </w:tr>
      <w:tr w:rsidR="00B6319C" w:rsidRPr="002827CD" w:rsidTr="00CD371C">
        <w:trPr>
          <w:trHeight w:val="288"/>
        </w:trPr>
        <w:tc>
          <w:tcPr>
            <w:tcW w:w="5580" w:type="dxa"/>
            <w:tcBorders>
              <w:top w:val="nil"/>
              <w:left w:val="single" w:sz="4" w:space="0" w:color="auto"/>
              <w:bottom w:val="single" w:sz="4" w:space="0" w:color="auto"/>
              <w:right w:val="single" w:sz="4" w:space="0" w:color="auto"/>
            </w:tcBorders>
            <w:shd w:val="clear" w:color="DBE5F1" w:fill="DBE5F1"/>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Kokku</w:t>
            </w:r>
          </w:p>
        </w:tc>
        <w:tc>
          <w:tcPr>
            <w:tcW w:w="1460" w:type="dxa"/>
            <w:tcBorders>
              <w:top w:val="nil"/>
              <w:left w:val="nil"/>
              <w:bottom w:val="single" w:sz="4" w:space="0" w:color="auto"/>
              <w:right w:val="single" w:sz="4" w:space="0" w:color="auto"/>
            </w:tcBorders>
            <w:shd w:val="clear" w:color="DBE5F1" w:fill="DBE5F1"/>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791</w:t>
            </w:r>
          </w:p>
        </w:tc>
        <w:tc>
          <w:tcPr>
            <w:tcW w:w="1920" w:type="dxa"/>
            <w:tcBorders>
              <w:top w:val="nil"/>
              <w:left w:val="nil"/>
              <w:bottom w:val="single" w:sz="4" w:space="0" w:color="auto"/>
              <w:right w:val="single" w:sz="4" w:space="0" w:color="auto"/>
            </w:tcBorders>
            <w:shd w:val="clear" w:color="DBE5F1" w:fill="DBE5F1"/>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88 515</w:t>
            </w:r>
          </w:p>
        </w:tc>
        <w:tc>
          <w:tcPr>
            <w:tcW w:w="1900" w:type="dxa"/>
            <w:tcBorders>
              <w:top w:val="nil"/>
              <w:left w:val="nil"/>
              <w:bottom w:val="single" w:sz="4" w:space="0" w:color="auto"/>
              <w:right w:val="single" w:sz="4" w:space="0" w:color="auto"/>
            </w:tcBorders>
            <w:shd w:val="clear" w:color="DBE5F1" w:fill="DBE5F1"/>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36 490</w:t>
            </w:r>
          </w:p>
        </w:tc>
        <w:tc>
          <w:tcPr>
            <w:tcW w:w="1500"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0,41</w:t>
            </w:r>
          </w:p>
        </w:tc>
      </w:tr>
    </w:tbl>
    <w:p w:rsidR="00B6319C" w:rsidRDefault="00B6319C" w:rsidP="00B6319C">
      <w:pPr>
        <w:pStyle w:val="Caption"/>
      </w:pPr>
    </w:p>
    <w:p w:rsidR="002827CD" w:rsidRDefault="002827CD">
      <w:pPr>
        <w:spacing w:before="0"/>
        <w:jc w:val="left"/>
        <w:rPr>
          <w:rFonts w:eastAsia="Times New Roman" w:cs="Calibri"/>
          <w:b/>
          <w:bCs/>
          <w:color w:val="0070C0"/>
          <w:sz w:val="18"/>
          <w:szCs w:val="18"/>
        </w:rPr>
      </w:pPr>
      <w:r>
        <w:br w:type="page"/>
      </w:r>
    </w:p>
    <w:p w:rsidR="00B6319C" w:rsidRDefault="00B6319C" w:rsidP="00B6319C">
      <w:pPr>
        <w:pStyle w:val="Caption"/>
      </w:pPr>
      <w:bookmarkStart w:id="481" w:name="_Ref417896465"/>
      <w:r>
        <w:t xml:space="preserve">Tabel </w:t>
      </w:r>
      <w:fldSimple w:instr=" SEQ Tabel \* ARABIC ">
        <w:r w:rsidR="00477322">
          <w:rPr>
            <w:noProof/>
          </w:rPr>
          <w:t>10</w:t>
        </w:r>
      </w:fldSimple>
      <w:bookmarkEnd w:id="481"/>
      <w:r>
        <w:t>. Riigi hoonete kasutamiseks võtmine valitsejate lõikes seisuga 31.12.2014</w:t>
      </w:r>
    </w:p>
    <w:tbl>
      <w:tblPr>
        <w:tblW w:w="14097" w:type="dxa"/>
        <w:tblInd w:w="60" w:type="dxa"/>
        <w:tblLayout w:type="fixed"/>
        <w:tblCellMar>
          <w:left w:w="70" w:type="dxa"/>
          <w:right w:w="70" w:type="dxa"/>
        </w:tblCellMar>
        <w:tblLook w:val="04A0"/>
      </w:tblPr>
      <w:tblGrid>
        <w:gridCol w:w="3271"/>
        <w:gridCol w:w="992"/>
        <w:gridCol w:w="992"/>
        <w:gridCol w:w="1276"/>
        <w:gridCol w:w="1417"/>
        <w:gridCol w:w="709"/>
        <w:gridCol w:w="992"/>
        <w:gridCol w:w="993"/>
        <w:gridCol w:w="1275"/>
        <w:gridCol w:w="1399"/>
        <w:gridCol w:w="781"/>
      </w:tblGrid>
      <w:tr w:rsidR="00B6319C" w:rsidRPr="002827CD" w:rsidTr="00712A9B">
        <w:trPr>
          <w:trHeight w:val="292"/>
        </w:trPr>
        <w:tc>
          <w:tcPr>
            <w:tcW w:w="8657" w:type="dxa"/>
            <w:gridSpan w:val="6"/>
            <w:tcBorders>
              <w:top w:val="single" w:sz="8" w:space="0" w:color="auto"/>
              <w:left w:val="single" w:sz="8" w:space="0" w:color="auto"/>
              <w:bottom w:val="single" w:sz="4" w:space="0" w:color="auto"/>
              <w:right w:val="single" w:sz="8" w:space="0" w:color="000000"/>
            </w:tcBorders>
            <w:shd w:val="clear" w:color="000000" w:fill="DBEEF3"/>
            <w:vAlign w:val="bottom"/>
            <w:hideMark/>
          </w:tcPr>
          <w:bookmarkEnd w:id="475"/>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Riigi poolt kasutusse võetud hooned (</w:t>
            </w:r>
            <w:r w:rsidR="00CA0572">
              <w:rPr>
                <w:b/>
                <w:bCs/>
                <w:color w:val="000000"/>
                <w:sz w:val="18"/>
                <w:szCs w:val="18"/>
                <w:lang w:eastAsia="et-EE"/>
              </w:rPr>
              <w:t xml:space="preserve">arvesse võetud ainult nende </w:t>
            </w:r>
            <w:r w:rsidRPr="002827CD">
              <w:rPr>
                <w:b/>
                <w:bCs/>
                <w:color w:val="000000"/>
                <w:sz w:val="18"/>
                <w:szCs w:val="18"/>
                <w:lang w:eastAsia="et-EE"/>
              </w:rPr>
              <w:t>üürilepingute tasud</w:t>
            </w:r>
            <w:r w:rsidR="00CA0572">
              <w:rPr>
                <w:b/>
                <w:bCs/>
                <w:color w:val="000000"/>
                <w:sz w:val="18"/>
                <w:szCs w:val="18"/>
                <w:lang w:eastAsia="et-EE"/>
              </w:rPr>
              <w:t>, millel</w:t>
            </w:r>
            <w:r w:rsidR="00CB0F46">
              <w:rPr>
                <w:b/>
                <w:bCs/>
                <w:color w:val="000000"/>
                <w:sz w:val="18"/>
                <w:szCs w:val="18"/>
                <w:lang w:eastAsia="et-EE"/>
              </w:rPr>
              <w:t xml:space="preserve"> registris on üüripinna andmed kirjeldatud</w:t>
            </w:r>
            <w:r w:rsidRPr="002827CD">
              <w:rPr>
                <w:b/>
                <w:bCs/>
                <w:color w:val="000000"/>
                <w:sz w:val="18"/>
                <w:szCs w:val="18"/>
                <w:lang w:eastAsia="et-EE"/>
              </w:rPr>
              <w:t>)</w:t>
            </w:r>
          </w:p>
        </w:tc>
        <w:tc>
          <w:tcPr>
            <w:tcW w:w="5440" w:type="dxa"/>
            <w:gridSpan w:val="5"/>
            <w:tcBorders>
              <w:top w:val="single" w:sz="8" w:space="0" w:color="auto"/>
              <w:left w:val="nil"/>
              <w:bottom w:val="single" w:sz="4" w:space="0" w:color="auto"/>
              <w:right w:val="single" w:sz="8" w:space="0" w:color="000000"/>
            </w:tcBorders>
            <w:shd w:val="clear" w:color="000000" w:fill="DBEEF3"/>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Sh RKAS</w:t>
            </w:r>
            <w:r w:rsidR="002827CD">
              <w:rPr>
                <w:b/>
                <w:bCs/>
                <w:color w:val="000000"/>
                <w:sz w:val="18"/>
                <w:szCs w:val="18"/>
                <w:lang w:eastAsia="et-EE"/>
              </w:rPr>
              <w:t>-</w:t>
            </w:r>
            <w:r w:rsidRPr="002827CD">
              <w:rPr>
                <w:b/>
                <w:bCs/>
                <w:color w:val="000000"/>
                <w:sz w:val="18"/>
                <w:szCs w:val="18"/>
                <w:lang w:eastAsia="et-EE"/>
              </w:rPr>
              <w:t>ilt üüritav pind</w:t>
            </w:r>
          </w:p>
        </w:tc>
      </w:tr>
      <w:tr w:rsidR="00712A9B" w:rsidRPr="002827CD" w:rsidTr="00712A9B">
        <w:trPr>
          <w:trHeight w:val="1181"/>
        </w:trPr>
        <w:tc>
          <w:tcPr>
            <w:tcW w:w="3271" w:type="dxa"/>
            <w:tcBorders>
              <w:top w:val="nil"/>
              <w:left w:val="single" w:sz="8" w:space="0" w:color="auto"/>
              <w:bottom w:val="single" w:sz="4" w:space="0" w:color="auto"/>
              <w:right w:val="single" w:sz="4" w:space="0" w:color="auto"/>
            </w:tcBorders>
            <w:shd w:val="clear" w:color="DBE5F1" w:fill="DBE5F1"/>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 xml:space="preserve"> </w:t>
            </w:r>
          </w:p>
        </w:tc>
        <w:tc>
          <w:tcPr>
            <w:tcW w:w="992"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Hoonete arv</w:t>
            </w:r>
          </w:p>
        </w:tc>
        <w:tc>
          <w:tcPr>
            <w:tcW w:w="992"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Hoonete pind m</w:t>
            </w:r>
            <w:r w:rsidR="002827CD">
              <w:rPr>
                <w:b/>
                <w:bCs/>
                <w:color w:val="000000"/>
                <w:sz w:val="18"/>
                <w:szCs w:val="18"/>
                <w:lang w:eastAsia="et-EE"/>
              </w:rPr>
              <w:t>²</w:t>
            </w:r>
          </w:p>
        </w:tc>
        <w:tc>
          <w:tcPr>
            <w:tcW w:w="1276"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Keskmine kasutatav pind hoones</w:t>
            </w:r>
            <w:r w:rsidR="002827CD">
              <w:rPr>
                <w:b/>
                <w:bCs/>
                <w:color w:val="000000"/>
                <w:sz w:val="18"/>
                <w:szCs w:val="18"/>
                <w:lang w:eastAsia="et-EE"/>
              </w:rPr>
              <w:t xml:space="preserve"> m²</w:t>
            </w:r>
          </w:p>
        </w:tc>
        <w:tc>
          <w:tcPr>
            <w:tcW w:w="1417"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Kasutustasu kuus</w:t>
            </w:r>
            <w:r w:rsidR="002827CD">
              <w:rPr>
                <w:b/>
                <w:bCs/>
                <w:color w:val="000000"/>
                <w:sz w:val="18"/>
                <w:szCs w:val="18"/>
                <w:lang w:eastAsia="et-EE"/>
              </w:rPr>
              <w:t xml:space="preserve"> €</w:t>
            </w:r>
          </w:p>
        </w:tc>
        <w:tc>
          <w:tcPr>
            <w:tcW w:w="709" w:type="dxa"/>
            <w:tcBorders>
              <w:top w:val="nil"/>
              <w:left w:val="nil"/>
              <w:bottom w:val="single" w:sz="4" w:space="0" w:color="auto"/>
              <w:right w:val="single" w:sz="8" w:space="0" w:color="auto"/>
            </w:tcBorders>
            <w:shd w:val="clear" w:color="DBE5F1" w:fill="DBE5F1"/>
            <w:vAlign w:val="bottom"/>
            <w:hideMark/>
          </w:tcPr>
          <w:p w:rsidR="00B6319C" w:rsidRPr="002827CD" w:rsidRDefault="002827CD" w:rsidP="002827CD">
            <w:pPr>
              <w:spacing w:before="0"/>
              <w:jc w:val="center"/>
              <w:rPr>
                <w:b/>
                <w:bCs/>
                <w:color w:val="000000"/>
                <w:sz w:val="18"/>
                <w:szCs w:val="18"/>
                <w:lang w:eastAsia="et-EE"/>
              </w:rPr>
            </w:pPr>
            <w:r>
              <w:rPr>
                <w:b/>
                <w:bCs/>
                <w:color w:val="000000"/>
                <w:sz w:val="18"/>
                <w:szCs w:val="18"/>
                <w:lang w:eastAsia="et-EE"/>
              </w:rPr>
              <w:t>€</w:t>
            </w:r>
            <w:r w:rsidR="00B6319C" w:rsidRPr="002827CD">
              <w:rPr>
                <w:b/>
                <w:bCs/>
                <w:color w:val="000000"/>
                <w:sz w:val="18"/>
                <w:szCs w:val="18"/>
                <w:lang w:eastAsia="et-EE"/>
              </w:rPr>
              <w:t>/m²</w:t>
            </w:r>
          </w:p>
        </w:tc>
        <w:tc>
          <w:tcPr>
            <w:tcW w:w="992"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Hoonete arv</w:t>
            </w:r>
          </w:p>
        </w:tc>
        <w:tc>
          <w:tcPr>
            <w:tcW w:w="993"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Hoonete pind</w:t>
            </w:r>
            <w:r w:rsidR="002827CD">
              <w:rPr>
                <w:b/>
                <w:bCs/>
                <w:color w:val="000000"/>
                <w:sz w:val="18"/>
                <w:szCs w:val="18"/>
                <w:lang w:eastAsia="et-EE"/>
              </w:rPr>
              <w:t xml:space="preserve"> m²</w:t>
            </w:r>
          </w:p>
        </w:tc>
        <w:tc>
          <w:tcPr>
            <w:tcW w:w="1275"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Keskmine kasutatav pind hoones</w:t>
            </w:r>
            <w:r w:rsidR="002827CD">
              <w:rPr>
                <w:b/>
                <w:bCs/>
                <w:color w:val="000000"/>
                <w:sz w:val="18"/>
                <w:szCs w:val="18"/>
                <w:lang w:eastAsia="et-EE"/>
              </w:rPr>
              <w:t xml:space="preserve"> m²</w:t>
            </w:r>
          </w:p>
        </w:tc>
        <w:tc>
          <w:tcPr>
            <w:tcW w:w="1399" w:type="dxa"/>
            <w:tcBorders>
              <w:top w:val="nil"/>
              <w:left w:val="nil"/>
              <w:bottom w:val="single" w:sz="4" w:space="0" w:color="auto"/>
              <w:right w:val="single" w:sz="4" w:space="0" w:color="auto"/>
            </w:tcBorders>
            <w:shd w:val="clear" w:color="DBE5F1" w:fill="DBE5F1"/>
            <w:vAlign w:val="bottom"/>
            <w:hideMark/>
          </w:tcPr>
          <w:p w:rsidR="00B6319C" w:rsidRPr="002827CD" w:rsidRDefault="00B6319C" w:rsidP="002827CD">
            <w:pPr>
              <w:spacing w:before="0"/>
              <w:jc w:val="center"/>
              <w:rPr>
                <w:b/>
                <w:bCs/>
                <w:color w:val="000000"/>
                <w:sz w:val="18"/>
                <w:szCs w:val="18"/>
                <w:lang w:eastAsia="et-EE"/>
              </w:rPr>
            </w:pPr>
            <w:r w:rsidRPr="002827CD">
              <w:rPr>
                <w:b/>
                <w:bCs/>
                <w:color w:val="000000"/>
                <w:sz w:val="18"/>
                <w:szCs w:val="18"/>
                <w:lang w:eastAsia="et-EE"/>
              </w:rPr>
              <w:t>Kasutustasu kuus</w:t>
            </w:r>
            <w:r w:rsidR="002827CD">
              <w:rPr>
                <w:b/>
                <w:bCs/>
                <w:color w:val="000000"/>
                <w:sz w:val="18"/>
                <w:szCs w:val="18"/>
                <w:lang w:eastAsia="et-EE"/>
              </w:rPr>
              <w:t xml:space="preserve"> €</w:t>
            </w:r>
          </w:p>
        </w:tc>
        <w:tc>
          <w:tcPr>
            <w:tcW w:w="781" w:type="dxa"/>
            <w:tcBorders>
              <w:top w:val="nil"/>
              <w:left w:val="nil"/>
              <w:bottom w:val="single" w:sz="4" w:space="0" w:color="auto"/>
              <w:right w:val="single" w:sz="8" w:space="0" w:color="auto"/>
            </w:tcBorders>
            <w:shd w:val="clear" w:color="DBE5F1" w:fill="DBE5F1"/>
            <w:vAlign w:val="bottom"/>
            <w:hideMark/>
          </w:tcPr>
          <w:p w:rsidR="00B6319C" w:rsidRPr="002827CD" w:rsidRDefault="002827CD" w:rsidP="002827CD">
            <w:pPr>
              <w:spacing w:before="0"/>
              <w:jc w:val="center"/>
              <w:rPr>
                <w:b/>
                <w:bCs/>
                <w:color w:val="000000"/>
                <w:sz w:val="18"/>
                <w:szCs w:val="18"/>
                <w:lang w:eastAsia="et-EE"/>
              </w:rPr>
            </w:pPr>
            <w:r>
              <w:rPr>
                <w:b/>
                <w:bCs/>
                <w:color w:val="000000"/>
                <w:sz w:val="18"/>
                <w:szCs w:val="18"/>
                <w:lang w:eastAsia="et-EE"/>
              </w:rPr>
              <w:t>€</w:t>
            </w:r>
            <w:r w:rsidR="00B6319C" w:rsidRPr="002827CD">
              <w:rPr>
                <w:b/>
                <w:bCs/>
                <w:color w:val="000000"/>
                <w:sz w:val="18"/>
                <w:szCs w:val="18"/>
                <w:lang w:eastAsia="et-EE"/>
              </w:rPr>
              <w:t>/m</w:t>
            </w:r>
            <w:r>
              <w:rPr>
                <w:b/>
                <w:bCs/>
                <w:color w:val="000000"/>
                <w:sz w:val="18"/>
                <w:szCs w:val="18"/>
                <w:lang w:eastAsia="et-EE"/>
              </w:rPr>
              <w:t>²</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DBE5F1"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Ministeeriumid</w:t>
            </w: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276"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417"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709" w:type="dxa"/>
            <w:tcBorders>
              <w:top w:val="nil"/>
              <w:left w:val="nil"/>
              <w:bottom w:val="single" w:sz="4" w:space="0" w:color="auto"/>
              <w:right w:val="single" w:sz="8"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993"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275"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399"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781" w:type="dxa"/>
            <w:tcBorders>
              <w:top w:val="nil"/>
              <w:left w:val="nil"/>
              <w:bottom w:val="single" w:sz="4" w:space="0" w:color="auto"/>
              <w:right w:val="single" w:sz="8"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Haridus- ja Teadusministeerium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44</w:t>
            </w:r>
          </w:p>
        </w:tc>
        <w:tc>
          <w:tcPr>
            <w:tcW w:w="992" w:type="dxa"/>
            <w:tcBorders>
              <w:top w:val="nil"/>
              <w:left w:val="nil"/>
              <w:bottom w:val="nil"/>
              <w:right w:val="nil"/>
            </w:tcBorders>
            <w:shd w:val="clear" w:color="000000" w:fill="FFFFFF"/>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60 138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1 367</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237 232</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3,94</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32</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54</w:t>
            </w:r>
            <w:r w:rsidR="00607E04">
              <w:rPr>
                <w:color w:val="000000"/>
                <w:sz w:val="18"/>
                <w:szCs w:val="18"/>
                <w:lang w:eastAsia="et-EE"/>
              </w:rPr>
              <w:t xml:space="preserve"> </w:t>
            </w:r>
            <w:r w:rsidRPr="002827CD">
              <w:rPr>
                <w:color w:val="000000"/>
                <w:sz w:val="18"/>
                <w:szCs w:val="18"/>
                <w:lang w:eastAsia="et-EE"/>
              </w:rPr>
              <w:t>407</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700</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227 803</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4,19</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Justiitsministeerium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141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152 252</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1 080</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1 159 078</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7,61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106</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135</w:t>
            </w:r>
            <w:r w:rsidR="00607E04">
              <w:rPr>
                <w:color w:val="000000"/>
                <w:sz w:val="18"/>
                <w:szCs w:val="18"/>
                <w:lang w:eastAsia="et-EE"/>
              </w:rPr>
              <w:t xml:space="preserve"> </w:t>
            </w:r>
            <w:r w:rsidRPr="002827CD">
              <w:rPr>
                <w:color w:val="000000"/>
                <w:sz w:val="18"/>
                <w:szCs w:val="18"/>
                <w:lang w:eastAsia="et-EE"/>
              </w:rPr>
              <w:t>588</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279</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1 070 360</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7,89</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Kaitseministeerium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10</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3 125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312</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12 534</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4,01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0,00</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Keskkonnaministeerium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15 623</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504</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19 508</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21</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w:t>
            </w:r>
            <w:r w:rsidR="00607E04">
              <w:rPr>
                <w:color w:val="000000"/>
                <w:sz w:val="18"/>
                <w:szCs w:val="18"/>
                <w:lang w:eastAsia="et-EE"/>
              </w:rPr>
              <w:t xml:space="preserve"> </w:t>
            </w:r>
            <w:r w:rsidRPr="002827CD">
              <w:rPr>
                <w:color w:val="000000"/>
                <w:sz w:val="18"/>
                <w:szCs w:val="18"/>
                <w:lang w:eastAsia="et-EE"/>
              </w:rPr>
              <w:t>224</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344</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6 544</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0,91</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Kultuuriministeerium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79 860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3 194</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17 690</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0,22</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24</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78</w:t>
            </w:r>
            <w:r w:rsidR="00607E04">
              <w:rPr>
                <w:color w:val="000000"/>
                <w:sz w:val="18"/>
                <w:szCs w:val="18"/>
                <w:lang w:eastAsia="et-EE"/>
              </w:rPr>
              <w:t xml:space="preserve"> </w:t>
            </w:r>
            <w:r w:rsidRPr="002827CD">
              <w:rPr>
                <w:color w:val="000000"/>
                <w:sz w:val="18"/>
                <w:szCs w:val="18"/>
                <w:lang w:eastAsia="et-EE"/>
              </w:rPr>
              <w:t>338</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w:t>
            </w:r>
            <w:r w:rsidR="00607E04">
              <w:rPr>
                <w:color w:val="000000"/>
                <w:sz w:val="18"/>
                <w:szCs w:val="18"/>
                <w:lang w:eastAsia="et-EE"/>
              </w:rPr>
              <w:t xml:space="preserve"> </w:t>
            </w:r>
            <w:r w:rsidRPr="002827CD">
              <w:rPr>
                <w:color w:val="000000"/>
                <w:sz w:val="18"/>
                <w:szCs w:val="18"/>
                <w:lang w:eastAsia="et-EE"/>
              </w:rPr>
              <w:t>264</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1 195</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0,02</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Majandus- ja Kommunikatsiooniministeerium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17</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7 496</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441</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57 900</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7,72</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w:t>
            </w:r>
            <w:r w:rsidR="00607E04">
              <w:rPr>
                <w:color w:val="000000"/>
                <w:sz w:val="18"/>
                <w:szCs w:val="18"/>
                <w:lang w:eastAsia="et-EE"/>
              </w:rPr>
              <w:t xml:space="preserve"> </w:t>
            </w:r>
            <w:r w:rsidRPr="002827CD">
              <w:rPr>
                <w:color w:val="000000"/>
                <w:sz w:val="18"/>
                <w:szCs w:val="18"/>
                <w:lang w:eastAsia="et-EE"/>
              </w:rPr>
              <w:t>227</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113</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7 990</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3,59</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Põllumajandusministeerium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7 678</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307</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3546A" w:rsidP="002827CD">
            <w:pPr>
              <w:spacing w:before="0"/>
              <w:jc w:val="center"/>
              <w:rPr>
                <w:color w:val="000000"/>
                <w:sz w:val="18"/>
                <w:szCs w:val="18"/>
                <w:lang w:eastAsia="et-EE"/>
              </w:rPr>
            </w:pPr>
            <w:r>
              <w:rPr>
                <w:color w:val="000000"/>
                <w:sz w:val="18"/>
                <w:szCs w:val="18"/>
                <w:lang w:eastAsia="et-EE"/>
              </w:rPr>
              <w:t>35 418</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3546A" w:rsidP="002827CD">
            <w:pPr>
              <w:spacing w:before="0"/>
              <w:jc w:val="center"/>
              <w:rPr>
                <w:color w:val="000000"/>
                <w:sz w:val="18"/>
                <w:szCs w:val="18"/>
                <w:lang w:eastAsia="et-EE"/>
              </w:rPr>
            </w:pPr>
            <w:r>
              <w:rPr>
                <w:color w:val="000000"/>
                <w:sz w:val="18"/>
                <w:szCs w:val="18"/>
                <w:lang w:eastAsia="et-EE"/>
              </w:rPr>
              <w:t>4,61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607</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230</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3546A" w:rsidP="002827CD">
            <w:pPr>
              <w:spacing w:before="0"/>
              <w:jc w:val="center"/>
              <w:rPr>
                <w:color w:val="000000"/>
                <w:sz w:val="18"/>
                <w:szCs w:val="18"/>
                <w:lang w:eastAsia="et-EE"/>
              </w:rPr>
            </w:pPr>
            <w:r>
              <w:rPr>
                <w:color w:val="000000"/>
                <w:sz w:val="18"/>
                <w:szCs w:val="18"/>
                <w:lang w:eastAsia="et-EE"/>
              </w:rPr>
              <w:t>3989</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3546A" w:rsidP="002827CD">
            <w:pPr>
              <w:spacing w:before="0"/>
              <w:jc w:val="center"/>
              <w:rPr>
                <w:color w:val="000000"/>
                <w:sz w:val="18"/>
                <w:szCs w:val="18"/>
                <w:lang w:eastAsia="et-EE"/>
              </w:rPr>
            </w:pPr>
            <w:r>
              <w:rPr>
                <w:color w:val="000000"/>
                <w:sz w:val="18"/>
                <w:szCs w:val="18"/>
                <w:lang w:eastAsia="et-EE"/>
              </w:rPr>
              <w:t>2,48</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Rahandusministeerium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44</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45 825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1 041</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497 798</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10,86</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20</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38</w:t>
            </w:r>
            <w:r w:rsidR="00607E04">
              <w:rPr>
                <w:color w:val="000000"/>
                <w:sz w:val="18"/>
                <w:szCs w:val="18"/>
                <w:lang w:eastAsia="et-EE"/>
              </w:rPr>
              <w:t xml:space="preserve"> </w:t>
            </w:r>
            <w:r w:rsidRPr="002827CD">
              <w:rPr>
                <w:color w:val="000000"/>
                <w:sz w:val="18"/>
                <w:szCs w:val="18"/>
                <w:lang w:eastAsia="et-EE"/>
              </w:rPr>
              <w:t>236</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912</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470 594</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12,31</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Siseministeerium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309</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227 040</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735</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1 758 746</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7,75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228</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178</w:t>
            </w:r>
            <w:r w:rsidR="00607E04">
              <w:rPr>
                <w:color w:val="000000"/>
                <w:sz w:val="18"/>
                <w:szCs w:val="18"/>
                <w:lang w:eastAsia="et-EE"/>
              </w:rPr>
              <w:t xml:space="preserve"> </w:t>
            </w:r>
            <w:r w:rsidRPr="002827CD">
              <w:rPr>
                <w:color w:val="000000"/>
                <w:sz w:val="18"/>
                <w:szCs w:val="18"/>
                <w:lang w:eastAsia="et-EE"/>
              </w:rPr>
              <w:t>879</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785</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1 237 502</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6,92</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Sotsiaalministeerium</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53</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40 165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758</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122 599</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3,05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32</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29</w:t>
            </w:r>
            <w:r w:rsidR="00607E04">
              <w:rPr>
                <w:color w:val="000000"/>
                <w:sz w:val="18"/>
                <w:szCs w:val="18"/>
                <w:lang w:eastAsia="et-EE"/>
              </w:rPr>
              <w:t xml:space="preserve"> </w:t>
            </w:r>
            <w:r w:rsidRPr="002827CD">
              <w:rPr>
                <w:color w:val="000000"/>
                <w:sz w:val="18"/>
                <w:szCs w:val="18"/>
                <w:lang w:eastAsia="et-EE"/>
              </w:rPr>
              <w:t>853</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933</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88 412</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2,96</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Põhiseaduslikud institutsioonid</w:t>
            </w: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p>
        </w:tc>
        <w:tc>
          <w:tcPr>
            <w:tcW w:w="1276"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FF0000"/>
                <w:sz w:val="18"/>
                <w:szCs w:val="18"/>
                <w:lang w:eastAsia="et-EE"/>
              </w:rPr>
            </w:pPr>
          </w:p>
        </w:tc>
        <w:tc>
          <w:tcPr>
            <w:tcW w:w="1417"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p>
        </w:tc>
        <w:tc>
          <w:tcPr>
            <w:tcW w:w="709" w:type="dxa"/>
            <w:tcBorders>
              <w:top w:val="nil"/>
              <w:left w:val="nil"/>
              <w:bottom w:val="single" w:sz="4" w:space="0" w:color="auto"/>
              <w:right w:val="single" w:sz="8"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992"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p>
        </w:tc>
        <w:tc>
          <w:tcPr>
            <w:tcW w:w="993"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p>
        </w:tc>
        <w:tc>
          <w:tcPr>
            <w:tcW w:w="1275"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c>
          <w:tcPr>
            <w:tcW w:w="1399" w:type="dxa"/>
            <w:tcBorders>
              <w:top w:val="nil"/>
              <w:left w:val="nil"/>
              <w:bottom w:val="single" w:sz="4" w:space="0" w:color="auto"/>
              <w:right w:val="single" w:sz="4" w:space="0" w:color="auto"/>
            </w:tcBorders>
            <w:shd w:val="clear" w:color="000000" w:fill="DBEEF3"/>
            <w:noWrap/>
            <w:vAlign w:val="bottom"/>
            <w:hideMark/>
          </w:tcPr>
          <w:p w:rsidR="00B6319C" w:rsidRPr="002827CD" w:rsidRDefault="00B6319C" w:rsidP="002827CD">
            <w:pPr>
              <w:spacing w:before="0"/>
              <w:jc w:val="center"/>
              <w:rPr>
                <w:b/>
                <w:bCs/>
                <w:color w:val="000000"/>
                <w:sz w:val="18"/>
                <w:szCs w:val="18"/>
                <w:lang w:eastAsia="et-EE"/>
              </w:rPr>
            </w:pPr>
          </w:p>
        </w:tc>
        <w:tc>
          <w:tcPr>
            <w:tcW w:w="781" w:type="dxa"/>
            <w:tcBorders>
              <w:top w:val="nil"/>
              <w:left w:val="nil"/>
              <w:bottom w:val="single" w:sz="4" w:space="0" w:color="auto"/>
              <w:right w:val="single" w:sz="8" w:space="0" w:color="auto"/>
            </w:tcBorders>
            <w:shd w:val="clear" w:color="000000" w:fill="DBEEF3"/>
            <w:noWrap/>
            <w:vAlign w:val="bottom"/>
            <w:hideMark/>
          </w:tcPr>
          <w:p w:rsidR="00B6319C" w:rsidRPr="002827CD" w:rsidRDefault="00B6319C" w:rsidP="002827CD">
            <w:pPr>
              <w:spacing w:before="0"/>
              <w:jc w:val="center"/>
              <w:rPr>
                <w:color w:val="000000"/>
                <w:sz w:val="18"/>
                <w:szCs w:val="18"/>
                <w:lang w:eastAsia="et-EE"/>
              </w:rPr>
            </w:pP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Riigikohus</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75</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735</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9,77</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75</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75</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735</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9,77</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B6319C" w:rsidP="002827CD">
            <w:pPr>
              <w:spacing w:before="0"/>
              <w:jc w:val="left"/>
              <w:rPr>
                <w:color w:val="000000"/>
                <w:sz w:val="18"/>
                <w:szCs w:val="18"/>
                <w:lang w:eastAsia="et-EE"/>
              </w:rPr>
            </w:pPr>
            <w:r w:rsidRPr="002827CD">
              <w:rPr>
                <w:color w:val="000000"/>
                <w:sz w:val="18"/>
                <w:szCs w:val="18"/>
                <w:lang w:eastAsia="et-EE"/>
              </w:rPr>
              <w:t>Riigikontroll</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1 995</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1 995</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25 781</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12,92</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995</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995</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25 781</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12,92</w:t>
            </w:r>
          </w:p>
        </w:tc>
      </w:tr>
      <w:tr w:rsidR="00712A9B" w:rsidRPr="002827CD" w:rsidTr="00712A9B">
        <w:trPr>
          <w:trHeight w:val="292"/>
        </w:trPr>
        <w:tc>
          <w:tcPr>
            <w:tcW w:w="3271" w:type="dxa"/>
            <w:tcBorders>
              <w:top w:val="nil"/>
              <w:left w:val="single" w:sz="8" w:space="0" w:color="auto"/>
              <w:bottom w:val="single" w:sz="4" w:space="0" w:color="auto"/>
              <w:right w:val="single" w:sz="4" w:space="0" w:color="auto"/>
            </w:tcBorders>
            <w:shd w:val="clear" w:color="auto" w:fill="auto"/>
            <w:noWrap/>
            <w:vAlign w:val="bottom"/>
            <w:hideMark/>
          </w:tcPr>
          <w:p w:rsidR="00B6319C" w:rsidRPr="002827CD" w:rsidRDefault="0083753C" w:rsidP="002827CD">
            <w:pPr>
              <w:spacing w:before="0"/>
              <w:jc w:val="left"/>
              <w:rPr>
                <w:color w:val="000000"/>
                <w:sz w:val="18"/>
                <w:szCs w:val="18"/>
                <w:lang w:eastAsia="et-EE"/>
              </w:rPr>
            </w:pPr>
            <w:r>
              <w:rPr>
                <w:color w:val="000000"/>
                <w:sz w:val="18"/>
                <w:szCs w:val="18"/>
                <w:lang w:eastAsia="et-EE"/>
              </w:rPr>
              <w:t>Õ</w:t>
            </w:r>
            <w:r w:rsidR="00B6319C" w:rsidRPr="002827CD">
              <w:rPr>
                <w:color w:val="000000"/>
                <w:sz w:val="18"/>
                <w:szCs w:val="18"/>
                <w:lang w:eastAsia="et-EE"/>
              </w:rPr>
              <w:t>iguskantsleri Kantselei</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1 692</w:t>
            </w:r>
          </w:p>
        </w:tc>
        <w:tc>
          <w:tcPr>
            <w:tcW w:w="1276"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1 692</w:t>
            </w:r>
          </w:p>
        </w:tc>
        <w:tc>
          <w:tcPr>
            <w:tcW w:w="1417"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14 635</w:t>
            </w:r>
          </w:p>
        </w:tc>
        <w:tc>
          <w:tcPr>
            <w:tcW w:w="709"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8,65</w:t>
            </w:r>
          </w:p>
        </w:tc>
        <w:tc>
          <w:tcPr>
            <w:tcW w:w="992"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p>
        </w:tc>
        <w:tc>
          <w:tcPr>
            <w:tcW w:w="993"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692</w:t>
            </w:r>
          </w:p>
        </w:tc>
        <w:tc>
          <w:tcPr>
            <w:tcW w:w="1275"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w:t>
            </w:r>
            <w:r w:rsidR="00607E04">
              <w:rPr>
                <w:color w:val="000000"/>
                <w:sz w:val="18"/>
                <w:szCs w:val="18"/>
                <w:lang w:eastAsia="et-EE"/>
              </w:rPr>
              <w:t xml:space="preserve"> </w:t>
            </w:r>
            <w:r w:rsidRPr="002827CD">
              <w:rPr>
                <w:color w:val="000000"/>
                <w:sz w:val="18"/>
                <w:szCs w:val="18"/>
                <w:lang w:eastAsia="et-EE"/>
              </w:rPr>
              <w:t>692</w:t>
            </w:r>
          </w:p>
        </w:tc>
        <w:tc>
          <w:tcPr>
            <w:tcW w:w="1399" w:type="dxa"/>
            <w:tcBorders>
              <w:top w:val="nil"/>
              <w:left w:val="nil"/>
              <w:bottom w:val="single" w:sz="4" w:space="0" w:color="auto"/>
              <w:right w:val="single" w:sz="4"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14 635</w:t>
            </w:r>
          </w:p>
        </w:tc>
        <w:tc>
          <w:tcPr>
            <w:tcW w:w="781" w:type="dxa"/>
            <w:tcBorders>
              <w:top w:val="nil"/>
              <w:left w:val="nil"/>
              <w:bottom w:val="single" w:sz="4" w:space="0" w:color="auto"/>
              <w:right w:val="single" w:sz="8" w:space="0" w:color="auto"/>
            </w:tcBorders>
            <w:shd w:val="clear" w:color="auto" w:fill="auto"/>
            <w:noWrap/>
            <w:vAlign w:val="bottom"/>
            <w:hideMark/>
          </w:tcPr>
          <w:p w:rsidR="00B6319C" w:rsidRPr="002827CD" w:rsidRDefault="00B6319C" w:rsidP="002827CD">
            <w:pPr>
              <w:spacing w:before="0"/>
              <w:jc w:val="center"/>
              <w:rPr>
                <w:color w:val="000000"/>
                <w:sz w:val="18"/>
                <w:szCs w:val="18"/>
                <w:lang w:eastAsia="et-EE"/>
              </w:rPr>
            </w:pPr>
            <w:r w:rsidRPr="002827CD">
              <w:rPr>
                <w:color w:val="000000"/>
                <w:sz w:val="18"/>
                <w:szCs w:val="18"/>
                <w:lang w:eastAsia="et-EE"/>
              </w:rPr>
              <w:t>8,65</w:t>
            </w:r>
          </w:p>
        </w:tc>
      </w:tr>
      <w:tr w:rsidR="00712A9B" w:rsidRPr="002827CD" w:rsidTr="00712A9B">
        <w:trPr>
          <w:trHeight w:val="304"/>
        </w:trPr>
        <w:tc>
          <w:tcPr>
            <w:tcW w:w="3271" w:type="dxa"/>
            <w:tcBorders>
              <w:top w:val="nil"/>
              <w:left w:val="single" w:sz="8" w:space="0" w:color="auto"/>
              <w:bottom w:val="single" w:sz="8" w:space="0" w:color="auto"/>
              <w:right w:val="single" w:sz="4" w:space="0" w:color="auto"/>
            </w:tcBorders>
            <w:shd w:val="clear" w:color="DBE5F1" w:fill="DBEEF3"/>
            <w:noWrap/>
            <w:vAlign w:val="bottom"/>
            <w:hideMark/>
          </w:tcPr>
          <w:p w:rsidR="00B6319C" w:rsidRPr="002827CD" w:rsidRDefault="00B6319C" w:rsidP="002827CD">
            <w:pPr>
              <w:spacing w:before="0"/>
              <w:jc w:val="left"/>
              <w:rPr>
                <w:b/>
                <w:bCs/>
                <w:color w:val="000000"/>
                <w:sz w:val="18"/>
                <w:szCs w:val="18"/>
                <w:lang w:eastAsia="et-EE"/>
              </w:rPr>
            </w:pPr>
            <w:r w:rsidRPr="002827CD">
              <w:rPr>
                <w:b/>
                <w:bCs/>
                <w:color w:val="000000"/>
                <w:sz w:val="18"/>
                <w:szCs w:val="18"/>
                <w:lang w:eastAsia="et-EE"/>
              </w:rPr>
              <w:t>Kokku</w:t>
            </w:r>
          </w:p>
        </w:tc>
        <w:tc>
          <w:tcPr>
            <w:tcW w:w="992" w:type="dxa"/>
            <w:tcBorders>
              <w:top w:val="nil"/>
              <w:left w:val="nil"/>
              <w:bottom w:val="single" w:sz="8" w:space="0" w:color="auto"/>
              <w:right w:val="single" w:sz="4" w:space="0" w:color="auto"/>
            </w:tcBorders>
            <w:shd w:val="clear" w:color="000000"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702</w:t>
            </w:r>
          </w:p>
        </w:tc>
        <w:tc>
          <w:tcPr>
            <w:tcW w:w="992" w:type="dxa"/>
            <w:tcBorders>
              <w:top w:val="nil"/>
              <w:left w:val="nil"/>
              <w:bottom w:val="single" w:sz="8" w:space="0" w:color="auto"/>
              <w:right w:val="single" w:sz="4" w:space="0" w:color="auto"/>
            </w:tcBorders>
            <w:shd w:val="clear" w:color="DBE5F1"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642 965</w:t>
            </w:r>
          </w:p>
        </w:tc>
        <w:tc>
          <w:tcPr>
            <w:tcW w:w="1276" w:type="dxa"/>
            <w:tcBorders>
              <w:top w:val="nil"/>
              <w:left w:val="nil"/>
              <w:bottom w:val="single" w:sz="8" w:space="0" w:color="auto"/>
              <w:right w:val="single" w:sz="4" w:space="0" w:color="auto"/>
            </w:tcBorders>
            <w:shd w:val="clear" w:color="000000"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916</w:t>
            </w:r>
          </w:p>
        </w:tc>
        <w:tc>
          <w:tcPr>
            <w:tcW w:w="1417" w:type="dxa"/>
            <w:tcBorders>
              <w:top w:val="nil"/>
              <w:left w:val="nil"/>
              <w:bottom w:val="single" w:sz="8" w:space="0" w:color="auto"/>
              <w:right w:val="single" w:sz="4" w:space="0" w:color="auto"/>
            </w:tcBorders>
            <w:shd w:val="clear" w:color="DBE5F1"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3</w:t>
            </w:r>
            <w:r w:rsidR="00B3546A" w:rsidRPr="00B3546A">
              <w:rPr>
                <w:rFonts w:asciiTheme="minorHAnsi" w:hAnsiTheme="minorHAnsi"/>
                <w:b/>
                <w:bCs/>
                <w:color w:val="000000"/>
                <w:sz w:val="18"/>
                <w:szCs w:val="18"/>
                <w:lang w:eastAsia="et-EE"/>
              </w:rPr>
              <w:t> </w:t>
            </w:r>
            <w:r w:rsidRPr="00B3546A">
              <w:rPr>
                <w:rFonts w:asciiTheme="minorHAnsi" w:hAnsiTheme="minorHAnsi"/>
                <w:b/>
                <w:bCs/>
                <w:color w:val="000000"/>
                <w:sz w:val="18"/>
                <w:szCs w:val="18"/>
                <w:lang w:eastAsia="et-EE"/>
              </w:rPr>
              <w:t>9</w:t>
            </w:r>
            <w:r w:rsidR="00B3546A" w:rsidRPr="00B3546A">
              <w:rPr>
                <w:rFonts w:asciiTheme="minorHAnsi" w:hAnsiTheme="minorHAnsi"/>
                <w:b/>
                <w:bCs/>
                <w:color w:val="000000"/>
                <w:sz w:val="18"/>
                <w:szCs w:val="18"/>
                <w:lang w:eastAsia="et-EE"/>
              </w:rPr>
              <w:t>59 652</w:t>
            </w:r>
          </w:p>
        </w:tc>
        <w:tc>
          <w:tcPr>
            <w:tcW w:w="709" w:type="dxa"/>
            <w:tcBorders>
              <w:top w:val="nil"/>
              <w:left w:val="nil"/>
              <w:bottom w:val="single" w:sz="8" w:space="0" w:color="auto"/>
              <w:right w:val="single" w:sz="8" w:space="0" w:color="auto"/>
            </w:tcBorders>
            <w:shd w:val="clear" w:color="000000"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6,10</w:t>
            </w:r>
          </w:p>
        </w:tc>
        <w:tc>
          <w:tcPr>
            <w:tcW w:w="992" w:type="dxa"/>
            <w:tcBorders>
              <w:top w:val="nil"/>
              <w:left w:val="nil"/>
              <w:bottom w:val="single" w:sz="8" w:space="0" w:color="auto"/>
              <w:right w:val="single" w:sz="4" w:space="0" w:color="auto"/>
            </w:tcBorders>
            <w:shd w:val="clear" w:color="DBE5F1"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475</w:t>
            </w:r>
          </w:p>
        </w:tc>
        <w:tc>
          <w:tcPr>
            <w:tcW w:w="993" w:type="dxa"/>
            <w:tcBorders>
              <w:top w:val="nil"/>
              <w:left w:val="nil"/>
              <w:bottom w:val="single" w:sz="8" w:space="0" w:color="auto"/>
              <w:right w:val="single" w:sz="4" w:space="0" w:color="auto"/>
            </w:tcBorders>
            <w:shd w:val="clear" w:color="DBE5F1"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530</w:t>
            </w:r>
            <w:r w:rsidR="00607E04" w:rsidRPr="00B3546A">
              <w:rPr>
                <w:rFonts w:asciiTheme="minorHAnsi" w:hAnsiTheme="minorHAnsi"/>
                <w:b/>
                <w:bCs/>
                <w:color w:val="000000"/>
                <w:sz w:val="18"/>
                <w:szCs w:val="18"/>
                <w:lang w:eastAsia="et-EE"/>
              </w:rPr>
              <w:t xml:space="preserve"> </w:t>
            </w:r>
            <w:r w:rsidRPr="00B3546A">
              <w:rPr>
                <w:rFonts w:asciiTheme="minorHAnsi" w:hAnsiTheme="minorHAnsi"/>
                <w:b/>
                <w:bCs/>
                <w:color w:val="000000"/>
                <w:sz w:val="18"/>
                <w:szCs w:val="18"/>
                <w:lang w:eastAsia="et-EE"/>
              </w:rPr>
              <w:t>121</w:t>
            </w:r>
          </w:p>
        </w:tc>
        <w:tc>
          <w:tcPr>
            <w:tcW w:w="1275" w:type="dxa"/>
            <w:tcBorders>
              <w:top w:val="nil"/>
              <w:left w:val="nil"/>
              <w:bottom w:val="single" w:sz="8" w:space="0" w:color="auto"/>
              <w:right w:val="single" w:sz="4" w:space="0" w:color="auto"/>
            </w:tcBorders>
            <w:shd w:val="clear" w:color="000000"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1 116,05</w:t>
            </w:r>
          </w:p>
        </w:tc>
        <w:tc>
          <w:tcPr>
            <w:tcW w:w="1399" w:type="dxa"/>
            <w:tcBorders>
              <w:top w:val="nil"/>
              <w:left w:val="nil"/>
              <w:bottom w:val="single" w:sz="8" w:space="0" w:color="auto"/>
              <w:right w:val="single" w:sz="4" w:space="0" w:color="auto"/>
            </w:tcBorders>
            <w:shd w:val="clear" w:color="DBE5F1" w:fill="DBEEF3"/>
            <w:noWrap/>
            <w:vAlign w:val="bottom"/>
            <w:hideMark/>
          </w:tcPr>
          <w:p w:rsidR="00B6319C" w:rsidRPr="00B3546A" w:rsidRDefault="00B3546A"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3 155 539</w:t>
            </w:r>
          </w:p>
        </w:tc>
        <w:tc>
          <w:tcPr>
            <w:tcW w:w="781" w:type="dxa"/>
            <w:tcBorders>
              <w:top w:val="nil"/>
              <w:left w:val="nil"/>
              <w:bottom w:val="single" w:sz="8" w:space="0" w:color="auto"/>
              <w:right w:val="single" w:sz="8" w:space="0" w:color="auto"/>
            </w:tcBorders>
            <w:shd w:val="clear" w:color="000000" w:fill="DBEEF3"/>
            <w:noWrap/>
            <w:vAlign w:val="bottom"/>
            <w:hideMark/>
          </w:tcPr>
          <w:p w:rsidR="00B6319C" w:rsidRPr="00B3546A" w:rsidRDefault="00B6319C" w:rsidP="002827CD">
            <w:pPr>
              <w:spacing w:before="0"/>
              <w:jc w:val="center"/>
              <w:rPr>
                <w:rFonts w:asciiTheme="minorHAnsi" w:hAnsiTheme="minorHAnsi"/>
                <w:b/>
                <w:bCs/>
                <w:color w:val="000000"/>
                <w:sz w:val="18"/>
                <w:szCs w:val="18"/>
                <w:lang w:eastAsia="et-EE"/>
              </w:rPr>
            </w:pPr>
            <w:r w:rsidRPr="00B3546A">
              <w:rPr>
                <w:rFonts w:asciiTheme="minorHAnsi" w:hAnsiTheme="minorHAnsi"/>
                <w:b/>
                <w:bCs/>
                <w:color w:val="000000"/>
                <w:sz w:val="18"/>
                <w:szCs w:val="18"/>
                <w:lang w:eastAsia="et-EE"/>
              </w:rPr>
              <w:t>5,94</w:t>
            </w:r>
          </w:p>
        </w:tc>
      </w:tr>
    </w:tbl>
    <w:p w:rsidR="004F5682" w:rsidRDefault="004F5682" w:rsidP="00B6319C">
      <w:pPr>
        <w:sectPr w:rsidR="004F5682" w:rsidSect="007E624D">
          <w:pgSz w:w="16838" w:h="11906" w:orient="landscape"/>
          <w:pgMar w:top="1417" w:right="1417" w:bottom="1417" w:left="1417" w:header="708" w:footer="708" w:gutter="0"/>
          <w:cols w:space="708"/>
          <w:docGrid w:linePitch="360"/>
        </w:sectPr>
      </w:pPr>
    </w:p>
    <w:p w:rsidR="00B263F8" w:rsidRDefault="00B263F8" w:rsidP="004F5682">
      <w:pPr>
        <w:pStyle w:val="Heading2"/>
      </w:pPr>
      <w:bookmarkStart w:id="482" w:name="_Ref427305076"/>
      <w:bookmarkStart w:id="483" w:name="_Ref427305276"/>
      <w:bookmarkStart w:id="484" w:name="_Ref427305385"/>
      <w:bookmarkStart w:id="485" w:name="_Ref427305759"/>
      <w:bookmarkStart w:id="486" w:name="_Toc433980772"/>
      <w:bookmarkStart w:id="487" w:name="_Ref424047637"/>
      <w:bookmarkStart w:id="488" w:name="_Ref424047641"/>
      <w:bookmarkStart w:id="489" w:name="_Ref424047647"/>
      <w:bookmarkStart w:id="490" w:name="_Ref424049624"/>
      <w:r>
        <w:t>Lisa 3. Riigi Kinnisvara AS-i tegevusaruanne 2013-2014</w:t>
      </w:r>
      <w:bookmarkEnd w:id="482"/>
      <w:bookmarkEnd w:id="483"/>
      <w:bookmarkEnd w:id="484"/>
      <w:bookmarkEnd w:id="485"/>
      <w:bookmarkEnd w:id="486"/>
    </w:p>
    <w:p w:rsidR="00B263F8" w:rsidRPr="0022041A" w:rsidRDefault="00B263F8" w:rsidP="00460542">
      <w:r>
        <w:t>Riigi Kinnisvara AS (edaspidi</w:t>
      </w:r>
      <w:r w:rsidRPr="0022041A">
        <w:t xml:space="preserve"> RKAS) on 2001. aastal loodud 100% Eesti Vabariigile kuuluv</w:t>
      </w:r>
      <w:r>
        <w:t xml:space="preserve"> äriühing</w:t>
      </w:r>
      <w:r w:rsidRPr="0022041A">
        <w:t>, kus riigi esindajaks on rahandusminister. RKAS</w:t>
      </w:r>
      <w:r>
        <w:t>-</w:t>
      </w:r>
      <w:r w:rsidRPr="0022041A">
        <w:t xml:space="preserve">i põhikirja kohaselt on aktsiaseltsi </w:t>
      </w:r>
      <w:r>
        <w:t>tegevusalaks</w:t>
      </w:r>
      <w:r w:rsidRPr="0022041A">
        <w:t>:</w:t>
      </w:r>
    </w:p>
    <w:p w:rsidR="00B263F8" w:rsidRPr="0022041A" w:rsidRDefault="00B263F8" w:rsidP="00460542">
      <w:pPr>
        <w:pStyle w:val="Loend1"/>
      </w:pPr>
      <w:r w:rsidRPr="0022041A">
        <w:t>kinnisvara haldamine ja hooldamine</w:t>
      </w:r>
      <w:r>
        <w:t>,</w:t>
      </w:r>
    </w:p>
    <w:p w:rsidR="00B263F8" w:rsidRPr="0022041A" w:rsidRDefault="00B263F8" w:rsidP="00460542">
      <w:pPr>
        <w:pStyle w:val="Loend1"/>
      </w:pPr>
      <w:r w:rsidRPr="0022041A">
        <w:t>kinnisvara arendamine ja kinnisvarainvesteeringud (sh remonttööd)</w:t>
      </w:r>
      <w:r>
        <w:t>,</w:t>
      </w:r>
    </w:p>
    <w:p w:rsidR="00B263F8" w:rsidRPr="0022041A" w:rsidRDefault="00B263F8" w:rsidP="00460542">
      <w:pPr>
        <w:pStyle w:val="Loend1"/>
      </w:pPr>
      <w:r w:rsidRPr="0022041A">
        <w:t>kinnisvara ost, müük ja üürile andmine</w:t>
      </w:r>
      <w:r>
        <w:t>,</w:t>
      </w:r>
    </w:p>
    <w:p w:rsidR="00B263F8" w:rsidRPr="0022041A" w:rsidRDefault="00B263F8" w:rsidP="00460542">
      <w:pPr>
        <w:pStyle w:val="Loend1"/>
      </w:pPr>
      <w:r w:rsidRPr="0022041A">
        <w:t>ehitusjuhtimine ja omanikujärelevalve.</w:t>
      </w:r>
    </w:p>
    <w:p w:rsidR="00B263F8" w:rsidRPr="0022041A" w:rsidRDefault="00B263F8" w:rsidP="00460542">
      <w:r w:rsidRPr="0022041A">
        <w:t>RKAS</w:t>
      </w:r>
      <w:r>
        <w:t>-</w:t>
      </w:r>
      <w:r w:rsidRPr="0022041A">
        <w:t>i kontserni kuulub hooldusteenust pakkuv tütarfirma OÜ Hooldus Pluss. RKAS</w:t>
      </w:r>
      <w:r w:rsidR="0076771D">
        <w:t>-</w:t>
      </w:r>
      <w:r w:rsidRPr="0022041A">
        <w:t xml:space="preserve">il on seitsmeliikmeline nõukogu ja kolmeliikmeline juhatus. </w:t>
      </w:r>
    </w:p>
    <w:p w:rsidR="00B263F8" w:rsidRPr="0022041A" w:rsidRDefault="00B263F8" w:rsidP="00460542">
      <w:r w:rsidRPr="0022041A">
        <w:t>RKAS</w:t>
      </w:r>
      <w:r w:rsidR="0076771D">
        <w:t>-</w:t>
      </w:r>
      <w:r w:rsidRPr="0022041A">
        <w:t>ile on väljastatud ISO 9001:2008 kvaliteedijuhtimise ja ISO14001:2004 keskkonnajuhtimise sertifikaat, 2014. aastal tunnustati RKAS</w:t>
      </w:r>
      <w:r w:rsidR="0076771D">
        <w:t>-</w:t>
      </w:r>
      <w:r w:rsidRPr="0022041A">
        <w:t>i vastutustundliku ettevõtluse hõbemärgisega.</w:t>
      </w:r>
    </w:p>
    <w:p w:rsidR="00B263F8" w:rsidRPr="0022041A" w:rsidRDefault="00B263F8" w:rsidP="00460542">
      <w:r w:rsidRPr="0022041A">
        <w:rPr>
          <w:b/>
        </w:rPr>
        <w:t>Visioon</w:t>
      </w:r>
      <w:r w:rsidRPr="0022041A">
        <w:t xml:space="preserve"> – oleme eelistatud partner riigisektori kinnisvara arendamisel ja haldamisel. </w:t>
      </w:r>
    </w:p>
    <w:p w:rsidR="00B263F8" w:rsidRPr="0022041A" w:rsidRDefault="00B263F8" w:rsidP="00460542">
      <w:r w:rsidRPr="0022041A">
        <w:rPr>
          <w:b/>
        </w:rPr>
        <w:t>Missioon</w:t>
      </w:r>
      <w:r w:rsidRPr="0022041A">
        <w:t xml:space="preserve"> – kompetentsikeskusena pakume kliendi vajadusest lähtuvat kvaliteetset kinnisvarateenust.</w:t>
      </w:r>
    </w:p>
    <w:p w:rsidR="00B263F8" w:rsidRDefault="00B263F8" w:rsidP="005458FB">
      <w:pPr>
        <w:pStyle w:val="Caption"/>
      </w:pPr>
      <w:r>
        <w:t xml:space="preserve">Tabel </w:t>
      </w:r>
      <w:fldSimple w:instr=" SEQ Tabel \* ARABIC \r 1 ">
        <w:r w:rsidR="00477322">
          <w:rPr>
            <w:noProof/>
          </w:rPr>
          <w:t>1</w:t>
        </w:r>
      </w:fldSimple>
      <w:r>
        <w:t>. RKAS-i majandusnäitajad</w:t>
      </w:r>
    </w:p>
    <w:tbl>
      <w:tblPr>
        <w:tblStyle w:val="Heleruuttabel1rhk11"/>
        <w:tblW w:w="7160" w:type="dxa"/>
        <w:tblLook w:val="04A0"/>
      </w:tblPr>
      <w:tblGrid>
        <w:gridCol w:w="4700"/>
        <w:gridCol w:w="1220"/>
        <w:gridCol w:w="1240"/>
      </w:tblGrid>
      <w:tr w:rsidR="00B263F8" w:rsidRPr="00460542" w:rsidTr="00B956FC">
        <w:trPr>
          <w:cnfStyle w:val="100000000000"/>
          <w:trHeight w:val="288"/>
        </w:trPr>
        <w:tc>
          <w:tcPr>
            <w:cnfStyle w:val="001000000000"/>
            <w:tcW w:w="4700" w:type="dxa"/>
            <w:noWrap/>
            <w:hideMark/>
          </w:tcPr>
          <w:p w:rsidR="00B263F8" w:rsidRPr="00460542" w:rsidRDefault="00B263F8" w:rsidP="00B956FC">
            <w:pPr>
              <w:rPr>
                <w:rFonts w:eastAsia="Times New Roman"/>
                <w:color w:val="000000"/>
                <w:sz w:val="18"/>
                <w:szCs w:val="18"/>
                <w:lang w:eastAsia="et-EE"/>
              </w:rPr>
            </w:pPr>
            <w:r w:rsidRPr="00460542">
              <w:rPr>
                <w:rFonts w:eastAsia="Times New Roman"/>
                <w:color w:val="000000"/>
                <w:sz w:val="18"/>
                <w:szCs w:val="18"/>
                <w:lang w:eastAsia="et-EE"/>
              </w:rPr>
              <w:t>Näitaja</w:t>
            </w:r>
          </w:p>
        </w:tc>
        <w:tc>
          <w:tcPr>
            <w:tcW w:w="1220" w:type="dxa"/>
            <w:noWrap/>
            <w:hideMark/>
          </w:tcPr>
          <w:p w:rsidR="00B263F8" w:rsidRPr="00460542" w:rsidRDefault="00B263F8" w:rsidP="00B956FC">
            <w:pPr>
              <w:jc w:val="right"/>
              <w:cnfStyle w:val="100000000000"/>
              <w:rPr>
                <w:rFonts w:eastAsia="Times New Roman"/>
                <w:color w:val="000000"/>
                <w:sz w:val="18"/>
                <w:szCs w:val="18"/>
                <w:lang w:eastAsia="et-EE"/>
              </w:rPr>
            </w:pPr>
            <w:r w:rsidRPr="00460542">
              <w:rPr>
                <w:rFonts w:eastAsia="Times New Roman"/>
                <w:color w:val="000000"/>
                <w:sz w:val="18"/>
                <w:szCs w:val="18"/>
                <w:lang w:eastAsia="et-EE"/>
              </w:rPr>
              <w:t>2013</w:t>
            </w:r>
          </w:p>
        </w:tc>
        <w:tc>
          <w:tcPr>
            <w:tcW w:w="1240" w:type="dxa"/>
            <w:noWrap/>
            <w:hideMark/>
          </w:tcPr>
          <w:p w:rsidR="00B263F8" w:rsidRPr="00460542" w:rsidRDefault="00B263F8" w:rsidP="00B956FC">
            <w:pPr>
              <w:jc w:val="right"/>
              <w:cnfStyle w:val="100000000000"/>
              <w:rPr>
                <w:rFonts w:eastAsia="Times New Roman"/>
                <w:color w:val="000000"/>
                <w:sz w:val="18"/>
                <w:szCs w:val="18"/>
                <w:lang w:eastAsia="et-EE"/>
              </w:rPr>
            </w:pPr>
            <w:r w:rsidRPr="00460542">
              <w:rPr>
                <w:rFonts w:eastAsia="Times New Roman"/>
                <w:color w:val="000000"/>
                <w:sz w:val="18"/>
                <w:szCs w:val="18"/>
                <w:lang w:eastAsia="et-EE"/>
              </w:rPr>
              <w:t>2014</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Bilansimaht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361</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387</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 xml:space="preserve">Kinnisvaraportfell, sh kapitalirendi nõuded (mln €) </w:t>
            </w:r>
            <w:r w:rsidRPr="00460542">
              <w:rPr>
                <w:rStyle w:val="FootnoteReference"/>
                <w:b w:val="0"/>
                <w:color w:val="000000"/>
                <w:sz w:val="18"/>
                <w:szCs w:val="18"/>
                <w:lang w:eastAsia="et-EE"/>
              </w:rPr>
              <w:footnoteReference w:id="10"/>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270,7</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280</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Üür ja teenused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36,5</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60,1</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Müüdud varad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4,1</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3,4</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ÄRIKASUM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6,1</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12,4</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PUHASKASUM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2,9</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9,6</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Võõrvahendite kogumaht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120,4</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117,6</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Omakapitali osakaal passivast</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60%</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60%</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Makstud dividendid (mln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0,0</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0,0</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Omakapitali tootlus</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1,3%</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4,3%</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Kinnisvara portfelli tootlus (%)</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4,4%</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7,0%</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Töötajate arv (sh hooldustöölised)</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262</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339</w:t>
            </w:r>
          </w:p>
        </w:tc>
      </w:tr>
      <w:tr w:rsidR="00B263F8" w:rsidRPr="00460542" w:rsidTr="00B956FC">
        <w:trPr>
          <w:trHeight w:val="288"/>
        </w:trPr>
        <w:tc>
          <w:tcPr>
            <w:cnfStyle w:val="001000000000"/>
            <w:tcW w:w="4700" w:type="dxa"/>
            <w:noWrap/>
            <w:hideMark/>
          </w:tcPr>
          <w:p w:rsidR="00B263F8" w:rsidRPr="00460542" w:rsidRDefault="00B263F8" w:rsidP="00B956FC">
            <w:pPr>
              <w:rPr>
                <w:rFonts w:eastAsia="Times New Roman"/>
                <w:b w:val="0"/>
                <w:color w:val="000000"/>
                <w:sz w:val="18"/>
                <w:szCs w:val="18"/>
                <w:lang w:eastAsia="et-EE"/>
              </w:rPr>
            </w:pPr>
            <w:r w:rsidRPr="00460542">
              <w:rPr>
                <w:rFonts w:eastAsia="Times New Roman"/>
                <w:b w:val="0"/>
                <w:color w:val="000000"/>
                <w:sz w:val="18"/>
                <w:szCs w:val="18"/>
                <w:lang w:eastAsia="et-EE"/>
              </w:rPr>
              <w:t>Kliendi üldine rahulolu (100p skaalal)</w:t>
            </w:r>
          </w:p>
        </w:tc>
        <w:tc>
          <w:tcPr>
            <w:tcW w:w="122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70,7</w:t>
            </w:r>
          </w:p>
        </w:tc>
        <w:tc>
          <w:tcPr>
            <w:tcW w:w="1240" w:type="dxa"/>
            <w:noWrap/>
            <w:hideMark/>
          </w:tcPr>
          <w:p w:rsidR="00B263F8" w:rsidRPr="00460542" w:rsidRDefault="00B263F8" w:rsidP="00B956FC">
            <w:pPr>
              <w:jc w:val="right"/>
              <w:cnfStyle w:val="000000000000"/>
              <w:rPr>
                <w:rFonts w:eastAsia="Times New Roman"/>
                <w:color w:val="000000"/>
                <w:sz w:val="18"/>
                <w:szCs w:val="18"/>
                <w:lang w:eastAsia="et-EE"/>
              </w:rPr>
            </w:pPr>
            <w:r w:rsidRPr="00460542">
              <w:rPr>
                <w:rFonts w:eastAsia="Times New Roman"/>
                <w:color w:val="000000"/>
                <w:sz w:val="18"/>
                <w:szCs w:val="18"/>
                <w:lang w:eastAsia="et-EE"/>
              </w:rPr>
              <w:t>68,4</w:t>
            </w:r>
          </w:p>
        </w:tc>
      </w:tr>
    </w:tbl>
    <w:p w:rsidR="00B263F8" w:rsidRDefault="00B263F8" w:rsidP="005458FB">
      <w:pPr>
        <w:pStyle w:val="Caption"/>
      </w:pPr>
    </w:p>
    <w:p w:rsidR="00B263F8" w:rsidRDefault="00B263F8" w:rsidP="003134A2">
      <w:pPr>
        <w:pStyle w:val="Caption"/>
      </w:pPr>
      <w:r>
        <w:t xml:space="preserve">Tabel </w:t>
      </w:r>
      <w:fldSimple w:instr=" SEQ Tabel \* ARABIC ">
        <w:r w:rsidR="00477322">
          <w:rPr>
            <w:noProof/>
          </w:rPr>
          <w:t>2</w:t>
        </w:r>
      </w:fldSimple>
      <w:r>
        <w:t>. RKAS-i portfelli maht</w:t>
      </w:r>
    </w:p>
    <w:tbl>
      <w:tblPr>
        <w:tblStyle w:val="Heleruuttabel1rhk11"/>
        <w:tblW w:w="0" w:type="auto"/>
        <w:tblLook w:val="04A0"/>
      </w:tblPr>
      <w:tblGrid>
        <w:gridCol w:w="1703"/>
        <w:gridCol w:w="838"/>
        <w:gridCol w:w="1199"/>
        <w:gridCol w:w="1315"/>
        <w:gridCol w:w="1398"/>
        <w:gridCol w:w="1851"/>
      </w:tblGrid>
      <w:tr w:rsidR="00B263F8" w:rsidRPr="0009787B" w:rsidTr="003134A2">
        <w:trPr>
          <w:cnfStyle w:val="100000000000"/>
        </w:trPr>
        <w:tc>
          <w:tcPr>
            <w:cnfStyle w:val="001000000000"/>
            <w:tcW w:w="1703" w:type="dxa"/>
          </w:tcPr>
          <w:p w:rsidR="00B263F8" w:rsidRPr="0009787B" w:rsidRDefault="00B263F8" w:rsidP="009D3D9C">
            <w:pPr>
              <w:rPr>
                <w:sz w:val="18"/>
                <w:szCs w:val="18"/>
              </w:rPr>
            </w:pPr>
          </w:p>
        </w:tc>
        <w:tc>
          <w:tcPr>
            <w:tcW w:w="838" w:type="dxa"/>
          </w:tcPr>
          <w:p w:rsidR="00B263F8" w:rsidRPr="0009787B" w:rsidRDefault="00B263F8" w:rsidP="009D3D9C">
            <w:pPr>
              <w:cnfStyle w:val="100000000000"/>
              <w:rPr>
                <w:sz w:val="18"/>
                <w:szCs w:val="18"/>
              </w:rPr>
            </w:pPr>
          </w:p>
        </w:tc>
        <w:tc>
          <w:tcPr>
            <w:tcW w:w="1199" w:type="dxa"/>
          </w:tcPr>
          <w:p w:rsidR="00B263F8" w:rsidRPr="0009787B" w:rsidRDefault="00B263F8" w:rsidP="009D3D9C">
            <w:pPr>
              <w:cnfStyle w:val="100000000000"/>
              <w:rPr>
                <w:sz w:val="18"/>
                <w:szCs w:val="18"/>
              </w:rPr>
            </w:pPr>
            <w:r w:rsidRPr="0009787B">
              <w:rPr>
                <w:sz w:val="18"/>
                <w:szCs w:val="18"/>
              </w:rPr>
              <w:t xml:space="preserve">Suletud netopind </w:t>
            </w:r>
          </w:p>
          <w:p w:rsidR="00B263F8" w:rsidRPr="0009787B" w:rsidRDefault="00B263F8" w:rsidP="009D3D9C">
            <w:pPr>
              <w:cnfStyle w:val="100000000000"/>
              <w:rPr>
                <w:sz w:val="18"/>
                <w:szCs w:val="18"/>
              </w:rPr>
            </w:pPr>
            <w:r w:rsidRPr="0009787B">
              <w:rPr>
                <w:sz w:val="18"/>
                <w:szCs w:val="18"/>
              </w:rPr>
              <w:t>(tuh, m²)</w:t>
            </w:r>
          </w:p>
        </w:tc>
        <w:tc>
          <w:tcPr>
            <w:tcW w:w="1315" w:type="dxa"/>
          </w:tcPr>
          <w:p w:rsidR="00B263F8" w:rsidRPr="0009787B" w:rsidRDefault="00B263F8" w:rsidP="009D3D9C">
            <w:pPr>
              <w:cnfStyle w:val="100000000000"/>
              <w:rPr>
                <w:sz w:val="18"/>
                <w:szCs w:val="18"/>
              </w:rPr>
            </w:pPr>
            <w:r w:rsidRPr="0009787B">
              <w:rPr>
                <w:sz w:val="18"/>
                <w:szCs w:val="18"/>
              </w:rPr>
              <w:t>Kinnistute arv (tk)</w:t>
            </w:r>
          </w:p>
        </w:tc>
        <w:tc>
          <w:tcPr>
            <w:tcW w:w="1398" w:type="dxa"/>
          </w:tcPr>
          <w:p w:rsidR="00B263F8" w:rsidRPr="0009787B" w:rsidRDefault="00B263F8" w:rsidP="009D3D9C">
            <w:pPr>
              <w:cnfStyle w:val="100000000000"/>
              <w:rPr>
                <w:sz w:val="18"/>
                <w:szCs w:val="18"/>
              </w:rPr>
            </w:pPr>
            <w:r w:rsidRPr="0009787B">
              <w:rPr>
                <w:sz w:val="18"/>
                <w:szCs w:val="18"/>
              </w:rPr>
              <w:t>Vakantsus</w:t>
            </w:r>
            <w:r w:rsidRPr="0009787B">
              <w:rPr>
                <w:rStyle w:val="FootnoteReference"/>
                <w:sz w:val="18"/>
                <w:szCs w:val="18"/>
              </w:rPr>
              <w:footnoteReference w:id="11"/>
            </w:r>
            <w:r w:rsidRPr="0009787B">
              <w:rPr>
                <w:sz w:val="18"/>
                <w:szCs w:val="18"/>
              </w:rPr>
              <w:t xml:space="preserve"> (%)</w:t>
            </w:r>
          </w:p>
        </w:tc>
        <w:tc>
          <w:tcPr>
            <w:tcW w:w="1851" w:type="dxa"/>
          </w:tcPr>
          <w:p w:rsidR="00B263F8" w:rsidRPr="0009787B" w:rsidRDefault="00B263F8" w:rsidP="009D3D9C">
            <w:pPr>
              <w:cnfStyle w:val="100000000000"/>
              <w:rPr>
                <w:sz w:val="18"/>
                <w:szCs w:val="18"/>
              </w:rPr>
            </w:pPr>
            <w:r w:rsidRPr="0009787B">
              <w:rPr>
                <w:sz w:val="18"/>
                <w:szCs w:val="18"/>
              </w:rPr>
              <w:t>Soetusmaksumus (mln, €)</w:t>
            </w:r>
          </w:p>
        </w:tc>
      </w:tr>
      <w:tr w:rsidR="00B263F8" w:rsidRPr="0009787B" w:rsidTr="003134A2">
        <w:tc>
          <w:tcPr>
            <w:cnfStyle w:val="001000000000"/>
            <w:tcW w:w="1703" w:type="dxa"/>
            <w:vMerge w:val="restart"/>
            <w:vAlign w:val="center"/>
          </w:tcPr>
          <w:p w:rsidR="00B263F8" w:rsidRPr="0009787B" w:rsidRDefault="00B263F8" w:rsidP="00891E0F">
            <w:pPr>
              <w:jc w:val="left"/>
              <w:rPr>
                <w:sz w:val="18"/>
                <w:szCs w:val="18"/>
              </w:rPr>
            </w:pPr>
            <w:r>
              <w:rPr>
                <w:sz w:val="18"/>
                <w:szCs w:val="18"/>
              </w:rPr>
              <w:t>Haldusportfell</w:t>
            </w:r>
          </w:p>
        </w:tc>
        <w:tc>
          <w:tcPr>
            <w:tcW w:w="838" w:type="dxa"/>
          </w:tcPr>
          <w:p w:rsidR="00B263F8" w:rsidRPr="0009787B" w:rsidRDefault="00B263F8" w:rsidP="009D3D9C">
            <w:pPr>
              <w:cnfStyle w:val="000000000000"/>
              <w:rPr>
                <w:sz w:val="18"/>
                <w:szCs w:val="18"/>
              </w:rPr>
            </w:pPr>
            <w:r w:rsidRPr="0009787B">
              <w:rPr>
                <w:sz w:val="18"/>
                <w:szCs w:val="18"/>
              </w:rPr>
              <w:t>2013</w:t>
            </w:r>
          </w:p>
        </w:tc>
        <w:tc>
          <w:tcPr>
            <w:tcW w:w="1199" w:type="dxa"/>
          </w:tcPr>
          <w:p w:rsidR="00B263F8" w:rsidRPr="0009787B" w:rsidRDefault="00B263F8" w:rsidP="009D3D9C">
            <w:pPr>
              <w:cnfStyle w:val="000000000000"/>
              <w:rPr>
                <w:sz w:val="18"/>
                <w:szCs w:val="18"/>
              </w:rPr>
            </w:pPr>
            <w:r w:rsidRPr="0009787B">
              <w:rPr>
                <w:sz w:val="18"/>
                <w:szCs w:val="18"/>
              </w:rPr>
              <w:t>638</w:t>
            </w:r>
          </w:p>
        </w:tc>
        <w:tc>
          <w:tcPr>
            <w:tcW w:w="1315" w:type="dxa"/>
          </w:tcPr>
          <w:p w:rsidR="00B263F8" w:rsidRPr="0009787B" w:rsidRDefault="00B263F8" w:rsidP="009D3D9C">
            <w:pPr>
              <w:cnfStyle w:val="000000000000"/>
              <w:rPr>
                <w:sz w:val="18"/>
                <w:szCs w:val="18"/>
              </w:rPr>
            </w:pPr>
            <w:r w:rsidRPr="0009787B">
              <w:rPr>
                <w:sz w:val="18"/>
                <w:szCs w:val="18"/>
              </w:rPr>
              <w:t>298</w:t>
            </w:r>
          </w:p>
        </w:tc>
        <w:tc>
          <w:tcPr>
            <w:tcW w:w="1398" w:type="dxa"/>
          </w:tcPr>
          <w:p w:rsidR="00B263F8" w:rsidRPr="0009787B" w:rsidRDefault="00B263F8" w:rsidP="009D3D9C">
            <w:pPr>
              <w:cnfStyle w:val="000000000000"/>
              <w:rPr>
                <w:sz w:val="18"/>
                <w:szCs w:val="18"/>
              </w:rPr>
            </w:pPr>
            <w:r w:rsidRPr="0009787B">
              <w:rPr>
                <w:sz w:val="18"/>
                <w:szCs w:val="18"/>
              </w:rPr>
              <w:t>6,7</w:t>
            </w:r>
          </w:p>
        </w:tc>
        <w:tc>
          <w:tcPr>
            <w:tcW w:w="1851" w:type="dxa"/>
          </w:tcPr>
          <w:p w:rsidR="00B263F8" w:rsidRPr="0009787B" w:rsidRDefault="00B263F8" w:rsidP="009D3D9C">
            <w:pPr>
              <w:cnfStyle w:val="000000000000"/>
              <w:rPr>
                <w:sz w:val="18"/>
                <w:szCs w:val="18"/>
              </w:rPr>
            </w:pPr>
            <w:r w:rsidRPr="0009787B">
              <w:rPr>
                <w:sz w:val="18"/>
                <w:szCs w:val="18"/>
              </w:rPr>
              <w:t>24,8</w:t>
            </w:r>
          </w:p>
        </w:tc>
      </w:tr>
      <w:tr w:rsidR="00B263F8" w:rsidRPr="0009787B" w:rsidTr="003134A2">
        <w:tc>
          <w:tcPr>
            <w:cnfStyle w:val="001000000000"/>
            <w:tcW w:w="1703" w:type="dxa"/>
            <w:vMerge/>
          </w:tcPr>
          <w:p w:rsidR="00B263F8" w:rsidRPr="0009787B" w:rsidRDefault="00B263F8" w:rsidP="009D3D9C">
            <w:pPr>
              <w:rPr>
                <w:sz w:val="18"/>
                <w:szCs w:val="18"/>
              </w:rPr>
            </w:pPr>
          </w:p>
        </w:tc>
        <w:tc>
          <w:tcPr>
            <w:tcW w:w="838" w:type="dxa"/>
          </w:tcPr>
          <w:p w:rsidR="00B263F8" w:rsidRPr="0009787B" w:rsidRDefault="00B263F8" w:rsidP="009D3D9C">
            <w:pPr>
              <w:cnfStyle w:val="000000000000"/>
              <w:rPr>
                <w:sz w:val="18"/>
                <w:szCs w:val="18"/>
              </w:rPr>
            </w:pPr>
            <w:r w:rsidRPr="0009787B">
              <w:rPr>
                <w:sz w:val="18"/>
                <w:szCs w:val="18"/>
              </w:rPr>
              <w:t>2014</w:t>
            </w:r>
          </w:p>
        </w:tc>
        <w:tc>
          <w:tcPr>
            <w:tcW w:w="1199" w:type="dxa"/>
          </w:tcPr>
          <w:p w:rsidR="00B263F8" w:rsidRPr="0009787B" w:rsidRDefault="00B263F8" w:rsidP="009D3D9C">
            <w:pPr>
              <w:cnfStyle w:val="000000000000"/>
              <w:rPr>
                <w:sz w:val="18"/>
                <w:szCs w:val="18"/>
              </w:rPr>
            </w:pPr>
            <w:r w:rsidRPr="0009787B">
              <w:rPr>
                <w:sz w:val="18"/>
                <w:szCs w:val="18"/>
              </w:rPr>
              <w:t>755</w:t>
            </w:r>
          </w:p>
        </w:tc>
        <w:tc>
          <w:tcPr>
            <w:tcW w:w="1315" w:type="dxa"/>
          </w:tcPr>
          <w:p w:rsidR="00B263F8" w:rsidRPr="0009787B" w:rsidRDefault="00B263F8" w:rsidP="009D3D9C">
            <w:pPr>
              <w:cnfStyle w:val="000000000000"/>
              <w:rPr>
                <w:sz w:val="18"/>
                <w:szCs w:val="18"/>
              </w:rPr>
            </w:pPr>
            <w:r w:rsidRPr="0009787B">
              <w:rPr>
                <w:sz w:val="18"/>
                <w:szCs w:val="18"/>
              </w:rPr>
              <w:t>327</w:t>
            </w:r>
          </w:p>
        </w:tc>
        <w:tc>
          <w:tcPr>
            <w:tcW w:w="1398" w:type="dxa"/>
          </w:tcPr>
          <w:p w:rsidR="00B263F8" w:rsidRPr="0009787B" w:rsidRDefault="00B263F8" w:rsidP="009D3D9C">
            <w:pPr>
              <w:cnfStyle w:val="000000000000"/>
              <w:rPr>
                <w:sz w:val="18"/>
                <w:szCs w:val="18"/>
              </w:rPr>
            </w:pPr>
            <w:r w:rsidRPr="0009787B">
              <w:rPr>
                <w:sz w:val="18"/>
                <w:szCs w:val="18"/>
              </w:rPr>
              <w:t>12,0</w:t>
            </w:r>
          </w:p>
        </w:tc>
        <w:tc>
          <w:tcPr>
            <w:tcW w:w="1851" w:type="dxa"/>
          </w:tcPr>
          <w:p w:rsidR="00B263F8" w:rsidRPr="0009787B" w:rsidRDefault="00B263F8" w:rsidP="009D3D9C">
            <w:pPr>
              <w:cnfStyle w:val="000000000000"/>
              <w:rPr>
                <w:sz w:val="18"/>
                <w:szCs w:val="18"/>
              </w:rPr>
            </w:pPr>
            <w:r w:rsidRPr="0009787B">
              <w:rPr>
                <w:sz w:val="18"/>
                <w:szCs w:val="18"/>
              </w:rPr>
              <w:t>30,8</w:t>
            </w:r>
          </w:p>
        </w:tc>
      </w:tr>
      <w:tr w:rsidR="00B263F8" w:rsidRPr="0009787B" w:rsidTr="003134A2">
        <w:tc>
          <w:tcPr>
            <w:cnfStyle w:val="001000000000"/>
            <w:tcW w:w="1703" w:type="dxa"/>
            <w:vMerge w:val="restart"/>
          </w:tcPr>
          <w:p w:rsidR="00B263F8" w:rsidRPr="0009787B" w:rsidRDefault="00B263F8" w:rsidP="009D3D9C">
            <w:pPr>
              <w:rPr>
                <w:sz w:val="18"/>
                <w:szCs w:val="18"/>
              </w:rPr>
            </w:pPr>
            <w:r>
              <w:rPr>
                <w:sz w:val="18"/>
                <w:szCs w:val="18"/>
              </w:rPr>
              <w:t>Arendusportfell</w:t>
            </w:r>
          </w:p>
        </w:tc>
        <w:tc>
          <w:tcPr>
            <w:tcW w:w="838" w:type="dxa"/>
          </w:tcPr>
          <w:p w:rsidR="00B263F8" w:rsidRPr="0009787B" w:rsidRDefault="00B263F8" w:rsidP="003134A2">
            <w:pPr>
              <w:cnfStyle w:val="000000000000"/>
              <w:rPr>
                <w:sz w:val="18"/>
                <w:szCs w:val="18"/>
              </w:rPr>
            </w:pPr>
            <w:r w:rsidRPr="0009787B">
              <w:rPr>
                <w:sz w:val="18"/>
                <w:szCs w:val="18"/>
              </w:rPr>
              <w:t>2013</w:t>
            </w:r>
          </w:p>
        </w:tc>
        <w:tc>
          <w:tcPr>
            <w:tcW w:w="1199" w:type="dxa"/>
          </w:tcPr>
          <w:p w:rsidR="00B263F8" w:rsidRPr="0009787B" w:rsidRDefault="00B263F8" w:rsidP="003134A2">
            <w:pPr>
              <w:cnfStyle w:val="000000000000"/>
              <w:rPr>
                <w:color w:val="000000"/>
                <w:sz w:val="18"/>
                <w:szCs w:val="18"/>
              </w:rPr>
            </w:pPr>
            <w:r w:rsidRPr="0009787B">
              <w:rPr>
                <w:color w:val="000000"/>
                <w:sz w:val="18"/>
                <w:szCs w:val="18"/>
              </w:rPr>
              <w:t>59,6</w:t>
            </w:r>
          </w:p>
        </w:tc>
        <w:tc>
          <w:tcPr>
            <w:tcW w:w="1315" w:type="dxa"/>
          </w:tcPr>
          <w:p w:rsidR="00B263F8" w:rsidRPr="0009787B" w:rsidRDefault="00B263F8" w:rsidP="003134A2">
            <w:pPr>
              <w:cnfStyle w:val="000000000000"/>
              <w:rPr>
                <w:color w:val="000000"/>
                <w:sz w:val="18"/>
                <w:szCs w:val="18"/>
              </w:rPr>
            </w:pPr>
            <w:r w:rsidRPr="0009787B">
              <w:rPr>
                <w:color w:val="000000"/>
                <w:sz w:val="18"/>
                <w:szCs w:val="18"/>
              </w:rPr>
              <w:t>28</w:t>
            </w:r>
          </w:p>
        </w:tc>
        <w:tc>
          <w:tcPr>
            <w:tcW w:w="1398" w:type="dxa"/>
          </w:tcPr>
          <w:p w:rsidR="00B263F8" w:rsidRPr="0009787B" w:rsidRDefault="00B263F8" w:rsidP="009D3D9C">
            <w:pPr>
              <w:cnfStyle w:val="000000000000"/>
              <w:rPr>
                <w:sz w:val="18"/>
                <w:szCs w:val="18"/>
              </w:rPr>
            </w:pPr>
            <w:r>
              <w:rPr>
                <w:sz w:val="18"/>
                <w:szCs w:val="18"/>
              </w:rPr>
              <w:t>56,5</w:t>
            </w:r>
          </w:p>
        </w:tc>
        <w:tc>
          <w:tcPr>
            <w:tcW w:w="1851" w:type="dxa"/>
          </w:tcPr>
          <w:p w:rsidR="00B263F8" w:rsidRPr="0009787B" w:rsidRDefault="00B263F8" w:rsidP="003134A2">
            <w:pPr>
              <w:cnfStyle w:val="000000000000"/>
              <w:rPr>
                <w:color w:val="000000"/>
                <w:sz w:val="18"/>
                <w:szCs w:val="18"/>
              </w:rPr>
            </w:pPr>
            <w:r w:rsidRPr="0009787B">
              <w:rPr>
                <w:color w:val="000000"/>
                <w:sz w:val="18"/>
                <w:szCs w:val="18"/>
              </w:rPr>
              <w:t>10,7</w:t>
            </w:r>
          </w:p>
        </w:tc>
      </w:tr>
      <w:tr w:rsidR="00B263F8" w:rsidRPr="0009787B" w:rsidTr="003134A2">
        <w:tc>
          <w:tcPr>
            <w:cnfStyle w:val="001000000000"/>
            <w:tcW w:w="1703" w:type="dxa"/>
            <w:vMerge/>
          </w:tcPr>
          <w:p w:rsidR="00B263F8" w:rsidRPr="0009787B" w:rsidRDefault="00B263F8" w:rsidP="009D3D9C">
            <w:pPr>
              <w:rPr>
                <w:sz w:val="18"/>
                <w:szCs w:val="18"/>
              </w:rPr>
            </w:pPr>
          </w:p>
        </w:tc>
        <w:tc>
          <w:tcPr>
            <w:tcW w:w="838" w:type="dxa"/>
          </w:tcPr>
          <w:p w:rsidR="00B263F8" w:rsidRPr="0009787B" w:rsidRDefault="00B263F8" w:rsidP="003134A2">
            <w:pPr>
              <w:cnfStyle w:val="000000000000"/>
              <w:rPr>
                <w:sz w:val="18"/>
                <w:szCs w:val="18"/>
              </w:rPr>
            </w:pPr>
            <w:r w:rsidRPr="0009787B">
              <w:rPr>
                <w:sz w:val="18"/>
                <w:szCs w:val="18"/>
              </w:rPr>
              <w:t>2014</w:t>
            </w:r>
          </w:p>
        </w:tc>
        <w:tc>
          <w:tcPr>
            <w:tcW w:w="1199" w:type="dxa"/>
          </w:tcPr>
          <w:p w:rsidR="00B263F8" w:rsidRPr="0009787B" w:rsidRDefault="00B263F8" w:rsidP="003134A2">
            <w:pPr>
              <w:cnfStyle w:val="000000000000"/>
              <w:rPr>
                <w:color w:val="000000"/>
                <w:sz w:val="18"/>
                <w:szCs w:val="18"/>
              </w:rPr>
            </w:pPr>
            <w:r w:rsidRPr="0009787B">
              <w:rPr>
                <w:color w:val="000000"/>
                <w:sz w:val="18"/>
                <w:szCs w:val="18"/>
              </w:rPr>
              <w:t>107</w:t>
            </w:r>
          </w:p>
        </w:tc>
        <w:tc>
          <w:tcPr>
            <w:tcW w:w="1315" w:type="dxa"/>
          </w:tcPr>
          <w:p w:rsidR="00B263F8" w:rsidRPr="0009787B" w:rsidRDefault="00B263F8" w:rsidP="003134A2">
            <w:pPr>
              <w:cnfStyle w:val="000000000000"/>
              <w:rPr>
                <w:color w:val="000000"/>
                <w:sz w:val="18"/>
                <w:szCs w:val="18"/>
              </w:rPr>
            </w:pPr>
            <w:r w:rsidRPr="0009787B">
              <w:rPr>
                <w:color w:val="000000"/>
                <w:sz w:val="18"/>
                <w:szCs w:val="18"/>
              </w:rPr>
              <w:t>33</w:t>
            </w:r>
          </w:p>
        </w:tc>
        <w:tc>
          <w:tcPr>
            <w:tcW w:w="1398" w:type="dxa"/>
          </w:tcPr>
          <w:p w:rsidR="00B263F8" w:rsidRPr="0009787B" w:rsidRDefault="00B263F8" w:rsidP="009D3D9C">
            <w:pPr>
              <w:cnfStyle w:val="000000000000"/>
              <w:rPr>
                <w:sz w:val="18"/>
                <w:szCs w:val="18"/>
              </w:rPr>
            </w:pPr>
            <w:r>
              <w:rPr>
                <w:sz w:val="18"/>
                <w:szCs w:val="18"/>
              </w:rPr>
              <w:t>62</w:t>
            </w:r>
          </w:p>
        </w:tc>
        <w:tc>
          <w:tcPr>
            <w:tcW w:w="1851" w:type="dxa"/>
          </w:tcPr>
          <w:p w:rsidR="00B263F8" w:rsidRPr="0009787B" w:rsidRDefault="00B263F8" w:rsidP="003134A2">
            <w:pPr>
              <w:cnfStyle w:val="000000000000"/>
              <w:rPr>
                <w:color w:val="000000"/>
                <w:sz w:val="18"/>
                <w:szCs w:val="18"/>
              </w:rPr>
            </w:pPr>
            <w:r w:rsidRPr="0009787B">
              <w:rPr>
                <w:color w:val="000000"/>
                <w:sz w:val="18"/>
                <w:szCs w:val="18"/>
              </w:rPr>
              <w:t>10,4</w:t>
            </w:r>
          </w:p>
        </w:tc>
      </w:tr>
      <w:tr w:rsidR="00B263F8" w:rsidRPr="0009787B" w:rsidTr="003134A2">
        <w:tc>
          <w:tcPr>
            <w:cnfStyle w:val="001000000000"/>
            <w:tcW w:w="1703" w:type="dxa"/>
            <w:vMerge w:val="restart"/>
          </w:tcPr>
          <w:p w:rsidR="00B263F8" w:rsidRPr="0009787B" w:rsidRDefault="00B263F8" w:rsidP="009D3D9C">
            <w:pPr>
              <w:rPr>
                <w:sz w:val="18"/>
                <w:szCs w:val="18"/>
              </w:rPr>
            </w:pPr>
            <w:r>
              <w:rPr>
                <w:sz w:val="18"/>
                <w:szCs w:val="18"/>
              </w:rPr>
              <w:t>Müügiportfell</w:t>
            </w:r>
          </w:p>
        </w:tc>
        <w:tc>
          <w:tcPr>
            <w:tcW w:w="838" w:type="dxa"/>
          </w:tcPr>
          <w:p w:rsidR="00B263F8" w:rsidRPr="0009787B" w:rsidRDefault="00B263F8" w:rsidP="003134A2">
            <w:pPr>
              <w:cnfStyle w:val="000000000000"/>
              <w:rPr>
                <w:sz w:val="18"/>
                <w:szCs w:val="18"/>
              </w:rPr>
            </w:pPr>
            <w:r w:rsidRPr="0009787B">
              <w:rPr>
                <w:sz w:val="18"/>
                <w:szCs w:val="18"/>
              </w:rPr>
              <w:t>2013</w:t>
            </w:r>
          </w:p>
        </w:tc>
        <w:tc>
          <w:tcPr>
            <w:tcW w:w="1199" w:type="dxa"/>
          </w:tcPr>
          <w:p w:rsidR="00B263F8" w:rsidRPr="00C413E7" w:rsidRDefault="00B263F8" w:rsidP="003134A2">
            <w:pPr>
              <w:cnfStyle w:val="000000000000"/>
              <w:rPr>
                <w:color w:val="000000"/>
                <w:sz w:val="18"/>
                <w:szCs w:val="18"/>
              </w:rPr>
            </w:pPr>
            <w:r w:rsidRPr="00C413E7">
              <w:rPr>
                <w:color w:val="000000"/>
                <w:sz w:val="18"/>
                <w:szCs w:val="18"/>
              </w:rPr>
              <w:t>154,2</w:t>
            </w:r>
          </w:p>
        </w:tc>
        <w:tc>
          <w:tcPr>
            <w:tcW w:w="1315" w:type="dxa"/>
          </w:tcPr>
          <w:p w:rsidR="00B263F8" w:rsidRPr="00C413E7" w:rsidRDefault="00B263F8" w:rsidP="003134A2">
            <w:pPr>
              <w:cnfStyle w:val="000000000000"/>
              <w:rPr>
                <w:color w:val="000000"/>
                <w:sz w:val="18"/>
                <w:szCs w:val="18"/>
              </w:rPr>
            </w:pPr>
            <w:r w:rsidRPr="00C413E7">
              <w:rPr>
                <w:color w:val="000000"/>
                <w:sz w:val="18"/>
                <w:szCs w:val="18"/>
              </w:rPr>
              <w:t>335</w:t>
            </w:r>
          </w:p>
        </w:tc>
        <w:tc>
          <w:tcPr>
            <w:tcW w:w="1398" w:type="dxa"/>
          </w:tcPr>
          <w:p w:rsidR="00B263F8" w:rsidRPr="0009787B" w:rsidRDefault="00B263F8" w:rsidP="009D3D9C">
            <w:pPr>
              <w:cnfStyle w:val="000000000000"/>
              <w:rPr>
                <w:sz w:val="18"/>
                <w:szCs w:val="18"/>
              </w:rPr>
            </w:pPr>
            <w:r>
              <w:rPr>
                <w:sz w:val="18"/>
                <w:szCs w:val="18"/>
              </w:rPr>
              <w:t>92,5</w:t>
            </w:r>
          </w:p>
        </w:tc>
        <w:tc>
          <w:tcPr>
            <w:tcW w:w="1851" w:type="dxa"/>
          </w:tcPr>
          <w:p w:rsidR="00B263F8" w:rsidRPr="00C413E7" w:rsidRDefault="00B263F8" w:rsidP="003134A2">
            <w:pPr>
              <w:cnfStyle w:val="000000000000"/>
              <w:rPr>
                <w:color w:val="000000"/>
                <w:sz w:val="18"/>
                <w:szCs w:val="18"/>
              </w:rPr>
            </w:pPr>
            <w:r w:rsidRPr="00C413E7">
              <w:rPr>
                <w:color w:val="000000"/>
                <w:sz w:val="18"/>
                <w:szCs w:val="18"/>
              </w:rPr>
              <w:t>12,4</w:t>
            </w:r>
          </w:p>
        </w:tc>
      </w:tr>
      <w:tr w:rsidR="00B263F8" w:rsidRPr="0009787B" w:rsidTr="003134A2">
        <w:tc>
          <w:tcPr>
            <w:cnfStyle w:val="001000000000"/>
            <w:tcW w:w="1703" w:type="dxa"/>
            <w:vMerge/>
          </w:tcPr>
          <w:p w:rsidR="00B263F8" w:rsidRPr="0009787B" w:rsidRDefault="00B263F8" w:rsidP="009D3D9C">
            <w:pPr>
              <w:rPr>
                <w:sz w:val="18"/>
                <w:szCs w:val="18"/>
              </w:rPr>
            </w:pPr>
          </w:p>
        </w:tc>
        <w:tc>
          <w:tcPr>
            <w:tcW w:w="838" w:type="dxa"/>
          </w:tcPr>
          <w:p w:rsidR="00B263F8" w:rsidRPr="0009787B" w:rsidRDefault="00B263F8" w:rsidP="003134A2">
            <w:pPr>
              <w:cnfStyle w:val="000000000000"/>
              <w:rPr>
                <w:sz w:val="18"/>
                <w:szCs w:val="18"/>
              </w:rPr>
            </w:pPr>
            <w:r w:rsidRPr="0009787B">
              <w:rPr>
                <w:sz w:val="18"/>
                <w:szCs w:val="18"/>
              </w:rPr>
              <w:t>2014</w:t>
            </w:r>
          </w:p>
        </w:tc>
        <w:tc>
          <w:tcPr>
            <w:tcW w:w="1199" w:type="dxa"/>
          </w:tcPr>
          <w:p w:rsidR="00B263F8" w:rsidRPr="00C413E7" w:rsidRDefault="00B263F8" w:rsidP="003134A2">
            <w:pPr>
              <w:cnfStyle w:val="000000000000"/>
              <w:rPr>
                <w:color w:val="000000"/>
                <w:sz w:val="18"/>
                <w:szCs w:val="18"/>
              </w:rPr>
            </w:pPr>
            <w:r w:rsidRPr="00C413E7">
              <w:rPr>
                <w:color w:val="000000"/>
                <w:sz w:val="18"/>
                <w:szCs w:val="18"/>
              </w:rPr>
              <w:t>159,2</w:t>
            </w:r>
          </w:p>
        </w:tc>
        <w:tc>
          <w:tcPr>
            <w:tcW w:w="1315" w:type="dxa"/>
          </w:tcPr>
          <w:p w:rsidR="00B263F8" w:rsidRPr="00C413E7" w:rsidRDefault="00B263F8" w:rsidP="003134A2">
            <w:pPr>
              <w:cnfStyle w:val="000000000000"/>
              <w:rPr>
                <w:color w:val="000000"/>
                <w:sz w:val="18"/>
                <w:szCs w:val="18"/>
              </w:rPr>
            </w:pPr>
            <w:r w:rsidRPr="00C413E7">
              <w:rPr>
                <w:color w:val="000000"/>
                <w:sz w:val="18"/>
                <w:szCs w:val="18"/>
              </w:rPr>
              <w:t>212</w:t>
            </w:r>
          </w:p>
        </w:tc>
        <w:tc>
          <w:tcPr>
            <w:tcW w:w="1398" w:type="dxa"/>
          </w:tcPr>
          <w:p w:rsidR="00B263F8" w:rsidRPr="0009787B" w:rsidRDefault="00B263F8" w:rsidP="009D3D9C">
            <w:pPr>
              <w:cnfStyle w:val="000000000000"/>
              <w:rPr>
                <w:sz w:val="18"/>
                <w:szCs w:val="18"/>
              </w:rPr>
            </w:pPr>
            <w:r>
              <w:rPr>
                <w:sz w:val="18"/>
                <w:szCs w:val="18"/>
              </w:rPr>
              <w:t>92,5</w:t>
            </w:r>
          </w:p>
        </w:tc>
        <w:tc>
          <w:tcPr>
            <w:tcW w:w="1851" w:type="dxa"/>
          </w:tcPr>
          <w:p w:rsidR="00B263F8" w:rsidRPr="00C413E7" w:rsidRDefault="00B263F8" w:rsidP="003134A2">
            <w:pPr>
              <w:cnfStyle w:val="000000000000"/>
              <w:rPr>
                <w:color w:val="000000"/>
                <w:sz w:val="18"/>
                <w:szCs w:val="18"/>
              </w:rPr>
            </w:pPr>
            <w:r w:rsidRPr="00C413E7">
              <w:rPr>
                <w:color w:val="000000"/>
                <w:sz w:val="18"/>
                <w:szCs w:val="18"/>
              </w:rPr>
              <w:t>12,6</w:t>
            </w:r>
          </w:p>
        </w:tc>
      </w:tr>
      <w:tr w:rsidR="00B263F8" w:rsidRPr="0009787B" w:rsidTr="003134A2">
        <w:tc>
          <w:tcPr>
            <w:cnfStyle w:val="001000000000"/>
            <w:tcW w:w="1703" w:type="dxa"/>
            <w:vMerge w:val="restart"/>
          </w:tcPr>
          <w:p w:rsidR="00B263F8" w:rsidRPr="0009787B" w:rsidRDefault="00B263F8" w:rsidP="009D3D9C">
            <w:pPr>
              <w:rPr>
                <w:sz w:val="18"/>
                <w:szCs w:val="18"/>
              </w:rPr>
            </w:pPr>
            <w:r>
              <w:rPr>
                <w:sz w:val="18"/>
                <w:szCs w:val="18"/>
              </w:rPr>
              <w:t>Lepinguline portfell</w:t>
            </w:r>
          </w:p>
        </w:tc>
        <w:tc>
          <w:tcPr>
            <w:tcW w:w="838" w:type="dxa"/>
          </w:tcPr>
          <w:p w:rsidR="00B263F8" w:rsidRPr="0009787B" w:rsidRDefault="00B263F8" w:rsidP="003134A2">
            <w:pPr>
              <w:cnfStyle w:val="000000000000"/>
              <w:rPr>
                <w:sz w:val="18"/>
                <w:szCs w:val="18"/>
              </w:rPr>
            </w:pPr>
            <w:r w:rsidRPr="0009787B">
              <w:rPr>
                <w:sz w:val="18"/>
                <w:szCs w:val="18"/>
              </w:rPr>
              <w:t>2013</w:t>
            </w:r>
          </w:p>
        </w:tc>
        <w:tc>
          <w:tcPr>
            <w:tcW w:w="1199" w:type="dxa"/>
          </w:tcPr>
          <w:p w:rsidR="00B263F8" w:rsidRPr="00C413E7" w:rsidRDefault="00B263F8" w:rsidP="003134A2">
            <w:pPr>
              <w:cnfStyle w:val="000000000000"/>
              <w:rPr>
                <w:color w:val="000000"/>
                <w:sz w:val="18"/>
                <w:szCs w:val="18"/>
              </w:rPr>
            </w:pPr>
            <w:r>
              <w:rPr>
                <w:color w:val="000000"/>
                <w:sz w:val="18"/>
                <w:szCs w:val="18"/>
              </w:rPr>
              <w:t>74</w:t>
            </w:r>
          </w:p>
        </w:tc>
        <w:tc>
          <w:tcPr>
            <w:tcW w:w="1315" w:type="dxa"/>
          </w:tcPr>
          <w:p w:rsidR="00B263F8" w:rsidRPr="00C413E7" w:rsidRDefault="00B263F8" w:rsidP="003134A2">
            <w:pPr>
              <w:cnfStyle w:val="000000000000"/>
              <w:rPr>
                <w:color w:val="000000"/>
                <w:sz w:val="18"/>
                <w:szCs w:val="18"/>
              </w:rPr>
            </w:pPr>
            <w:r>
              <w:rPr>
                <w:color w:val="000000"/>
                <w:sz w:val="18"/>
                <w:szCs w:val="18"/>
              </w:rPr>
              <w:t>40</w:t>
            </w:r>
          </w:p>
        </w:tc>
        <w:tc>
          <w:tcPr>
            <w:tcW w:w="1398" w:type="dxa"/>
          </w:tcPr>
          <w:p w:rsidR="00B263F8" w:rsidRDefault="00B263F8" w:rsidP="009D3D9C">
            <w:pPr>
              <w:cnfStyle w:val="000000000000"/>
              <w:rPr>
                <w:sz w:val="18"/>
                <w:szCs w:val="18"/>
              </w:rPr>
            </w:pPr>
            <w:r>
              <w:rPr>
                <w:sz w:val="18"/>
                <w:szCs w:val="18"/>
              </w:rPr>
              <w:t>-</w:t>
            </w:r>
          </w:p>
        </w:tc>
        <w:tc>
          <w:tcPr>
            <w:tcW w:w="1851" w:type="dxa"/>
          </w:tcPr>
          <w:p w:rsidR="00B263F8" w:rsidRPr="00C413E7" w:rsidRDefault="00B263F8" w:rsidP="003134A2">
            <w:pPr>
              <w:cnfStyle w:val="000000000000"/>
              <w:rPr>
                <w:color w:val="000000"/>
                <w:sz w:val="18"/>
                <w:szCs w:val="18"/>
              </w:rPr>
            </w:pPr>
            <w:r>
              <w:rPr>
                <w:color w:val="000000"/>
                <w:sz w:val="18"/>
                <w:szCs w:val="18"/>
              </w:rPr>
              <w:t>-</w:t>
            </w:r>
          </w:p>
        </w:tc>
      </w:tr>
      <w:tr w:rsidR="00B263F8" w:rsidRPr="0009787B" w:rsidTr="003134A2">
        <w:tc>
          <w:tcPr>
            <w:cnfStyle w:val="001000000000"/>
            <w:tcW w:w="1703" w:type="dxa"/>
            <w:vMerge/>
          </w:tcPr>
          <w:p w:rsidR="00B263F8" w:rsidRPr="0009787B" w:rsidRDefault="00B263F8" w:rsidP="009D3D9C">
            <w:pPr>
              <w:rPr>
                <w:sz w:val="18"/>
                <w:szCs w:val="18"/>
              </w:rPr>
            </w:pPr>
          </w:p>
        </w:tc>
        <w:tc>
          <w:tcPr>
            <w:tcW w:w="838" w:type="dxa"/>
          </w:tcPr>
          <w:p w:rsidR="00B263F8" w:rsidRPr="0009787B" w:rsidRDefault="00B263F8" w:rsidP="003134A2">
            <w:pPr>
              <w:cnfStyle w:val="000000000000"/>
              <w:rPr>
                <w:sz w:val="18"/>
                <w:szCs w:val="18"/>
              </w:rPr>
            </w:pPr>
            <w:r w:rsidRPr="0009787B">
              <w:rPr>
                <w:sz w:val="18"/>
                <w:szCs w:val="18"/>
              </w:rPr>
              <w:t>2014</w:t>
            </w:r>
          </w:p>
        </w:tc>
        <w:tc>
          <w:tcPr>
            <w:tcW w:w="1199" w:type="dxa"/>
          </w:tcPr>
          <w:p w:rsidR="00B263F8" w:rsidRPr="00C413E7" w:rsidRDefault="00B263F8" w:rsidP="003134A2">
            <w:pPr>
              <w:cnfStyle w:val="000000000000"/>
              <w:rPr>
                <w:color w:val="000000"/>
                <w:sz w:val="18"/>
                <w:szCs w:val="18"/>
              </w:rPr>
            </w:pPr>
            <w:r>
              <w:rPr>
                <w:color w:val="000000"/>
                <w:sz w:val="18"/>
                <w:szCs w:val="18"/>
              </w:rPr>
              <w:t>129</w:t>
            </w:r>
          </w:p>
        </w:tc>
        <w:tc>
          <w:tcPr>
            <w:tcW w:w="1315" w:type="dxa"/>
          </w:tcPr>
          <w:p w:rsidR="00B263F8" w:rsidRPr="00C413E7" w:rsidRDefault="00B263F8" w:rsidP="003134A2">
            <w:pPr>
              <w:cnfStyle w:val="000000000000"/>
              <w:rPr>
                <w:color w:val="000000"/>
                <w:sz w:val="18"/>
                <w:szCs w:val="18"/>
              </w:rPr>
            </w:pPr>
            <w:r>
              <w:rPr>
                <w:color w:val="000000"/>
                <w:sz w:val="18"/>
                <w:szCs w:val="18"/>
              </w:rPr>
              <w:t>98</w:t>
            </w:r>
          </w:p>
        </w:tc>
        <w:tc>
          <w:tcPr>
            <w:tcW w:w="1398" w:type="dxa"/>
          </w:tcPr>
          <w:p w:rsidR="00B263F8" w:rsidRDefault="00B263F8" w:rsidP="009D3D9C">
            <w:pPr>
              <w:cnfStyle w:val="000000000000"/>
              <w:rPr>
                <w:sz w:val="18"/>
                <w:szCs w:val="18"/>
              </w:rPr>
            </w:pPr>
            <w:r>
              <w:rPr>
                <w:sz w:val="18"/>
                <w:szCs w:val="18"/>
              </w:rPr>
              <w:t>-</w:t>
            </w:r>
          </w:p>
        </w:tc>
        <w:tc>
          <w:tcPr>
            <w:tcW w:w="1851" w:type="dxa"/>
          </w:tcPr>
          <w:p w:rsidR="00B263F8" w:rsidRPr="00C413E7" w:rsidRDefault="00B263F8" w:rsidP="003134A2">
            <w:pPr>
              <w:cnfStyle w:val="000000000000"/>
              <w:rPr>
                <w:color w:val="000000"/>
                <w:sz w:val="18"/>
                <w:szCs w:val="18"/>
              </w:rPr>
            </w:pPr>
            <w:r>
              <w:rPr>
                <w:color w:val="000000"/>
                <w:sz w:val="18"/>
                <w:szCs w:val="18"/>
              </w:rPr>
              <w:t>-</w:t>
            </w:r>
          </w:p>
        </w:tc>
      </w:tr>
      <w:tr w:rsidR="00B263F8" w:rsidRPr="0009787B" w:rsidTr="003134A2">
        <w:tc>
          <w:tcPr>
            <w:cnfStyle w:val="001000000000"/>
            <w:tcW w:w="1703" w:type="dxa"/>
            <w:vMerge w:val="restart"/>
          </w:tcPr>
          <w:p w:rsidR="00B263F8" w:rsidRPr="0009787B" w:rsidRDefault="00B263F8" w:rsidP="009D3D9C">
            <w:pPr>
              <w:rPr>
                <w:sz w:val="18"/>
                <w:szCs w:val="18"/>
              </w:rPr>
            </w:pPr>
            <w:r>
              <w:rPr>
                <w:sz w:val="18"/>
                <w:szCs w:val="18"/>
              </w:rPr>
              <w:t>Portfell kokku</w:t>
            </w:r>
          </w:p>
        </w:tc>
        <w:tc>
          <w:tcPr>
            <w:tcW w:w="838" w:type="dxa"/>
          </w:tcPr>
          <w:p w:rsidR="00B263F8" w:rsidRPr="0009787B" w:rsidRDefault="00B263F8" w:rsidP="003134A2">
            <w:pPr>
              <w:cnfStyle w:val="000000000000"/>
              <w:rPr>
                <w:sz w:val="18"/>
                <w:szCs w:val="18"/>
              </w:rPr>
            </w:pPr>
            <w:r w:rsidRPr="0009787B">
              <w:rPr>
                <w:sz w:val="18"/>
                <w:szCs w:val="18"/>
              </w:rPr>
              <w:t>2013</w:t>
            </w:r>
          </w:p>
        </w:tc>
        <w:tc>
          <w:tcPr>
            <w:tcW w:w="1199" w:type="dxa"/>
          </w:tcPr>
          <w:p w:rsidR="00B263F8" w:rsidRDefault="00B263F8" w:rsidP="003134A2">
            <w:pPr>
              <w:cnfStyle w:val="000000000000"/>
              <w:rPr>
                <w:color w:val="000000"/>
                <w:sz w:val="18"/>
                <w:szCs w:val="18"/>
              </w:rPr>
            </w:pPr>
            <w:r>
              <w:rPr>
                <w:color w:val="000000"/>
                <w:sz w:val="18"/>
                <w:szCs w:val="18"/>
              </w:rPr>
              <w:t>925,8</w:t>
            </w:r>
          </w:p>
        </w:tc>
        <w:tc>
          <w:tcPr>
            <w:tcW w:w="1315" w:type="dxa"/>
          </w:tcPr>
          <w:p w:rsidR="00B263F8" w:rsidRDefault="00B263F8" w:rsidP="003134A2">
            <w:pPr>
              <w:cnfStyle w:val="000000000000"/>
              <w:rPr>
                <w:color w:val="000000"/>
                <w:sz w:val="18"/>
                <w:szCs w:val="18"/>
              </w:rPr>
            </w:pPr>
            <w:r>
              <w:rPr>
                <w:color w:val="000000"/>
                <w:sz w:val="18"/>
                <w:szCs w:val="18"/>
              </w:rPr>
              <w:t>701</w:t>
            </w:r>
          </w:p>
        </w:tc>
        <w:tc>
          <w:tcPr>
            <w:tcW w:w="1398" w:type="dxa"/>
          </w:tcPr>
          <w:p w:rsidR="00B263F8" w:rsidRDefault="00B263F8" w:rsidP="009D3D9C">
            <w:pPr>
              <w:cnfStyle w:val="000000000000"/>
              <w:rPr>
                <w:sz w:val="18"/>
                <w:szCs w:val="18"/>
              </w:rPr>
            </w:pPr>
            <w:r>
              <w:rPr>
                <w:sz w:val="18"/>
                <w:szCs w:val="18"/>
              </w:rPr>
              <w:t>25,1</w:t>
            </w:r>
          </w:p>
        </w:tc>
        <w:tc>
          <w:tcPr>
            <w:tcW w:w="1851" w:type="dxa"/>
          </w:tcPr>
          <w:p w:rsidR="00B263F8" w:rsidRDefault="00B263F8" w:rsidP="003134A2">
            <w:pPr>
              <w:cnfStyle w:val="000000000000"/>
              <w:rPr>
                <w:color w:val="000000"/>
                <w:sz w:val="18"/>
                <w:szCs w:val="18"/>
              </w:rPr>
            </w:pPr>
            <w:r>
              <w:rPr>
                <w:color w:val="000000"/>
                <w:sz w:val="18"/>
                <w:szCs w:val="18"/>
              </w:rPr>
              <w:t>47,9</w:t>
            </w:r>
          </w:p>
        </w:tc>
      </w:tr>
      <w:tr w:rsidR="00B263F8" w:rsidRPr="0009787B" w:rsidTr="003134A2">
        <w:tc>
          <w:tcPr>
            <w:cnfStyle w:val="001000000000"/>
            <w:tcW w:w="1703" w:type="dxa"/>
            <w:vMerge/>
          </w:tcPr>
          <w:p w:rsidR="00B263F8" w:rsidRPr="0009787B" w:rsidRDefault="00B263F8" w:rsidP="009D3D9C">
            <w:pPr>
              <w:rPr>
                <w:sz w:val="18"/>
                <w:szCs w:val="18"/>
              </w:rPr>
            </w:pPr>
          </w:p>
        </w:tc>
        <w:tc>
          <w:tcPr>
            <w:tcW w:w="838" w:type="dxa"/>
          </w:tcPr>
          <w:p w:rsidR="00B263F8" w:rsidRPr="0009787B" w:rsidRDefault="00B263F8" w:rsidP="003134A2">
            <w:pPr>
              <w:cnfStyle w:val="000000000000"/>
              <w:rPr>
                <w:sz w:val="18"/>
                <w:szCs w:val="18"/>
              </w:rPr>
            </w:pPr>
            <w:r w:rsidRPr="0009787B">
              <w:rPr>
                <w:sz w:val="18"/>
                <w:szCs w:val="18"/>
              </w:rPr>
              <w:t>2014</w:t>
            </w:r>
          </w:p>
        </w:tc>
        <w:tc>
          <w:tcPr>
            <w:tcW w:w="1199" w:type="dxa"/>
          </w:tcPr>
          <w:p w:rsidR="00B263F8" w:rsidRDefault="00B263F8" w:rsidP="003134A2">
            <w:pPr>
              <w:cnfStyle w:val="000000000000"/>
              <w:rPr>
                <w:color w:val="000000"/>
                <w:sz w:val="18"/>
                <w:szCs w:val="18"/>
              </w:rPr>
            </w:pPr>
            <w:r>
              <w:rPr>
                <w:color w:val="000000"/>
                <w:sz w:val="18"/>
                <w:szCs w:val="18"/>
              </w:rPr>
              <w:t>1 150,2</w:t>
            </w:r>
          </w:p>
        </w:tc>
        <w:tc>
          <w:tcPr>
            <w:tcW w:w="1315" w:type="dxa"/>
          </w:tcPr>
          <w:p w:rsidR="00B263F8" w:rsidRDefault="00B263F8" w:rsidP="003134A2">
            <w:pPr>
              <w:cnfStyle w:val="000000000000"/>
              <w:rPr>
                <w:color w:val="000000"/>
                <w:sz w:val="18"/>
                <w:szCs w:val="18"/>
              </w:rPr>
            </w:pPr>
            <w:r>
              <w:rPr>
                <w:color w:val="000000"/>
                <w:sz w:val="18"/>
                <w:szCs w:val="18"/>
              </w:rPr>
              <w:t>670</w:t>
            </w:r>
          </w:p>
        </w:tc>
        <w:tc>
          <w:tcPr>
            <w:tcW w:w="1398" w:type="dxa"/>
          </w:tcPr>
          <w:p w:rsidR="00B263F8" w:rsidRDefault="00B263F8" w:rsidP="009D3D9C">
            <w:pPr>
              <w:cnfStyle w:val="000000000000"/>
              <w:rPr>
                <w:sz w:val="18"/>
                <w:szCs w:val="18"/>
              </w:rPr>
            </w:pPr>
            <w:r>
              <w:rPr>
                <w:sz w:val="18"/>
                <w:szCs w:val="18"/>
              </w:rPr>
              <w:t>30</w:t>
            </w:r>
          </w:p>
        </w:tc>
        <w:tc>
          <w:tcPr>
            <w:tcW w:w="1851" w:type="dxa"/>
          </w:tcPr>
          <w:p w:rsidR="00B263F8" w:rsidRDefault="00B263F8" w:rsidP="003134A2">
            <w:pPr>
              <w:cnfStyle w:val="000000000000"/>
              <w:rPr>
                <w:color w:val="000000"/>
                <w:sz w:val="18"/>
                <w:szCs w:val="18"/>
              </w:rPr>
            </w:pPr>
            <w:r>
              <w:rPr>
                <w:color w:val="000000"/>
                <w:sz w:val="18"/>
                <w:szCs w:val="18"/>
              </w:rPr>
              <w:t>53,8</w:t>
            </w:r>
          </w:p>
        </w:tc>
      </w:tr>
    </w:tbl>
    <w:p w:rsidR="00B263F8" w:rsidRDefault="00B263F8" w:rsidP="005458FB">
      <w:pPr>
        <w:pStyle w:val="Caption"/>
      </w:pPr>
    </w:p>
    <w:p w:rsidR="00B263F8" w:rsidRDefault="00B263F8" w:rsidP="005458FB">
      <w:pPr>
        <w:pStyle w:val="Caption"/>
      </w:pPr>
    </w:p>
    <w:p w:rsidR="00B263F8" w:rsidRDefault="00B263F8" w:rsidP="005458FB">
      <w:pPr>
        <w:pStyle w:val="Caption"/>
      </w:pPr>
    </w:p>
    <w:p w:rsidR="00B263F8" w:rsidRDefault="00B263F8" w:rsidP="005458FB">
      <w:pPr>
        <w:pStyle w:val="Caption"/>
      </w:pPr>
    </w:p>
    <w:p w:rsidR="00B263F8" w:rsidRDefault="00B263F8" w:rsidP="005458FB">
      <w:pPr>
        <w:pStyle w:val="Caption"/>
      </w:pPr>
      <w:r>
        <w:t xml:space="preserve">Tabel </w:t>
      </w:r>
      <w:fldSimple w:instr=" SEQ Tabel \* ARABIC ">
        <w:r w:rsidR="00477322">
          <w:rPr>
            <w:noProof/>
          </w:rPr>
          <w:t>3</w:t>
        </w:r>
      </w:fldSimple>
      <w:r>
        <w:t>. RKAS</w:t>
      </w:r>
      <w:r w:rsidR="0076771D">
        <w:t>-</w:t>
      </w:r>
      <w:r>
        <w:t>i kliendid ja nende osakaalud haldusportfellist ja üüritulust</w:t>
      </w:r>
    </w:p>
    <w:tbl>
      <w:tblPr>
        <w:tblStyle w:val="Heleruuttabel1rhk11"/>
        <w:tblW w:w="0" w:type="auto"/>
        <w:tblLook w:val="04A0"/>
      </w:tblPr>
      <w:tblGrid>
        <w:gridCol w:w="3077"/>
        <w:gridCol w:w="1406"/>
        <w:gridCol w:w="1777"/>
        <w:gridCol w:w="1378"/>
        <w:gridCol w:w="1378"/>
      </w:tblGrid>
      <w:tr w:rsidR="00B263F8" w:rsidRPr="00B956FC" w:rsidTr="00B956FC">
        <w:trPr>
          <w:cnfStyle w:val="100000000000"/>
        </w:trPr>
        <w:tc>
          <w:tcPr>
            <w:cnfStyle w:val="001000000000"/>
            <w:tcW w:w="3077" w:type="dxa"/>
          </w:tcPr>
          <w:p w:rsidR="00B263F8" w:rsidRPr="00B956FC" w:rsidRDefault="00B263F8" w:rsidP="00B956FC">
            <w:pPr>
              <w:rPr>
                <w:sz w:val="18"/>
                <w:szCs w:val="18"/>
              </w:rPr>
            </w:pPr>
            <w:r>
              <w:rPr>
                <w:sz w:val="18"/>
                <w:szCs w:val="18"/>
              </w:rPr>
              <w:t>Klient</w:t>
            </w:r>
          </w:p>
        </w:tc>
        <w:tc>
          <w:tcPr>
            <w:tcW w:w="1406" w:type="dxa"/>
          </w:tcPr>
          <w:p w:rsidR="00B263F8" w:rsidRPr="00B956FC" w:rsidRDefault="00B263F8" w:rsidP="00B956FC">
            <w:pPr>
              <w:cnfStyle w:val="100000000000"/>
              <w:rPr>
                <w:sz w:val="18"/>
                <w:szCs w:val="18"/>
              </w:rPr>
            </w:pPr>
            <w:r w:rsidRPr="00B956FC">
              <w:rPr>
                <w:sz w:val="18"/>
                <w:szCs w:val="18"/>
              </w:rPr>
              <w:t>Üüripind (tuh, m²)</w:t>
            </w:r>
          </w:p>
        </w:tc>
        <w:tc>
          <w:tcPr>
            <w:tcW w:w="1777" w:type="dxa"/>
          </w:tcPr>
          <w:p w:rsidR="00B263F8" w:rsidRPr="00B956FC" w:rsidRDefault="00B263F8" w:rsidP="00B956FC">
            <w:pPr>
              <w:cnfStyle w:val="100000000000"/>
              <w:rPr>
                <w:sz w:val="18"/>
                <w:szCs w:val="18"/>
              </w:rPr>
            </w:pPr>
            <w:r w:rsidRPr="00B956FC">
              <w:rPr>
                <w:sz w:val="18"/>
                <w:szCs w:val="18"/>
              </w:rPr>
              <w:t>Osakaal haldusportfellist (%)</w:t>
            </w:r>
          </w:p>
        </w:tc>
        <w:tc>
          <w:tcPr>
            <w:tcW w:w="1378" w:type="dxa"/>
          </w:tcPr>
          <w:p w:rsidR="00B263F8" w:rsidRPr="00B956FC" w:rsidRDefault="00B263F8" w:rsidP="00B956FC">
            <w:pPr>
              <w:cnfStyle w:val="100000000000"/>
              <w:rPr>
                <w:sz w:val="18"/>
                <w:szCs w:val="18"/>
              </w:rPr>
            </w:pPr>
            <w:r w:rsidRPr="00B956FC">
              <w:rPr>
                <w:sz w:val="18"/>
                <w:szCs w:val="18"/>
              </w:rPr>
              <w:t>Üüritulu (tuh, €)</w:t>
            </w:r>
          </w:p>
        </w:tc>
        <w:tc>
          <w:tcPr>
            <w:tcW w:w="1378" w:type="dxa"/>
          </w:tcPr>
          <w:p w:rsidR="00B263F8" w:rsidRPr="00B956FC" w:rsidRDefault="00B263F8" w:rsidP="00B956FC">
            <w:pPr>
              <w:cnfStyle w:val="100000000000"/>
              <w:rPr>
                <w:sz w:val="18"/>
                <w:szCs w:val="18"/>
              </w:rPr>
            </w:pPr>
            <w:r w:rsidRPr="00B956FC">
              <w:rPr>
                <w:sz w:val="18"/>
                <w:szCs w:val="18"/>
              </w:rPr>
              <w:t>Üüritulu osakaal (%)</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Siseministeerium</w:t>
            </w:r>
          </w:p>
        </w:tc>
        <w:tc>
          <w:tcPr>
            <w:tcW w:w="1406" w:type="dxa"/>
          </w:tcPr>
          <w:p w:rsidR="00B263F8" w:rsidRPr="00B956FC" w:rsidRDefault="00B263F8" w:rsidP="00B956FC">
            <w:pPr>
              <w:jc w:val="right"/>
              <w:cnfStyle w:val="000000000000"/>
              <w:rPr>
                <w:sz w:val="18"/>
                <w:szCs w:val="18"/>
              </w:rPr>
            </w:pPr>
            <w:r w:rsidRPr="00B956FC">
              <w:rPr>
                <w:sz w:val="18"/>
                <w:szCs w:val="18"/>
              </w:rPr>
              <w:t>169,6</w:t>
            </w:r>
          </w:p>
        </w:tc>
        <w:tc>
          <w:tcPr>
            <w:tcW w:w="1777" w:type="dxa"/>
          </w:tcPr>
          <w:p w:rsidR="00B263F8" w:rsidRPr="00B956FC" w:rsidRDefault="00B263F8" w:rsidP="00B956FC">
            <w:pPr>
              <w:jc w:val="right"/>
              <w:cnfStyle w:val="000000000000"/>
              <w:rPr>
                <w:sz w:val="18"/>
                <w:szCs w:val="18"/>
              </w:rPr>
            </w:pPr>
            <w:r w:rsidRPr="00B956FC">
              <w:rPr>
                <w:sz w:val="18"/>
                <w:szCs w:val="18"/>
              </w:rPr>
              <w:t>27,2</w:t>
            </w:r>
          </w:p>
        </w:tc>
        <w:tc>
          <w:tcPr>
            <w:tcW w:w="1378" w:type="dxa"/>
          </w:tcPr>
          <w:p w:rsidR="00B263F8" w:rsidRPr="00B956FC" w:rsidRDefault="00B263F8" w:rsidP="00B956FC">
            <w:pPr>
              <w:jc w:val="right"/>
              <w:cnfStyle w:val="000000000000"/>
              <w:rPr>
                <w:sz w:val="18"/>
                <w:szCs w:val="18"/>
              </w:rPr>
            </w:pPr>
            <w:r w:rsidRPr="00B956FC">
              <w:rPr>
                <w:sz w:val="18"/>
                <w:szCs w:val="18"/>
              </w:rPr>
              <w:t>14 225</w:t>
            </w:r>
          </w:p>
        </w:tc>
        <w:tc>
          <w:tcPr>
            <w:tcW w:w="1378" w:type="dxa"/>
          </w:tcPr>
          <w:p w:rsidR="00B263F8" w:rsidRPr="00B956FC" w:rsidRDefault="00B263F8" w:rsidP="00B956FC">
            <w:pPr>
              <w:jc w:val="right"/>
              <w:cnfStyle w:val="000000000000"/>
              <w:rPr>
                <w:sz w:val="18"/>
                <w:szCs w:val="18"/>
              </w:rPr>
            </w:pPr>
            <w:r w:rsidRPr="00B956FC">
              <w:rPr>
                <w:sz w:val="18"/>
                <w:szCs w:val="18"/>
              </w:rPr>
              <w:t>40,8</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Justiitsministeerium</w:t>
            </w:r>
          </w:p>
        </w:tc>
        <w:tc>
          <w:tcPr>
            <w:tcW w:w="1406" w:type="dxa"/>
          </w:tcPr>
          <w:p w:rsidR="00B263F8" w:rsidRPr="00B956FC" w:rsidRDefault="00B263F8" w:rsidP="00B956FC">
            <w:pPr>
              <w:jc w:val="right"/>
              <w:cnfStyle w:val="000000000000"/>
              <w:rPr>
                <w:sz w:val="18"/>
                <w:szCs w:val="18"/>
              </w:rPr>
            </w:pPr>
            <w:r w:rsidRPr="00B956FC">
              <w:rPr>
                <w:sz w:val="18"/>
                <w:szCs w:val="18"/>
              </w:rPr>
              <w:t>137,5</w:t>
            </w:r>
          </w:p>
        </w:tc>
        <w:tc>
          <w:tcPr>
            <w:tcW w:w="1777" w:type="dxa"/>
          </w:tcPr>
          <w:p w:rsidR="00B263F8" w:rsidRPr="00B956FC" w:rsidRDefault="00B263F8" w:rsidP="00B956FC">
            <w:pPr>
              <w:jc w:val="right"/>
              <w:cnfStyle w:val="000000000000"/>
              <w:rPr>
                <w:sz w:val="18"/>
                <w:szCs w:val="18"/>
              </w:rPr>
            </w:pPr>
            <w:r w:rsidRPr="00B956FC">
              <w:rPr>
                <w:sz w:val="18"/>
                <w:szCs w:val="18"/>
              </w:rPr>
              <w:t>22,0</w:t>
            </w:r>
          </w:p>
        </w:tc>
        <w:tc>
          <w:tcPr>
            <w:tcW w:w="1378" w:type="dxa"/>
          </w:tcPr>
          <w:p w:rsidR="00B263F8" w:rsidRPr="00B956FC" w:rsidRDefault="00B263F8" w:rsidP="00B956FC">
            <w:pPr>
              <w:jc w:val="right"/>
              <w:cnfStyle w:val="000000000000"/>
              <w:rPr>
                <w:sz w:val="18"/>
                <w:szCs w:val="18"/>
              </w:rPr>
            </w:pPr>
            <w:r w:rsidRPr="00B956FC">
              <w:rPr>
                <w:sz w:val="18"/>
                <w:szCs w:val="18"/>
              </w:rPr>
              <w:t>8 633</w:t>
            </w:r>
          </w:p>
        </w:tc>
        <w:tc>
          <w:tcPr>
            <w:tcW w:w="1378" w:type="dxa"/>
          </w:tcPr>
          <w:p w:rsidR="00B263F8" w:rsidRPr="00B956FC" w:rsidRDefault="00B263F8" w:rsidP="00B956FC">
            <w:pPr>
              <w:jc w:val="right"/>
              <w:cnfStyle w:val="000000000000"/>
              <w:rPr>
                <w:sz w:val="18"/>
                <w:szCs w:val="18"/>
              </w:rPr>
            </w:pPr>
            <w:r w:rsidRPr="00B956FC">
              <w:rPr>
                <w:sz w:val="18"/>
                <w:szCs w:val="18"/>
              </w:rPr>
              <w:t>24,8</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Kohalikud omavalitsused</w:t>
            </w:r>
          </w:p>
        </w:tc>
        <w:tc>
          <w:tcPr>
            <w:tcW w:w="1406" w:type="dxa"/>
          </w:tcPr>
          <w:p w:rsidR="00B263F8" w:rsidRPr="00B956FC" w:rsidRDefault="00B263F8" w:rsidP="00B956FC">
            <w:pPr>
              <w:jc w:val="right"/>
              <w:cnfStyle w:val="000000000000"/>
              <w:rPr>
                <w:sz w:val="18"/>
                <w:szCs w:val="18"/>
              </w:rPr>
            </w:pPr>
            <w:r w:rsidRPr="00B956FC">
              <w:rPr>
                <w:sz w:val="18"/>
                <w:szCs w:val="18"/>
              </w:rPr>
              <w:t>83,8</w:t>
            </w:r>
          </w:p>
        </w:tc>
        <w:tc>
          <w:tcPr>
            <w:tcW w:w="1777" w:type="dxa"/>
          </w:tcPr>
          <w:p w:rsidR="00B263F8" w:rsidRPr="00B956FC" w:rsidRDefault="00B263F8" w:rsidP="00B956FC">
            <w:pPr>
              <w:jc w:val="right"/>
              <w:cnfStyle w:val="000000000000"/>
              <w:rPr>
                <w:sz w:val="18"/>
                <w:szCs w:val="18"/>
              </w:rPr>
            </w:pPr>
            <w:r w:rsidRPr="00B956FC">
              <w:rPr>
                <w:sz w:val="18"/>
                <w:szCs w:val="18"/>
              </w:rPr>
              <w:t>13,4</w:t>
            </w:r>
          </w:p>
        </w:tc>
        <w:tc>
          <w:tcPr>
            <w:tcW w:w="1378" w:type="dxa"/>
          </w:tcPr>
          <w:p w:rsidR="00B263F8" w:rsidRPr="00B956FC" w:rsidRDefault="00B263F8" w:rsidP="00B956FC">
            <w:pPr>
              <w:jc w:val="right"/>
              <w:cnfStyle w:val="000000000000"/>
              <w:rPr>
                <w:sz w:val="18"/>
                <w:szCs w:val="18"/>
              </w:rPr>
            </w:pPr>
            <w:r w:rsidRPr="00B956FC">
              <w:rPr>
                <w:sz w:val="18"/>
                <w:szCs w:val="18"/>
              </w:rPr>
              <w:t>403</w:t>
            </w:r>
          </w:p>
        </w:tc>
        <w:tc>
          <w:tcPr>
            <w:tcW w:w="1378" w:type="dxa"/>
          </w:tcPr>
          <w:p w:rsidR="00B263F8" w:rsidRPr="00B956FC" w:rsidRDefault="00B263F8" w:rsidP="00B956FC">
            <w:pPr>
              <w:jc w:val="right"/>
              <w:cnfStyle w:val="000000000000"/>
              <w:rPr>
                <w:sz w:val="18"/>
                <w:szCs w:val="18"/>
              </w:rPr>
            </w:pPr>
            <w:r w:rsidRPr="00B956FC">
              <w:rPr>
                <w:sz w:val="18"/>
                <w:szCs w:val="18"/>
              </w:rPr>
              <w:t>1,6</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Haridus- ja Teadusministeerium</w:t>
            </w:r>
          </w:p>
        </w:tc>
        <w:tc>
          <w:tcPr>
            <w:tcW w:w="1406" w:type="dxa"/>
          </w:tcPr>
          <w:p w:rsidR="00B263F8" w:rsidRPr="00B956FC" w:rsidRDefault="00B263F8" w:rsidP="00B956FC">
            <w:pPr>
              <w:jc w:val="right"/>
              <w:cnfStyle w:val="000000000000"/>
              <w:rPr>
                <w:sz w:val="18"/>
                <w:szCs w:val="18"/>
              </w:rPr>
            </w:pPr>
            <w:r w:rsidRPr="00B956FC">
              <w:rPr>
                <w:sz w:val="18"/>
                <w:szCs w:val="18"/>
              </w:rPr>
              <w:t>60,6</w:t>
            </w:r>
          </w:p>
        </w:tc>
        <w:tc>
          <w:tcPr>
            <w:tcW w:w="1777" w:type="dxa"/>
          </w:tcPr>
          <w:p w:rsidR="00B263F8" w:rsidRPr="00B956FC" w:rsidRDefault="00B263F8" w:rsidP="00B956FC">
            <w:pPr>
              <w:jc w:val="right"/>
              <w:cnfStyle w:val="000000000000"/>
              <w:rPr>
                <w:sz w:val="18"/>
                <w:szCs w:val="18"/>
              </w:rPr>
            </w:pPr>
            <w:r w:rsidRPr="00B956FC">
              <w:rPr>
                <w:sz w:val="18"/>
                <w:szCs w:val="18"/>
              </w:rPr>
              <w:t>9,7</w:t>
            </w:r>
          </w:p>
        </w:tc>
        <w:tc>
          <w:tcPr>
            <w:tcW w:w="1378" w:type="dxa"/>
          </w:tcPr>
          <w:p w:rsidR="00B263F8" w:rsidRPr="00B956FC" w:rsidRDefault="00B263F8" w:rsidP="00B956FC">
            <w:pPr>
              <w:jc w:val="right"/>
              <w:cnfStyle w:val="000000000000"/>
              <w:rPr>
                <w:sz w:val="18"/>
                <w:szCs w:val="18"/>
              </w:rPr>
            </w:pPr>
            <w:r w:rsidRPr="00B956FC">
              <w:rPr>
                <w:sz w:val="18"/>
                <w:szCs w:val="18"/>
              </w:rPr>
              <w:t>1 923</w:t>
            </w:r>
          </w:p>
        </w:tc>
        <w:tc>
          <w:tcPr>
            <w:tcW w:w="1378" w:type="dxa"/>
          </w:tcPr>
          <w:p w:rsidR="00B263F8" w:rsidRPr="00B956FC" w:rsidRDefault="00B263F8" w:rsidP="00B956FC">
            <w:pPr>
              <w:jc w:val="right"/>
              <w:cnfStyle w:val="000000000000"/>
              <w:rPr>
                <w:sz w:val="18"/>
                <w:szCs w:val="18"/>
              </w:rPr>
            </w:pPr>
            <w:r w:rsidRPr="00B956FC">
              <w:rPr>
                <w:sz w:val="18"/>
                <w:szCs w:val="18"/>
              </w:rPr>
              <w:t>5,5</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Kultuuriministeerium</w:t>
            </w:r>
          </w:p>
        </w:tc>
        <w:tc>
          <w:tcPr>
            <w:tcW w:w="1406" w:type="dxa"/>
          </w:tcPr>
          <w:p w:rsidR="00B263F8" w:rsidRPr="00B956FC" w:rsidRDefault="00B263F8" w:rsidP="00B956FC">
            <w:pPr>
              <w:jc w:val="right"/>
              <w:cnfStyle w:val="000000000000"/>
              <w:rPr>
                <w:sz w:val="18"/>
                <w:szCs w:val="18"/>
              </w:rPr>
            </w:pPr>
            <w:r w:rsidRPr="00B956FC">
              <w:rPr>
                <w:sz w:val="18"/>
                <w:szCs w:val="18"/>
              </w:rPr>
              <w:t>55,3</w:t>
            </w:r>
          </w:p>
        </w:tc>
        <w:tc>
          <w:tcPr>
            <w:tcW w:w="1777" w:type="dxa"/>
          </w:tcPr>
          <w:p w:rsidR="00B263F8" w:rsidRPr="00B956FC" w:rsidRDefault="00B263F8" w:rsidP="00B956FC">
            <w:pPr>
              <w:jc w:val="right"/>
              <w:cnfStyle w:val="000000000000"/>
              <w:rPr>
                <w:sz w:val="18"/>
                <w:szCs w:val="18"/>
              </w:rPr>
            </w:pPr>
            <w:r w:rsidRPr="00B956FC">
              <w:rPr>
                <w:sz w:val="18"/>
                <w:szCs w:val="18"/>
              </w:rPr>
              <w:t>8,9</w:t>
            </w:r>
          </w:p>
        </w:tc>
        <w:tc>
          <w:tcPr>
            <w:tcW w:w="1378" w:type="dxa"/>
          </w:tcPr>
          <w:p w:rsidR="00B263F8" w:rsidRPr="00B956FC" w:rsidRDefault="00B263F8" w:rsidP="00B956FC">
            <w:pPr>
              <w:jc w:val="right"/>
              <w:cnfStyle w:val="000000000000"/>
              <w:rPr>
                <w:sz w:val="18"/>
                <w:szCs w:val="18"/>
              </w:rPr>
            </w:pPr>
            <w:r w:rsidRPr="00B956FC">
              <w:rPr>
                <w:sz w:val="18"/>
                <w:szCs w:val="18"/>
              </w:rPr>
              <w:t>2 816</w:t>
            </w:r>
          </w:p>
        </w:tc>
        <w:tc>
          <w:tcPr>
            <w:tcW w:w="1378" w:type="dxa"/>
          </w:tcPr>
          <w:p w:rsidR="00B263F8" w:rsidRPr="00B956FC" w:rsidRDefault="00B263F8" w:rsidP="00B956FC">
            <w:pPr>
              <w:jc w:val="right"/>
              <w:cnfStyle w:val="000000000000"/>
              <w:rPr>
                <w:sz w:val="18"/>
                <w:szCs w:val="18"/>
              </w:rPr>
            </w:pPr>
            <w:r w:rsidRPr="00B956FC">
              <w:rPr>
                <w:sz w:val="18"/>
                <w:szCs w:val="18"/>
              </w:rPr>
              <w:t>8,1</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Rahandusministeerium</w:t>
            </w:r>
          </w:p>
        </w:tc>
        <w:tc>
          <w:tcPr>
            <w:tcW w:w="1406" w:type="dxa"/>
          </w:tcPr>
          <w:p w:rsidR="00B263F8" w:rsidRPr="00B956FC" w:rsidRDefault="00B263F8" w:rsidP="00B956FC">
            <w:pPr>
              <w:jc w:val="right"/>
              <w:cnfStyle w:val="000000000000"/>
              <w:rPr>
                <w:sz w:val="18"/>
                <w:szCs w:val="18"/>
              </w:rPr>
            </w:pPr>
            <w:r w:rsidRPr="00B956FC">
              <w:rPr>
                <w:sz w:val="18"/>
                <w:szCs w:val="18"/>
              </w:rPr>
              <w:t>38,0</w:t>
            </w:r>
          </w:p>
        </w:tc>
        <w:tc>
          <w:tcPr>
            <w:tcW w:w="1777" w:type="dxa"/>
          </w:tcPr>
          <w:p w:rsidR="00B263F8" w:rsidRPr="00B956FC" w:rsidRDefault="00B263F8" w:rsidP="00B956FC">
            <w:pPr>
              <w:jc w:val="right"/>
              <w:cnfStyle w:val="000000000000"/>
              <w:rPr>
                <w:sz w:val="18"/>
                <w:szCs w:val="18"/>
              </w:rPr>
            </w:pPr>
            <w:r w:rsidRPr="00B956FC">
              <w:rPr>
                <w:sz w:val="18"/>
                <w:szCs w:val="18"/>
              </w:rPr>
              <w:t>6,1</w:t>
            </w:r>
          </w:p>
        </w:tc>
        <w:tc>
          <w:tcPr>
            <w:tcW w:w="1378" w:type="dxa"/>
          </w:tcPr>
          <w:p w:rsidR="00B263F8" w:rsidRPr="00B956FC" w:rsidRDefault="00B263F8" w:rsidP="00B956FC">
            <w:pPr>
              <w:jc w:val="right"/>
              <w:cnfStyle w:val="000000000000"/>
              <w:rPr>
                <w:sz w:val="18"/>
                <w:szCs w:val="18"/>
              </w:rPr>
            </w:pPr>
            <w:r w:rsidRPr="00B956FC">
              <w:rPr>
                <w:sz w:val="18"/>
                <w:szCs w:val="18"/>
              </w:rPr>
              <w:t>3 722</w:t>
            </w:r>
          </w:p>
        </w:tc>
        <w:tc>
          <w:tcPr>
            <w:tcW w:w="1378" w:type="dxa"/>
          </w:tcPr>
          <w:p w:rsidR="00B263F8" w:rsidRPr="00B956FC" w:rsidRDefault="00B263F8" w:rsidP="00B956FC">
            <w:pPr>
              <w:jc w:val="right"/>
              <w:cnfStyle w:val="000000000000"/>
              <w:rPr>
                <w:sz w:val="18"/>
                <w:szCs w:val="18"/>
              </w:rPr>
            </w:pPr>
            <w:r w:rsidRPr="00B956FC">
              <w:rPr>
                <w:sz w:val="18"/>
                <w:szCs w:val="18"/>
              </w:rPr>
              <w:t>10,7</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Sotsiaalministeerium</w:t>
            </w:r>
          </w:p>
        </w:tc>
        <w:tc>
          <w:tcPr>
            <w:tcW w:w="1406" w:type="dxa"/>
          </w:tcPr>
          <w:p w:rsidR="00B263F8" w:rsidRPr="00B956FC" w:rsidRDefault="00B263F8" w:rsidP="00B956FC">
            <w:pPr>
              <w:jc w:val="right"/>
              <w:cnfStyle w:val="000000000000"/>
              <w:rPr>
                <w:sz w:val="18"/>
                <w:szCs w:val="18"/>
              </w:rPr>
            </w:pPr>
            <w:r w:rsidRPr="00B956FC">
              <w:rPr>
                <w:sz w:val="18"/>
                <w:szCs w:val="18"/>
              </w:rPr>
              <w:t>36,3</w:t>
            </w:r>
          </w:p>
        </w:tc>
        <w:tc>
          <w:tcPr>
            <w:tcW w:w="1777" w:type="dxa"/>
          </w:tcPr>
          <w:p w:rsidR="00B263F8" w:rsidRPr="00B956FC" w:rsidRDefault="00B263F8" w:rsidP="00B956FC">
            <w:pPr>
              <w:jc w:val="right"/>
              <w:cnfStyle w:val="000000000000"/>
              <w:rPr>
                <w:sz w:val="18"/>
                <w:szCs w:val="18"/>
              </w:rPr>
            </w:pPr>
            <w:r w:rsidRPr="00B956FC">
              <w:rPr>
                <w:sz w:val="18"/>
                <w:szCs w:val="18"/>
              </w:rPr>
              <w:t>5,8</w:t>
            </w:r>
          </w:p>
        </w:tc>
        <w:tc>
          <w:tcPr>
            <w:tcW w:w="1378" w:type="dxa"/>
          </w:tcPr>
          <w:p w:rsidR="00B263F8" w:rsidRPr="00B956FC" w:rsidRDefault="00B263F8" w:rsidP="00B956FC">
            <w:pPr>
              <w:jc w:val="right"/>
              <w:cnfStyle w:val="000000000000"/>
              <w:rPr>
                <w:sz w:val="18"/>
                <w:szCs w:val="18"/>
              </w:rPr>
            </w:pPr>
            <w:r w:rsidRPr="00B956FC">
              <w:rPr>
                <w:sz w:val="18"/>
                <w:szCs w:val="18"/>
              </w:rPr>
              <w:t>1 348</w:t>
            </w:r>
          </w:p>
        </w:tc>
        <w:tc>
          <w:tcPr>
            <w:tcW w:w="1378" w:type="dxa"/>
          </w:tcPr>
          <w:p w:rsidR="00B263F8" w:rsidRPr="00B956FC" w:rsidRDefault="00B263F8" w:rsidP="00B956FC">
            <w:pPr>
              <w:jc w:val="right"/>
              <w:cnfStyle w:val="000000000000"/>
              <w:rPr>
                <w:sz w:val="18"/>
                <w:szCs w:val="18"/>
              </w:rPr>
            </w:pPr>
            <w:r w:rsidRPr="00B956FC">
              <w:rPr>
                <w:sz w:val="18"/>
                <w:szCs w:val="18"/>
              </w:rPr>
              <w:t>3,9</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Keskkonnaministeerium</w:t>
            </w:r>
          </w:p>
        </w:tc>
        <w:tc>
          <w:tcPr>
            <w:tcW w:w="1406" w:type="dxa"/>
          </w:tcPr>
          <w:p w:rsidR="00B263F8" w:rsidRPr="00B956FC" w:rsidRDefault="00B263F8" w:rsidP="00B956FC">
            <w:pPr>
              <w:jc w:val="right"/>
              <w:cnfStyle w:val="000000000000"/>
              <w:rPr>
                <w:sz w:val="18"/>
                <w:szCs w:val="18"/>
              </w:rPr>
            </w:pPr>
            <w:r w:rsidRPr="00B956FC">
              <w:rPr>
                <w:sz w:val="18"/>
                <w:szCs w:val="18"/>
              </w:rPr>
              <w:t>15,4</w:t>
            </w:r>
          </w:p>
        </w:tc>
        <w:tc>
          <w:tcPr>
            <w:tcW w:w="1777" w:type="dxa"/>
          </w:tcPr>
          <w:p w:rsidR="00B263F8" w:rsidRPr="00B956FC" w:rsidRDefault="00B263F8" w:rsidP="00B956FC">
            <w:pPr>
              <w:jc w:val="right"/>
              <w:cnfStyle w:val="000000000000"/>
              <w:rPr>
                <w:sz w:val="18"/>
                <w:szCs w:val="18"/>
              </w:rPr>
            </w:pPr>
            <w:r w:rsidRPr="00B956FC">
              <w:rPr>
                <w:sz w:val="18"/>
                <w:szCs w:val="18"/>
              </w:rPr>
              <w:t>2,5</w:t>
            </w:r>
          </w:p>
        </w:tc>
        <w:tc>
          <w:tcPr>
            <w:tcW w:w="1378" w:type="dxa"/>
          </w:tcPr>
          <w:p w:rsidR="00B263F8" w:rsidRPr="00B956FC" w:rsidRDefault="00B263F8" w:rsidP="00B956FC">
            <w:pPr>
              <w:jc w:val="right"/>
              <w:cnfStyle w:val="000000000000"/>
              <w:rPr>
                <w:sz w:val="18"/>
                <w:szCs w:val="18"/>
              </w:rPr>
            </w:pPr>
            <w:r w:rsidRPr="00B956FC">
              <w:rPr>
                <w:sz w:val="18"/>
                <w:szCs w:val="18"/>
              </w:rPr>
              <w:t>76</w:t>
            </w:r>
          </w:p>
        </w:tc>
        <w:tc>
          <w:tcPr>
            <w:tcW w:w="1378" w:type="dxa"/>
          </w:tcPr>
          <w:p w:rsidR="00B263F8" w:rsidRPr="00B956FC" w:rsidRDefault="00B263F8" w:rsidP="00B956FC">
            <w:pPr>
              <w:jc w:val="right"/>
              <w:cnfStyle w:val="000000000000"/>
              <w:rPr>
                <w:sz w:val="18"/>
                <w:szCs w:val="18"/>
              </w:rPr>
            </w:pPr>
            <w:r w:rsidRPr="00B956FC">
              <w:rPr>
                <w:sz w:val="18"/>
                <w:szCs w:val="18"/>
              </w:rPr>
              <w:t>0,2</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Erasektor</w:t>
            </w:r>
          </w:p>
        </w:tc>
        <w:tc>
          <w:tcPr>
            <w:tcW w:w="1406" w:type="dxa"/>
          </w:tcPr>
          <w:p w:rsidR="00B263F8" w:rsidRPr="00B956FC" w:rsidRDefault="00B263F8" w:rsidP="00B956FC">
            <w:pPr>
              <w:jc w:val="right"/>
              <w:cnfStyle w:val="000000000000"/>
              <w:rPr>
                <w:sz w:val="18"/>
                <w:szCs w:val="18"/>
              </w:rPr>
            </w:pPr>
            <w:r w:rsidRPr="00B956FC">
              <w:rPr>
                <w:sz w:val="18"/>
                <w:szCs w:val="18"/>
              </w:rPr>
              <w:t>15,2</w:t>
            </w:r>
          </w:p>
        </w:tc>
        <w:tc>
          <w:tcPr>
            <w:tcW w:w="1777" w:type="dxa"/>
          </w:tcPr>
          <w:p w:rsidR="00B263F8" w:rsidRPr="00B956FC" w:rsidRDefault="00B263F8" w:rsidP="00B956FC">
            <w:pPr>
              <w:jc w:val="right"/>
              <w:cnfStyle w:val="000000000000"/>
              <w:rPr>
                <w:sz w:val="18"/>
                <w:szCs w:val="18"/>
              </w:rPr>
            </w:pPr>
            <w:r w:rsidRPr="00B956FC">
              <w:rPr>
                <w:sz w:val="18"/>
                <w:szCs w:val="18"/>
              </w:rPr>
              <w:t>2,4</w:t>
            </w:r>
          </w:p>
        </w:tc>
        <w:tc>
          <w:tcPr>
            <w:tcW w:w="1378" w:type="dxa"/>
          </w:tcPr>
          <w:p w:rsidR="00B263F8" w:rsidRPr="00B956FC" w:rsidRDefault="00B263F8" w:rsidP="00B956FC">
            <w:pPr>
              <w:jc w:val="right"/>
              <w:cnfStyle w:val="000000000000"/>
              <w:rPr>
                <w:sz w:val="18"/>
                <w:szCs w:val="18"/>
              </w:rPr>
            </w:pPr>
            <w:r w:rsidRPr="00B956FC">
              <w:rPr>
                <w:sz w:val="18"/>
                <w:szCs w:val="18"/>
              </w:rPr>
              <w:t>737</w:t>
            </w:r>
          </w:p>
        </w:tc>
        <w:tc>
          <w:tcPr>
            <w:tcW w:w="1378" w:type="dxa"/>
          </w:tcPr>
          <w:p w:rsidR="00B263F8" w:rsidRPr="00B956FC" w:rsidRDefault="00B263F8" w:rsidP="00B956FC">
            <w:pPr>
              <w:jc w:val="right"/>
              <w:cnfStyle w:val="000000000000"/>
              <w:rPr>
                <w:sz w:val="18"/>
                <w:szCs w:val="18"/>
              </w:rPr>
            </w:pPr>
            <w:r w:rsidRPr="00B956FC">
              <w:rPr>
                <w:sz w:val="18"/>
                <w:szCs w:val="18"/>
              </w:rPr>
              <w:t>2,1</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Muu</w:t>
            </w:r>
          </w:p>
        </w:tc>
        <w:tc>
          <w:tcPr>
            <w:tcW w:w="1406" w:type="dxa"/>
          </w:tcPr>
          <w:p w:rsidR="00B263F8" w:rsidRPr="00B956FC" w:rsidRDefault="00B263F8" w:rsidP="00B956FC">
            <w:pPr>
              <w:jc w:val="right"/>
              <w:cnfStyle w:val="000000000000"/>
              <w:rPr>
                <w:sz w:val="18"/>
                <w:szCs w:val="18"/>
              </w:rPr>
            </w:pPr>
            <w:r w:rsidRPr="00B956FC">
              <w:rPr>
                <w:sz w:val="18"/>
                <w:szCs w:val="18"/>
              </w:rPr>
              <w:t>7,4</w:t>
            </w:r>
          </w:p>
        </w:tc>
        <w:tc>
          <w:tcPr>
            <w:tcW w:w="1777" w:type="dxa"/>
          </w:tcPr>
          <w:p w:rsidR="00B263F8" w:rsidRPr="00B956FC" w:rsidRDefault="00B263F8" w:rsidP="00B956FC">
            <w:pPr>
              <w:jc w:val="right"/>
              <w:cnfStyle w:val="000000000000"/>
              <w:rPr>
                <w:sz w:val="18"/>
                <w:szCs w:val="18"/>
              </w:rPr>
            </w:pPr>
            <w:r w:rsidRPr="00B956FC">
              <w:rPr>
                <w:sz w:val="18"/>
                <w:szCs w:val="18"/>
              </w:rPr>
              <w:t>1,2</w:t>
            </w:r>
          </w:p>
        </w:tc>
        <w:tc>
          <w:tcPr>
            <w:tcW w:w="1378" w:type="dxa"/>
          </w:tcPr>
          <w:p w:rsidR="00B263F8" w:rsidRPr="00B956FC" w:rsidRDefault="00B263F8" w:rsidP="00B956FC">
            <w:pPr>
              <w:jc w:val="right"/>
              <w:cnfStyle w:val="000000000000"/>
              <w:rPr>
                <w:sz w:val="18"/>
                <w:szCs w:val="18"/>
              </w:rPr>
            </w:pPr>
            <w:r w:rsidRPr="00B956FC">
              <w:rPr>
                <w:sz w:val="18"/>
                <w:szCs w:val="18"/>
              </w:rPr>
              <w:t>629</w:t>
            </w:r>
          </w:p>
        </w:tc>
        <w:tc>
          <w:tcPr>
            <w:tcW w:w="1378" w:type="dxa"/>
          </w:tcPr>
          <w:p w:rsidR="00B263F8" w:rsidRPr="00B956FC" w:rsidRDefault="00B263F8" w:rsidP="00B956FC">
            <w:pPr>
              <w:jc w:val="right"/>
              <w:cnfStyle w:val="000000000000"/>
              <w:rPr>
                <w:sz w:val="18"/>
                <w:szCs w:val="18"/>
              </w:rPr>
            </w:pPr>
            <w:r w:rsidRPr="00B956FC">
              <w:rPr>
                <w:sz w:val="18"/>
                <w:szCs w:val="18"/>
              </w:rPr>
              <w:t>1,8</w:t>
            </w:r>
          </w:p>
        </w:tc>
      </w:tr>
      <w:tr w:rsidR="00B263F8" w:rsidRPr="00B956FC" w:rsidTr="00B956FC">
        <w:tc>
          <w:tcPr>
            <w:cnfStyle w:val="001000000000"/>
            <w:tcW w:w="3077" w:type="dxa"/>
          </w:tcPr>
          <w:p w:rsidR="00B263F8" w:rsidRPr="00B956FC" w:rsidRDefault="00B263F8" w:rsidP="00B956FC">
            <w:pPr>
              <w:jc w:val="left"/>
              <w:rPr>
                <w:b w:val="0"/>
                <w:sz w:val="18"/>
                <w:szCs w:val="18"/>
              </w:rPr>
            </w:pPr>
            <w:r w:rsidRPr="00B956FC">
              <w:rPr>
                <w:b w:val="0"/>
                <w:sz w:val="18"/>
                <w:szCs w:val="18"/>
              </w:rPr>
              <w:t>Majandus- ja Kommunikatsiooniministeerium</w:t>
            </w:r>
          </w:p>
        </w:tc>
        <w:tc>
          <w:tcPr>
            <w:tcW w:w="1406" w:type="dxa"/>
          </w:tcPr>
          <w:p w:rsidR="00B263F8" w:rsidRPr="00B956FC" w:rsidRDefault="00B263F8" w:rsidP="00B956FC">
            <w:pPr>
              <w:jc w:val="right"/>
              <w:cnfStyle w:val="000000000000"/>
              <w:rPr>
                <w:sz w:val="18"/>
                <w:szCs w:val="18"/>
              </w:rPr>
            </w:pPr>
            <w:r w:rsidRPr="00B956FC">
              <w:rPr>
                <w:sz w:val="18"/>
                <w:szCs w:val="18"/>
              </w:rPr>
              <w:t>4,5</w:t>
            </w:r>
          </w:p>
        </w:tc>
        <w:tc>
          <w:tcPr>
            <w:tcW w:w="1777" w:type="dxa"/>
          </w:tcPr>
          <w:p w:rsidR="00B263F8" w:rsidRPr="00B956FC" w:rsidRDefault="00B263F8" w:rsidP="00B956FC">
            <w:pPr>
              <w:jc w:val="right"/>
              <w:cnfStyle w:val="000000000000"/>
              <w:rPr>
                <w:sz w:val="18"/>
                <w:szCs w:val="18"/>
              </w:rPr>
            </w:pPr>
            <w:r w:rsidRPr="00B956FC">
              <w:rPr>
                <w:sz w:val="18"/>
                <w:szCs w:val="18"/>
              </w:rPr>
              <w:t>0,7</w:t>
            </w:r>
          </w:p>
        </w:tc>
        <w:tc>
          <w:tcPr>
            <w:tcW w:w="1378" w:type="dxa"/>
          </w:tcPr>
          <w:p w:rsidR="00B263F8" w:rsidRPr="00B956FC" w:rsidRDefault="00B263F8" w:rsidP="00B956FC">
            <w:pPr>
              <w:jc w:val="right"/>
              <w:cnfStyle w:val="000000000000"/>
              <w:rPr>
                <w:sz w:val="18"/>
                <w:szCs w:val="18"/>
              </w:rPr>
            </w:pPr>
            <w:r w:rsidRPr="00B956FC">
              <w:rPr>
                <w:sz w:val="18"/>
                <w:szCs w:val="18"/>
              </w:rPr>
              <w:t>5 33</w:t>
            </w:r>
          </w:p>
        </w:tc>
        <w:tc>
          <w:tcPr>
            <w:tcW w:w="1378" w:type="dxa"/>
          </w:tcPr>
          <w:p w:rsidR="00B263F8" w:rsidRPr="00B956FC" w:rsidRDefault="00B263F8" w:rsidP="00B956FC">
            <w:pPr>
              <w:jc w:val="right"/>
              <w:cnfStyle w:val="000000000000"/>
              <w:rPr>
                <w:sz w:val="18"/>
                <w:szCs w:val="18"/>
              </w:rPr>
            </w:pPr>
            <w:r w:rsidRPr="00B956FC">
              <w:rPr>
                <w:sz w:val="18"/>
                <w:szCs w:val="18"/>
              </w:rPr>
              <w:t>1,5</w:t>
            </w:r>
          </w:p>
        </w:tc>
      </w:tr>
      <w:tr w:rsidR="00B263F8" w:rsidRPr="00B956FC" w:rsidTr="00B956FC">
        <w:tc>
          <w:tcPr>
            <w:cnfStyle w:val="001000000000"/>
            <w:tcW w:w="3077" w:type="dxa"/>
          </w:tcPr>
          <w:p w:rsidR="00B263F8" w:rsidRPr="00B956FC" w:rsidRDefault="00B263F8" w:rsidP="00B956FC">
            <w:pPr>
              <w:rPr>
                <w:b w:val="0"/>
                <w:sz w:val="18"/>
                <w:szCs w:val="18"/>
              </w:rPr>
            </w:pPr>
            <w:r w:rsidRPr="00B956FC">
              <w:rPr>
                <w:b w:val="0"/>
                <w:sz w:val="18"/>
                <w:szCs w:val="18"/>
              </w:rPr>
              <w:t>Põllumajandusministeerium</w:t>
            </w:r>
          </w:p>
        </w:tc>
        <w:tc>
          <w:tcPr>
            <w:tcW w:w="1406" w:type="dxa"/>
          </w:tcPr>
          <w:p w:rsidR="00B263F8" w:rsidRPr="00B956FC" w:rsidRDefault="00B263F8" w:rsidP="00B956FC">
            <w:pPr>
              <w:jc w:val="right"/>
              <w:cnfStyle w:val="000000000000"/>
              <w:rPr>
                <w:sz w:val="18"/>
                <w:szCs w:val="18"/>
              </w:rPr>
            </w:pPr>
            <w:r w:rsidRPr="00B956FC">
              <w:rPr>
                <w:sz w:val="18"/>
                <w:szCs w:val="18"/>
              </w:rPr>
              <w:t>0,7</w:t>
            </w:r>
          </w:p>
        </w:tc>
        <w:tc>
          <w:tcPr>
            <w:tcW w:w="1777" w:type="dxa"/>
          </w:tcPr>
          <w:p w:rsidR="00B263F8" w:rsidRPr="00B956FC" w:rsidRDefault="00B263F8" w:rsidP="00B956FC">
            <w:pPr>
              <w:jc w:val="right"/>
              <w:cnfStyle w:val="000000000000"/>
              <w:rPr>
                <w:sz w:val="18"/>
                <w:szCs w:val="18"/>
              </w:rPr>
            </w:pPr>
            <w:r w:rsidRPr="00B956FC">
              <w:rPr>
                <w:sz w:val="18"/>
                <w:szCs w:val="18"/>
              </w:rPr>
              <w:t>0,1</w:t>
            </w:r>
          </w:p>
        </w:tc>
        <w:tc>
          <w:tcPr>
            <w:tcW w:w="1378" w:type="dxa"/>
          </w:tcPr>
          <w:p w:rsidR="00B263F8" w:rsidRPr="00B956FC" w:rsidRDefault="00B263F8" w:rsidP="00B956FC">
            <w:pPr>
              <w:jc w:val="right"/>
              <w:cnfStyle w:val="000000000000"/>
              <w:rPr>
                <w:sz w:val="18"/>
                <w:szCs w:val="18"/>
              </w:rPr>
            </w:pPr>
            <w:r w:rsidRPr="00B956FC">
              <w:rPr>
                <w:sz w:val="18"/>
                <w:szCs w:val="18"/>
              </w:rPr>
              <w:t>46</w:t>
            </w:r>
          </w:p>
        </w:tc>
        <w:tc>
          <w:tcPr>
            <w:tcW w:w="1378" w:type="dxa"/>
          </w:tcPr>
          <w:p w:rsidR="00B263F8" w:rsidRPr="00B956FC" w:rsidRDefault="00B263F8" w:rsidP="00B956FC">
            <w:pPr>
              <w:jc w:val="right"/>
              <w:cnfStyle w:val="000000000000"/>
              <w:rPr>
                <w:sz w:val="18"/>
                <w:szCs w:val="18"/>
              </w:rPr>
            </w:pPr>
            <w:r w:rsidRPr="00B956FC">
              <w:rPr>
                <w:sz w:val="18"/>
                <w:szCs w:val="18"/>
              </w:rPr>
              <w:t>0,1</w:t>
            </w:r>
          </w:p>
        </w:tc>
      </w:tr>
    </w:tbl>
    <w:p w:rsidR="00B263F8" w:rsidRPr="00980F87" w:rsidRDefault="00B263F8" w:rsidP="005458FB">
      <w:pPr>
        <w:rPr>
          <w:rFonts w:ascii="Times New Roman" w:hAnsi="Times New Roman"/>
        </w:rPr>
      </w:pPr>
    </w:p>
    <w:p w:rsidR="00B263F8" w:rsidRDefault="00B263F8" w:rsidP="005458FB">
      <w:pPr>
        <w:pStyle w:val="Caption"/>
      </w:pPr>
      <w:r>
        <w:t xml:space="preserve">Tabel </w:t>
      </w:r>
      <w:fldSimple w:instr=" SEQ Tabel \* ARABIC ">
        <w:r w:rsidR="00477322">
          <w:rPr>
            <w:noProof/>
          </w:rPr>
          <w:t>4</w:t>
        </w:r>
      </w:fldSimple>
      <w:r>
        <w:t>. Korrashoiuteenuste lepingulised kliendid</w:t>
      </w:r>
    </w:p>
    <w:tbl>
      <w:tblPr>
        <w:tblStyle w:val="Heleruuttabel1rhk11"/>
        <w:tblW w:w="0" w:type="auto"/>
        <w:tblLook w:val="04A0"/>
      </w:tblPr>
      <w:tblGrid>
        <w:gridCol w:w="4508"/>
        <w:gridCol w:w="4508"/>
      </w:tblGrid>
      <w:tr w:rsidR="00B263F8" w:rsidRPr="00B956FC" w:rsidTr="00B956FC">
        <w:trPr>
          <w:cnfStyle w:val="100000000000"/>
        </w:trPr>
        <w:tc>
          <w:tcPr>
            <w:cnfStyle w:val="001000000000"/>
            <w:tcW w:w="4508" w:type="dxa"/>
          </w:tcPr>
          <w:p w:rsidR="00B263F8" w:rsidRPr="00B956FC" w:rsidRDefault="00B263F8" w:rsidP="00B956FC">
            <w:pPr>
              <w:rPr>
                <w:sz w:val="18"/>
                <w:szCs w:val="18"/>
              </w:rPr>
            </w:pPr>
            <w:r>
              <w:rPr>
                <w:sz w:val="18"/>
                <w:szCs w:val="18"/>
              </w:rPr>
              <w:t>Klient</w:t>
            </w:r>
          </w:p>
        </w:tc>
        <w:tc>
          <w:tcPr>
            <w:tcW w:w="4508" w:type="dxa"/>
          </w:tcPr>
          <w:p w:rsidR="00B263F8" w:rsidRPr="00B956FC" w:rsidRDefault="00B263F8" w:rsidP="00B956FC">
            <w:pPr>
              <w:cnfStyle w:val="100000000000"/>
              <w:rPr>
                <w:sz w:val="18"/>
                <w:szCs w:val="18"/>
              </w:rPr>
            </w:pPr>
            <w:r w:rsidRPr="00B956FC">
              <w:rPr>
                <w:sz w:val="18"/>
                <w:szCs w:val="18"/>
              </w:rPr>
              <w:t>Korrashoiuteenuste osutamine (m²)</w:t>
            </w:r>
          </w:p>
        </w:tc>
      </w:tr>
      <w:tr w:rsidR="00B263F8" w:rsidRPr="00B956FC" w:rsidTr="00B956FC">
        <w:tc>
          <w:tcPr>
            <w:cnfStyle w:val="001000000000"/>
            <w:tcW w:w="4508" w:type="dxa"/>
          </w:tcPr>
          <w:p w:rsidR="00B263F8" w:rsidRPr="00B956FC" w:rsidRDefault="00B263F8" w:rsidP="00B956FC">
            <w:pPr>
              <w:rPr>
                <w:b w:val="0"/>
                <w:sz w:val="18"/>
                <w:szCs w:val="18"/>
              </w:rPr>
            </w:pPr>
            <w:r w:rsidRPr="00B956FC">
              <w:rPr>
                <w:b w:val="0"/>
                <w:sz w:val="18"/>
                <w:szCs w:val="18"/>
                <w:lang w:eastAsia="et-EE"/>
              </w:rPr>
              <w:t>Haridus- ja Teadusministeerium</w:t>
            </w:r>
          </w:p>
        </w:tc>
        <w:tc>
          <w:tcPr>
            <w:tcW w:w="4508" w:type="dxa"/>
          </w:tcPr>
          <w:p w:rsidR="00B263F8" w:rsidRPr="00B956FC" w:rsidRDefault="00B263F8" w:rsidP="00B956FC">
            <w:pPr>
              <w:jc w:val="right"/>
              <w:cnfStyle w:val="000000000000"/>
              <w:rPr>
                <w:sz w:val="18"/>
                <w:szCs w:val="18"/>
              </w:rPr>
            </w:pPr>
            <w:r w:rsidRPr="00B956FC">
              <w:rPr>
                <w:sz w:val="18"/>
                <w:szCs w:val="18"/>
              </w:rPr>
              <w:t>64 616</w:t>
            </w:r>
          </w:p>
        </w:tc>
      </w:tr>
      <w:tr w:rsidR="00B263F8" w:rsidRPr="00B956FC" w:rsidTr="00B956FC">
        <w:tc>
          <w:tcPr>
            <w:cnfStyle w:val="001000000000"/>
            <w:tcW w:w="4508" w:type="dxa"/>
          </w:tcPr>
          <w:p w:rsidR="00B263F8" w:rsidRPr="00B956FC" w:rsidRDefault="00B263F8" w:rsidP="00B956FC">
            <w:pPr>
              <w:rPr>
                <w:b w:val="0"/>
                <w:sz w:val="18"/>
                <w:szCs w:val="18"/>
                <w:lang w:eastAsia="et-EE"/>
              </w:rPr>
            </w:pPr>
            <w:r w:rsidRPr="00B956FC">
              <w:rPr>
                <w:b w:val="0"/>
                <w:sz w:val="18"/>
                <w:szCs w:val="18"/>
                <w:lang w:eastAsia="et-EE"/>
              </w:rPr>
              <w:t>Siseministeerium</w:t>
            </w:r>
          </w:p>
        </w:tc>
        <w:tc>
          <w:tcPr>
            <w:tcW w:w="4508" w:type="dxa"/>
          </w:tcPr>
          <w:p w:rsidR="00B263F8" w:rsidRPr="00B956FC" w:rsidRDefault="00B263F8" w:rsidP="00B956FC">
            <w:pPr>
              <w:jc w:val="right"/>
              <w:cnfStyle w:val="000000000000"/>
              <w:rPr>
                <w:sz w:val="18"/>
                <w:szCs w:val="18"/>
              </w:rPr>
            </w:pPr>
            <w:r w:rsidRPr="00B956FC">
              <w:rPr>
                <w:sz w:val="18"/>
                <w:szCs w:val="18"/>
              </w:rPr>
              <w:t>43 562</w:t>
            </w:r>
          </w:p>
        </w:tc>
      </w:tr>
      <w:tr w:rsidR="00B263F8" w:rsidRPr="00B956FC" w:rsidTr="00B956FC">
        <w:tc>
          <w:tcPr>
            <w:cnfStyle w:val="001000000000"/>
            <w:tcW w:w="4508" w:type="dxa"/>
          </w:tcPr>
          <w:p w:rsidR="00B263F8" w:rsidRPr="00B956FC" w:rsidRDefault="00B263F8" w:rsidP="00B956FC">
            <w:pPr>
              <w:rPr>
                <w:b w:val="0"/>
                <w:sz w:val="18"/>
                <w:szCs w:val="18"/>
                <w:lang w:eastAsia="et-EE"/>
              </w:rPr>
            </w:pPr>
            <w:r w:rsidRPr="00B956FC">
              <w:rPr>
                <w:b w:val="0"/>
                <w:sz w:val="18"/>
                <w:szCs w:val="18"/>
                <w:lang w:eastAsia="et-EE"/>
              </w:rPr>
              <w:t>Muu</w:t>
            </w:r>
          </w:p>
        </w:tc>
        <w:tc>
          <w:tcPr>
            <w:tcW w:w="4508" w:type="dxa"/>
          </w:tcPr>
          <w:p w:rsidR="00B263F8" w:rsidRPr="00B956FC" w:rsidRDefault="00B263F8" w:rsidP="00B956FC">
            <w:pPr>
              <w:jc w:val="right"/>
              <w:cnfStyle w:val="000000000000"/>
              <w:rPr>
                <w:sz w:val="18"/>
                <w:szCs w:val="18"/>
              </w:rPr>
            </w:pPr>
            <w:r w:rsidRPr="00B956FC">
              <w:rPr>
                <w:sz w:val="18"/>
                <w:szCs w:val="18"/>
              </w:rPr>
              <w:t>12617</w:t>
            </w:r>
          </w:p>
        </w:tc>
      </w:tr>
      <w:tr w:rsidR="00B263F8" w:rsidRPr="00B956FC" w:rsidTr="00B956FC">
        <w:tc>
          <w:tcPr>
            <w:cnfStyle w:val="001000000000"/>
            <w:tcW w:w="4508" w:type="dxa"/>
          </w:tcPr>
          <w:p w:rsidR="00B263F8" w:rsidRPr="00B956FC" w:rsidRDefault="00B263F8" w:rsidP="00B956FC">
            <w:pPr>
              <w:rPr>
                <w:b w:val="0"/>
                <w:sz w:val="18"/>
                <w:szCs w:val="18"/>
                <w:lang w:eastAsia="et-EE"/>
              </w:rPr>
            </w:pPr>
            <w:r w:rsidRPr="00B956FC">
              <w:rPr>
                <w:b w:val="0"/>
                <w:sz w:val="18"/>
                <w:szCs w:val="18"/>
                <w:lang w:eastAsia="et-EE"/>
              </w:rPr>
              <w:t>Erasektor</w:t>
            </w:r>
          </w:p>
        </w:tc>
        <w:tc>
          <w:tcPr>
            <w:tcW w:w="4508" w:type="dxa"/>
          </w:tcPr>
          <w:p w:rsidR="00B263F8" w:rsidRPr="00B956FC" w:rsidRDefault="00B263F8" w:rsidP="00B956FC">
            <w:pPr>
              <w:jc w:val="right"/>
              <w:cnfStyle w:val="000000000000"/>
              <w:rPr>
                <w:sz w:val="18"/>
                <w:szCs w:val="18"/>
              </w:rPr>
            </w:pPr>
            <w:r w:rsidRPr="00B956FC">
              <w:rPr>
                <w:sz w:val="18"/>
                <w:szCs w:val="18"/>
              </w:rPr>
              <w:t>4744</w:t>
            </w:r>
          </w:p>
        </w:tc>
      </w:tr>
      <w:tr w:rsidR="00B263F8" w:rsidRPr="00B956FC" w:rsidTr="00B956FC">
        <w:tc>
          <w:tcPr>
            <w:cnfStyle w:val="001000000000"/>
            <w:tcW w:w="4508" w:type="dxa"/>
          </w:tcPr>
          <w:p w:rsidR="00B263F8" w:rsidRPr="00B956FC" w:rsidRDefault="00B263F8" w:rsidP="00B956FC">
            <w:pPr>
              <w:rPr>
                <w:b w:val="0"/>
                <w:sz w:val="18"/>
                <w:szCs w:val="18"/>
              </w:rPr>
            </w:pPr>
            <w:r w:rsidRPr="00B956FC">
              <w:rPr>
                <w:b w:val="0"/>
                <w:sz w:val="18"/>
                <w:szCs w:val="18"/>
              </w:rPr>
              <w:t>Kultuuriministeerium</w:t>
            </w:r>
          </w:p>
        </w:tc>
        <w:tc>
          <w:tcPr>
            <w:tcW w:w="4508" w:type="dxa"/>
          </w:tcPr>
          <w:p w:rsidR="00B263F8" w:rsidRPr="00B956FC" w:rsidRDefault="00B263F8" w:rsidP="00B956FC">
            <w:pPr>
              <w:jc w:val="right"/>
              <w:cnfStyle w:val="000000000000"/>
              <w:rPr>
                <w:sz w:val="18"/>
                <w:szCs w:val="18"/>
              </w:rPr>
            </w:pPr>
            <w:r w:rsidRPr="00B956FC">
              <w:rPr>
                <w:sz w:val="18"/>
                <w:szCs w:val="18"/>
              </w:rPr>
              <w:t>3785</w:t>
            </w:r>
          </w:p>
        </w:tc>
      </w:tr>
    </w:tbl>
    <w:p w:rsidR="002D40CC" w:rsidRDefault="002D40CC" w:rsidP="00501C45">
      <w:pPr>
        <w:rPr>
          <w:b/>
          <w:color w:val="0070C0"/>
          <w:u w:val="single"/>
        </w:rPr>
      </w:pPr>
      <w:bookmarkStart w:id="491" w:name="_Toc424055165"/>
      <w:bookmarkStart w:id="492" w:name="_Toc424061835"/>
    </w:p>
    <w:p w:rsidR="00B263F8" w:rsidRPr="00501C45" w:rsidRDefault="00B263F8" w:rsidP="00501C45">
      <w:pPr>
        <w:rPr>
          <w:b/>
          <w:color w:val="0070C0"/>
          <w:u w:val="single"/>
        </w:rPr>
      </w:pPr>
      <w:r w:rsidRPr="00501C45">
        <w:rPr>
          <w:b/>
          <w:color w:val="0070C0"/>
          <w:u w:val="single"/>
        </w:rPr>
        <w:t>Vara ülevõtmine</w:t>
      </w:r>
      <w:bookmarkEnd w:id="491"/>
      <w:bookmarkEnd w:id="492"/>
    </w:p>
    <w:p w:rsidR="00B263F8" w:rsidRDefault="00B263F8" w:rsidP="002D40CC">
      <w:pPr>
        <w:spacing w:before="0"/>
      </w:pPr>
      <w:r w:rsidRPr="00E81766">
        <w:t>RKAS toetab jätkuvalt Riigi kinnisvarategevuse strateegias (2007) välja toodud tegevusmudelit, mille alusel kõigepealt toimub varade tsentraliseerimine, seejärel optimeerimine, leides vabanenud pindadele uue kasutuse või müües need RKASi portfellist välja.</w:t>
      </w:r>
    </w:p>
    <w:p w:rsidR="00B263F8" w:rsidRDefault="00B263F8" w:rsidP="00B956FC">
      <w:r>
        <w:t>2013.- 2014. aastal jätkus varade tsentraliseerimine järgmises mahus</w:t>
      </w:r>
      <w:r>
        <w:rPr>
          <w:rStyle w:val="FootnoteReference"/>
          <w:rFonts w:ascii="Times New Roman" w:hAnsi="Times New Roman"/>
        </w:rPr>
        <w:footnoteReference w:id="12"/>
      </w:r>
      <w:r>
        <w:t xml:space="preserve">. </w:t>
      </w:r>
    </w:p>
    <w:p w:rsidR="00B263F8" w:rsidRDefault="00B263F8" w:rsidP="005458FB">
      <w:pPr>
        <w:pStyle w:val="Caption"/>
      </w:pPr>
      <w:r>
        <w:t xml:space="preserve">Tabel </w:t>
      </w:r>
      <w:fldSimple w:instr=" SEQ Tabel \* ARABIC ">
        <w:r w:rsidR="00477322">
          <w:rPr>
            <w:noProof/>
          </w:rPr>
          <w:t>5</w:t>
        </w:r>
      </w:fldSimple>
      <w:r>
        <w:t>. Vara ülevõtmine aastal 2013</w:t>
      </w:r>
    </w:p>
    <w:tbl>
      <w:tblPr>
        <w:tblStyle w:val="Heleruuttabel1rhk11"/>
        <w:tblW w:w="0" w:type="auto"/>
        <w:tblLook w:val="04A0"/>
      </w:tblPr>
      <w:tblGrid>
        <w:gridCol w:w="3681"/>
        <w:gridCol w:w="2329"/>
        <w:gridCol w:w="3006"/>
      </w:tblGrid>
      <w:tr w:rsidR="00B263F8" w:rsidRPr="0009787B" w:rsidTr="00B956FC">
        <w:trPr>
          <w:cnfStyle w:val="100000000000"/>
        </w:trPr>
        <w:tc>
          <w:tcPr>
            <w:cnfStyle w:val="001000000000"/>
            <w:tcW w:w="3681" w:type="dxa"/>
          </w:tcPr>
          <w:p w:rsidR="00B263F8" w:rsidRPr="0009787B" w:rsidRDefault="00B263F8" w:rsidP="00B956FC">
            <w:pPr>
              <w:rPr>
                <w:sz w:val="18"/>
                <w:szCs w:val="18"/>
              </w:rPr>
            </w:pPr>
            <w:r w:rsidRPr="0009787B">
              <w:rPr>
                <w:sz w:val="18"/>
                <w:szCs w:val="18"/>
              </w:rPr>
              <w:t>2013</w:t>
            </w:r>
          </w:p>
        </w:tc>
        <w:tc>
          <w:tcPr>
            <w:tcW w:w="2329" w:type="dxa"/>
          </w:tcPr>
          <w:p w:rsidR="00B263F8" w:rsidRPr="0009787B" w:rsidRDefault="00B263F8" w:rsidP="00B956FC">
            <w:pPr>
              <w:cnfStyle w:val="100000000000"/>
              <w:rPr>
                <w:sz w:val="18"/>
                <w:szCs w:val="18"/>
              </w:rPr>
            </w:pPr>
            <w:r w:rsidRPr="0009787B">
              <w:rPr>
                <w:sz w:val="18"/>
                <w:szCs w:val="18"/>
              </w:rPr>
              <w:t>Vajalik (m², hoonete suletud netopind)</w:t>
            </w:r>
          </w:p>
        </w:tc>
        <w:tc>
          <w:tcPr>
            <w:tcW w:w="3006" w:type="dxa"/>
          </w:tcPr>
          <w:p w:rsidR="00B263F8" w:rsidRPr="0009787B" w:rsidRDefault="00B263F8" w:rsidP="00B956FC">
            <w:pPr>
              <w:cnfStyle w:val="100000000000"/>
              <w:rPr>
                <w:sz w:val="18"/>
                <w:szCs w:val="18"/>
              </w:rPr>
            </w:pPr>
            <w:r w:rsidRPr="0009787B">
              <w:rPr>
                <w:sz w:val="18"/>
                <w:szCs w:val="18"/>
              </w:rPr>
              <w:t>Mittevajalik (m², hoonete suletud netopind)</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Haridus – ja Teadusministeerium</w:t>
            </w:r>
          </w:p>
        </w:tc>
        <w:tc>
          <w:tcPr>
            <w:tcW w:w="2329" w:type="dxa"/>
          </w:tcPr>
          <w:p w:rsidR="00B263F8" w:rsidRPr="0009787B" w:rsidRDefault="00B263F8" w:rsidP="00B956FC">
            <w:pPr>
              <w:jc w:val="right"/>
              <w:cnfStyle w:val="000000000000"/>
              <w:rPr>
                <w:sz w:val="18"/>
                <w:szCs w:val="18"/>
              </w:rPr>
            </w:pPr>
            <w:r w:rsidRPr="0009787B">
              <w:rPr>
                <w:sz w:val="18"/>
                <w:szCs w:val="18"/>
              </w:rPr>
              <w:t>2 016</w:t>
            </w:r>
          </w:p>
        </w:tc>
        <w:tc>
          <w:tcPr>
            <w:tcW w:w="3006" w:type="dxa"/>
          </w:tcPr>
          <w:p w:rsidR="00B263F8" w:rsidRPr="0009787B" w:rsidRDefault="00B263F8" w:rsidP="00B956FC">
            <w:pPr>
              <w:jc w:val="right"/>
              <w:cnfStyle w:val="000000000000"/>
              <w:rPr>
                <w:sz w:val="18"/>
                <w:szCs w:val="18"/>
              </w:rPr>
            </w:pPr>
            <w:r w:rsidRPr="0009787B">
              <w:rPr>
                <w:sz w:val="18"/>
                <w:szCs w:val="18"/>
              </w:rPr>
              <w:t>36 955</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Kaitseministeerium</w:t>
            </w:r>
          </w:p>
        </w:tc>
        <w:tc>
          <w:tcPr>
            <w:tcW w:w="2329" w:type="dxa"/>
          </w:tcPr>
          <w:p w:rsidR="00B263F8" w:rsidRPr="0009787B" w:rsidRDefault="00B263F8" w:rsidP="00B956FC">
            <w:pPr>
              <w:jc w:val="right"/>
              <w:cnfStyle w:val="000000000000"/>
              <w:rPr>
                <w:sz w:val="18"/>
                <w:szCs w:val="18"/>
              </w:rPr>
            </w:pPr>
          </w:p>
        </w:tc>
        <w:tc>
          <w:tcPr>
            <w:tcW w:w="3006" w:type="dxa"/>
          </w:tcPr>
          <w:p w:rsidR="00B263F8" w:rsidRPr="0009787B" w:rsidRDefault="00B263F8" w:rsidP="00B956FC">
            <w:pPr>
              <w:jc w:val="right"/>
              <w:cnfStyle w:val="000000000000"/>
              <w:rPr>
                <w:sz w:val="18"/>
                <w:szCs w:val="18"/>
              </w:rPr>
            </w:pPr>
            <w:r w:rsidRPr="0009787B">
              <w:rPr>
                <w:sz w:val="18"/>
                <w:szCs w:val="18"/>
              </w:rPr>
              <w:t>549</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Keskkonnaministeerium</w:t>
            </w:r>
          </w:p>
        </w:tc>
        <w:tc>
          <w:tcPr>
            <w:tcW w:w="2329" w:type="dxa"/>
          </w:tcPr>
          <w:p w:rsidR="00B263F8" w:rsidRPr="0009787B" w:rsidRDefault="00B263F8" w:rsidP="00B956FC">
            <w:pPr>
              <w:jc w:val="right"/>
              <w:cnfStyle w:val="000000000000"/>
              <w:rPr>
                <w:sz w:val="18"/>
                <w:szCs w:val="18"/>
              </w:rPr>
            </w:pPr>
          </w:p>
        </w:tc>
        <w:tc>
          <w:tcPr>
            <w:tcW w:w="3006" w:type="dxa"/>
          </w:tcPr>
          <w:p w:rsidR="00B263F8" w:rsidRPr="0009787B" w:rsidRDefault="00B263F8" w:rsidP="00B956FC">
            <w:pPr>
              <w:jc w:val="right"/>
              <w:cnfStyle w:val="000000000000"/>
              <w:rPr>
                <w:sz w:val="18"/>
                <w:szCs w:val="18"/>
              </w:rPr>
            </w:pPr>
            <w:r w:rsidRPr="0009787B">
              <w:rPr>
                <w:sz w:val="18"/>
                <w:szCs w:val="18"/>
              </w:rPr>
              <w:t>1 104</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Kultuuriministeerium</w:t>
            </w:r>
          </w:p>
        </w:tc>
        <w:tc>
          <w:tcPr>
            <w:tcW w:w="2329" w:type="dxa"/>
          </w:tcPr>
          <w:p w:rsidR="00B263F8" w:rsidRPr="0009787B" w:rsidRDefault="00B263F8" w:rsidP="00B956FC">
            <w:pPr>
              <w:jc w:val="right"/>
              <w:cnfStyle w:val="000000000000"/>
              <w:rPr>
                <w:sz w:val="18"/>
                <w:szCs w:val="18"/>
              </w:rPr>
            </w:pPr>
            <w:r w:rsidRPr="0009787B">
              <w:rPr>
                <w:sz w:val="18"/>
                <w:szCs w:val="18"/>
              </w:rPr>
              <w:t>24 907</w:t>
            </w:r>
          </w:p>
        </w:tc>
        <w:tc>
          <w:tcPr>
            <w:tcW w:w="3006" w:type="dxa"/>
          </w:tcPr>
          <w:p w:rsidR="00B263F8" w:rsidRPr="0009787B" w:rsidRDefault="00B263F8" w:rsidP="00B956FC">
            <w:pPr>
              <w:jc w:val="right"/>
              <w:cnfStyle w:val="000000000000"/>
              <w:rPr>
                <w:sz w:val="18"/>
                <w:szCs w:val="18"/>
              </w:rPr>
            </w:pPr>
            <w:r w:rsidRPr="0009787B">
              <w:rPr>
                <w:sz w:val="18"/>
                <w:szCs w:val="18"/>
              </w:rPr>
              <w:t>1 892</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Põllumajandusministeerium</w:t>
            </w:r>
          </w:p>
        </w:tc>
        <w:tc>
          <w:tcPr>
            <w:tcW w:w="2329" w:type="dxa"/>
          </w:tcPr>
          <w:p w:rsidR="00B263F8" w:rsidRPr="0009787B" w:rsidRDefault="00B263F8" w:rsidP="00B956FC">
            <w:pPr>
              <w:jc w:val="right"/>
              <w:cnfStyle w:val="000000000000"/>
              <w:rPr>
                <w:sz w:val="18"/>
                <w:szCs w:val="18"/>
              </w:rPr>
            </w:pPr>
          </w:p>
        </w:tc>
        <w:tc>
          <w:tcPr>
            <w:tcW w:w="3006" w:type="dxa"/>
          </w:tcPr>
          <w:p w:rsidR="00B263F8" w:rsidRPr="0009787B" w:rsidRDefault="00B263F8" w:rsidP="00B956FC">
            <w:pPr>
              <w:jc w:val="right"/>
              <w:cnfStyle w:val="000000000000"/>
              <w:rPr>
                <w:sz w:val="18"/>
                <w:szCs w:val="18"/>
              </w:rPr>
            </w:pPr>
            <w:r w:rsidRPr="0009787B">
              <w:rPr>
                <w:sz w:val="18"/>
                <w:szCs w:val="18"/>
              </w:rPr>
              <w:t>762</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Siseministeerium</w:t>
            </w:r>
          </w:p>
        </w:tc>
        <w:tc>
          <w:tcPr>
            <w:tcW w:w="2329" w:type="dxa"/>
          </w:tcPr>
          <w:p w:rsidR="00B263F8" w:rsidRPr="0009787B" w:rsidRDefault="00B263F8" w:rsidP="00B956FC">
            <w:pPr>
              <w:jc w:val="right"/>
              <w:cnfStyle w:val="000000000000"/>
              <w:rPr>
                <w:sz w:val="18"/>
                <w:szCs w:val="18"/>
              </w:rPr>
            </w:pPr>
            <w:r w:rsidRPr="0009787B">
              <w:rPr>
                <w:sz w:val="18"/>
                <w:szCs w:val="18"/>
              </w:rPr>
              <w:t>48 100</w:t>
            </w:r>
          </w:p>
        </w:tc>
        <w:tc>
          <w:tcPr>
            <w:tcW w:w="3006" w:type="dxa"/>
          </w:tcPr>
          <w:p w:rsidR="00B263F8" w:rsidRPr="0009787B" w:rsidRDefault="00B263F8" w:rsidP="00B956FC">
            <w:pPr>
              <w:jc w:val="right"/>
              <w:cnfStyle w:val="000000000000"/>
              <w:rPr>
                <w:sz w:val="18"/>
                <w:szCs w:val="18"/>
              </w:rPr>
            </w:pPr>
            <w:r w:rsidRPr="0009787B">
              <w:rPr>
                <w:sz w:val="18"/>
                <w:szCs w:val="18"/>
              </w:rPr>
              <w:t>10 356</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Sotsiaalministeerium</w:t>
            </w:r>
          </w:p>
        </w:tc>
        <w:tc>
          <w:tcPr>
            <w:tcW w:w="2329" w:type="dxa"/>
          </w:tcPr>
          <w:p w:rsidR="00B263F8" w:rsidRPr="0009787B" w:rsidRDefault="00B263F8" w:rsidP="00B956FC">
            <w:pPr>
              <w:jc w:val="right"/>
              <w:cnfStyle w:val="000000000000"/>
              <w:rPr>
                <w:sz w:val="18"/>
                <w:szCs w:val="18"/>
              </w:rPr>
            </w:pPr>
            <w:r w:rsidRPr="0009787B">
              <w:rPr>
                <w:sz w:val="18"/>
                <w:szCs w:val="18"/>
              </w:rPr>
              <w:t>22 681</w:t>
            </w:r>
          </w:p>
        </w:tc>
        <w:tc>
          <w:tcPr>
            <w:tcW w:w="3006" w:type="dxa"/>
          </w:tcPr>
          <w:p w:rsidR="00B263F8" w:rsidRPr="0009787B" w:rsidRDefault="00B263F8" w:rsidP="00B956FC">
            <w:pPr>
              <w:jc w:val="right"/>
              <w:cnfStyle w:val="000000000000"/>
              <w:rPr>
                <w:sz w:val="18"/>
                <w:szCs w:val="18"/>
              </w:rPr>
            </w:pPr>
            <w:r w:rsidRPr="0009787B">
              <w:rPr>
                <w:sz w:val="18"/>
                <w:szCs w:val="18"/>
              </w:rPr>
              <w:t>132</w:t>
            </w:r>
          </w:p>
        </w:tc>
      </w:tr>
      <w:tr w:rsidR="00B263F8" w:rsidRPr="0009787B" w:rsidTr="00B956FC">
        <w:tc>
          <w:tcPr>
            <w:cnfStyle w:val="001000000000"/>
            <w:tcW w:w="3681" w:type="dxa"/>
          </w:tcPr>
          <w:p w:rsidR="00B263F8" w:rsidRPr="0009787B" w:rsidRDefault="00B263F8" w:rsidP="00B956FC">
            <w:pPr>
              <w:jc w:val="right"/>
              <w:rPr>
                <w:b w:val="0"/>
                <w:sz w:val="18"/>
                <w:szCs w:val="18"/>
              </w:rPr>
            </w:pPr>
            <w:r w:rsidRPr="0009787B">
              <w:rPr>
                <w:b w:val="0"/>
                <w:sz w:val="18"/>
                <w:szCs w:val="18"/>
              </w:rPr>
              <w:t>Kokku:</w:t>
            </w:r>
          </w:p>
        </w:tc>
        <w:tc>
          <w:tcPr>
            <w:tcW w:w="2329" w:type="dxa"/>
          </w:tcPr>
          <w:p w:rsidR="00B263F8" w:rsidRPr="0009787B" w:rsidRDefault="00B263F8" w:rsidP="00B956FC">
            <w:pPr>
              <w:jc w:val="right"/>
              <w:cnfStyle w:val="000000000000"/>
              <w:rPr>
                <w:b/>
                <w:sz w:val="18"/>
                <w:szCs w:val="18"/>
              </w:rPr>
            </w:pPr>
            <w:r w:rsidRPr="0009787B">
              <w:rPr>
                <w:b/>
                <w:sz w:val="18"/>
                <w:szCs w:val="18"/>
              </w:rPr>
              <w:t>97 704</w:t>
            </w:r>
          </w:p>
        </w:tc>
        <w:tc>
          <w:tcPr>
            <w:tcW w:w="3006" w:type="dxa"/>
          </w:tcPr>
          <w:p w:rsidR="00B263F8" w:rsidRPr="0009787B" w:rsidRDefault="00B263F8" w:rsidP="00B956FC">
            <w:pPr>
              <w:jc w:val="right"/>
              <w:cnfStyle w:val="000000000000"/>
              <w:rPr>
                <w:b/>
                <w:sz w:val="18"/>
                <w:szCs w:val="18"/>
              </w:rPr>
            </w:pPr>
            <w:r w:rsidRPr="0009787B">
              <w:rPr>
                <w:b/>
                <w:sz w:val="18"/>
                <w:szCs w:val="18"/>
              </w:rPr>
              <w:t>51 750</w:t>
            </w:r>
          </w:p>
        </w:tc>
      </w:tr>
    </w:tbl>
    <w:p w:rsidR="00B263F8" w:rsidRDefault="00B263F8" w:rsidP="005458FB">
      <w:pPr>
        <w:pStyle w:val="Caption"/>
      </w:pPr>
    </w:p>
    <w:p w:rsidR="00B263F8" w:rsidRDefault="00B263F8" w:rsidP="005458FB">
      <w:pPr>
        <w:pStyle w:val="Caption"/>
      </w:pPr>
      <w:r>
        <w:t xml:space="preserve">Tabel </w:t>
      </w:r>
      <w:fldSimple w:instr=" SEQ Tabel \* ARABIC ">
        <w:r w:rsidR="00477322">
          <w:rPr>
            <w:noProof/>
          </w:rPr>
          <w:t>6</w:t>
        </w:r>
      </w:fldSimple>
      <w:r>
        <w:t>. Vara ülevõtmine aastal 2014</w:t>
      </w:r>
    </w:p>
    <w:tbl>
      <w:tblPr>
        <w:tblStyle w:val="Heleruuttabel1rhk11"/>
        <w:tblW w:w="0" w:type="auto"/>
        <w:tblLook w:val="04A0"/>
      </w:tblPr>
      <w:tblGrid>
        <w:gridCol w:w="3681"/>
        <w:gridCol w:w="2329"/>
        <w:gridCol w:w="3006"/>
      </w:tblGrid>
      <w:tr w:rsidR="00B263F8" w:rsidRPr="0009787B" w:rsidTr="00B956FC">
        <w:trPr>
          <w:cnfStyle w:val="100000000000"/>
        </w:trPr>
        <w:tc>
          <w:tcPr>
            <w:cnfStyle w:val="001000000000"/>
            <w:tcW w:w="3681" w:type="dxa"/>
          </w:tcPr>
          <w:p w:rsidR="00B263F8" w:rsidRPr="0009787B" w:rsidRDefault="00B263F8" w:rsidP="00B956FC">
            <w:pPr>
              <w:rPr>
                <w:sz w:val="18"/>
                <w:szCs w:val="18"/>
              </w:rPr>
            </w:pPr>
            <w:r w:rsidRPr="0009787B">
              <w:rPr>
                <w:sz w:val="18"/>
                <w:szCs w:val="18"/>
              </w:rPr>
              <w:t>2014</w:t>
            </w:r>
          </w:p>
        </w:tc>
        <w:tc>
          <w:tcPr>
            <w:tcW w:w="2329" w:type="dxa"/>
          </w:tcPr>
          <w:p w:rsidR="00B263F8" w:rsidRPr="0009787B" w:rsidRDefault="00B263F8" w:rsidP="00B956FC">
            <w:pPr>
              <w:cnfStyle w:val="100000000000"/>
              <w:rPr>
                <w:sz w:val="18"/>
                <w:szCs w:val="18"/>
              </w:rPr>
            </w:pPr>
            <w:r w:rsidRPr="0009787B">
              <w:rPr>
                <w:sz w:val="18"/>
                <w:szCs w:val="18"/>
              </w:rPr>
              <w:t>Vajalik (m², hoonete suletud netopind)</w:t>
            </w:r>
          </w:p>
        </w:tc>
        <w:tc>
          <w:tcPr>
            <w:tcW w:w="3006" w:type="dxa"/>
          </w:tcPr>
          <w:p w:rsidR="00B263F8" w:rsidRPr="0009787B" w:rsidRDefault="00B263F8" w:rsidP="00B956FC">
            <w:pPr>
              <w:cnfStyle w:val="100000000000"/>
              <w:rPr>
                <w:sz w:val="18"/>
                <w:szCs w:val="18"/>
              </w:rPr>
            </w:pPr>
            <w:r w:rsidRPr="0009787B">
              <w:rPr>
                <w:sz w:val="18"/>
                <w:szCs w:val="18"/>
              </w:rPr>
              <w:t>Mittevajalik (m², hoonete suletud netopind)</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Haridus-ja Teadusministeerium</w:t>
            </w:r>
          </w:p>
        </w:tc>
        <w:tc>
          <w:tcPr>
            <w:tcW w:w="2329" w:type="dxa"/>
          </w:tcPr>
          <w:p w:rsidR="00B263F8" w:rsidRPr="0009787B" w:rsidRDefault="00B263F8" w:rsidP="00B956FC">
            <w:pPr>
              <w:jc w:val="right"/>
              <w:cnfStyle w:val="000000000000"/>
              <w:rPr>
                <w:sz w:val="18"/>
                <w:szCs w:val="18"/>
              </w:rPr>
            </w:pPr>
            <w:r w:rsidRPr="0009787B">
              <w:rPr>
                <w:sz w:val="18"/>
                <w:szCs w:val="18"/>
              </w:rPr>
              <w:t>13 777</w:t>
            </w:r>
          </w:p>
        </w:tc>
        <w:tc>
          <w:tcPr>
            <w:tcW w:w="3006" w:type="dxa"/>
          </w:tcPr>
          <w:p w:rsidR="00B263F8" w:rsidRPr="0009787B" w:rsidRDefault="00B263F8" w:rsidP="00B956FC">
            <w:pPr>
              <w:jc w:val="right"/>
              <w:cnfStyle w:val="000000000000"/>
              <w:rPr>
                <w:sz w:val="18"/>
                <w:szCs w:val="18"/>
              </w:rPr>
            </w:pPr>
            <w:r w:rsidRPr="0009787B">
              <w:rPr>
                <w:sz w:val="18"/>
                <w:szCs w:val="18"/>
              </w:rPr>
              <w:t>9 038</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Kaitseministeerium</w:t>
            </w:r>
          </w:p>
        </w:tc>
        <w:tc>
          <w:tcPr>
            <w:tcW w:w="2329" w:type="dxa"/>
          </w:tcPr>
          <w:p w:rsidR="00B263F8" w:rsidRPr="0009787B" w:rsidRDefault="00B263F8" w:rsidP="00B956FC">
            <w:pPr>
              <w:jc w:val="right"/>
              <w:cnfStyle w:val="000000000000"/>
              <w:rPr>
                <w:sz w:val="18"/>
                <w:szCs w:val="18"/>
              </w:rPr>
            </w:pPr>
          </w:p>
        </w:tc>
        <w:tc>
          <w:tcPr>
            <w:tcW w:w="3006" w:type="dxa"/>
          </w:tcPr>
          <w:p w:rsidR="00B263F8" w:rsidRPr="0009787B" w:rsidRDefault="00B263F8" w:rsidP="00B956FC">
            <w:pPr>
              <w:jc w:val="right"/>
              <w:cnfStyle w:val="000000000000"/>
              <w:rPr>
                <w:sz w:val="18"/>
                <w:szCs w:val="18"/>
              </w:rPr>
            </w:pPr>
            <w:r w:rsidRPr="0009787B">
              <w:rPr>
                <w:sz w:val="18"/>
                <w:szCs w:val="18"/>
              </w:rPr>
              <w:t>7 046</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Keskkonnaministeerium</w:t>
            </w:r>
          </w:p>
        </w:tc>
        <w:tc>
          <w:tcPr>
            <w:tcW w:w="2329" w:type="dxa"/>
          </w:tcPr>
          <w:p w:rsidR="00B263F8" w:rsidRPr="0009787B" w:rsidRDefault="00B263F8" w:rsidP="00B956FC">
            <w:pPr>
              <w:jc w:val="right"/>
              <w:cnfStyle w:val="000000000000"/>
              <w:rPr>
                <w:sz w:val="18"/>
                <w:szCs w:val="18"/>
              </w:rPr>
            </w:pPr>
            <w:r w:rsidRPr="0009787B">
              <w:rPr>
                <w:sz w:val="18"/>
                <w:szCs w:val="18"/>
              </w:rPr>
              <w:t>19 564</w:t>
            </w:r>
          </w:p>
        </w:tc>
        <w:tc>
          <w:tcPr>
            <w:tcW w:w="3006" w:type="dxa"/>
          </w:tcPr>
          <w:p w:rsidR="00B263F8" w:rsidRPr="0009787B" w:rsidRDefault="00B263F8" w:rsidP="00B956FC">
            <w:pPr>
              <w:jc w:val="right"/>
              <w:cnfStyle w:val="000000000000"/>
              <w:rPr>
                <w:sz w:val="18"/>
                <w:szCs w:val="18"/>
              </w:rPr>
            </w:pPr>
            <w:r w:rsidRPr="0009787B">
              <w:rPr>
                <w:sz w:val="18"/>
                <w:szCs w:val="18"/>
              </w:rPr>
              <w:t>1 696</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Kultuuriministeerium</w:t>
            </w:r>
          </w:p>
        </w:tc>
        <w:tc>
          <w:tcPr>
            <w:tcW w:w="2329" w:type="dxa"/>
          </w:tcPr>
          <w:p w:rsidR="00B263F8" w:rsidRPr="0009787B" w:rsidRDefault="00B263F8" w:rsidP="00B956FC">
            <w:pPr>
              <w:jc w:val="right"/>
              <w:cnfStyle w:val="000000000000"/>
              <w:rPr>
                <w:sz w:val="18"/>
                <w:szCs w:val="18"/>
              </w:rPr>
            </w:pPr>
            <w:r w:rsidRPr="0009787B">
              <w:rPr>
                <w:sz w:val="18"/>
                <w:szCs w:val="18"/>
              </w:rPr>
              <w:t>10 550</w:t>
            </w:r>
          </w:p>
        </w:tc>
        <w:tc>
          <w:tcPr>
            <w:tcW w:w="3006" w:type="dxa"/>
          </w:tcPr>
          <w:p w:rsidR="00B263F8" w:rsidRPr="0009787B" w:rsidRDefault="00B263F8" w:rsidP="00B956FC">
            <w:pPr>
              <w:jc w:val="right"/>
              <w:cnfStyle w:val="000000000000"/>
              <w:rPr>
                <w:sz w:val="18"/>
                <w:szCs w:val="18"/>
              </w:rPr>
            </w:pPr>
            <w:r w:rsidRPr="0009787B">
              <w:rPr>
                <w:sz w:val="18"/>
                <w:szCs w:val="18"/>
              </w:rPr>
              <w:t>9 383</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Siseministeerium</w:t>
            </w:r>
          </w:p>
        </w:tc>
        <w:tc>
          <w:tcPr>
            <w:tcW w:w="2329" w:type="dxa"/>
          </w:tcPr>
          <w:p w:rsidR="00B263F8" w:rsidRPr="0009787B" w:rsidRDefault="00B263F8" w:rsidP="00B956FC">
            <w:pPr>
              <w:jc w:val="right"/>
              <w:cnfStyle w:val="000000000000"/>
              <w:rPr>
                <w:sz w:val="18"/>
                <w:szCs w:val="18"/>
              </w:rPr>
            </w:pPr>
            <w:r w:rsidRPr="0009787B">
              <w:rPr>
                <w:sz w:val="18"/>
                <w:szCs w:val="18"/>
              </w:rPr>
              <w:t>1 529</w:t>
            </w:r>
          </w:p>
        </w:tc>
        <w:tc>
          <w:tcPr>
            <w:tcW w:w="3006" w:type="dxa"/>
          </w:tcPr>
          <w:p w:rsidR="00B263F8" w:rsidRPr="0009787B" w:rsidRDefault="00B263F8" w:rsidP="00B956FC">
            <w:pPr>
              <w:jc w:val="right"/>
              <w:cnfStyle w:val="000000000000"/>
              <w:rPr>
                <w:sz w:val="18"/>
                <w:szCs w:val="18"/>
              </w:rPr>
            </w:pPr>
            <w:r w:rsidRPr="0009787B">
              <w:rPr>
                <w:sz w:val="18"/>
                <w:szCs w:val="18"/>
              </w:rPr>
              <w:t>4 008</w:t>
            </w:r>
          </w:p>
        </w:tc>
      </w:tr>
      <w:tr w:rsidR="00B263F8" w:rsidRPr="0009787B" w:rsidTr="00B956FC">
        <w:tc>
          <w:tcPr>
            <w:cnfStyle w:val="001000000000"/>
            <w:tcW w:w="3681" w:type="dxa"/>
          </w:tcPr>
          <w:p w:rsidR="00B263F8" w:rsidRPr="0009787B" w:rsidRDefault="00B263F8" w:rsidP="00B956FC">
            <w:pPr>
              <w:rPr>
                <w:b w:val="0"/>
                <w:sz w:val="18"/>
                <w:szCs w:val="18"/>
              </w:rPr>
            </w:pPr>
            <w:r w:rsidRPr="0009787B">
              <w:rPr>
                <w:b w:val="0"/>
                <w:sz w:val="18"/>
                <w:szCs w:val="18"/>
              </w:rPr>
              <w:t>Sotsiaalministeerium</w:t>
            </w:r>
          </w:p>
        </w:tc>
        <w:tc>
          <w:tcPr>
            <w:tcW w:w="2329" w:type="dxa"/>
          </w:tcPr>
          <w:p w:rsidR="00B263F8" w:rsidRPr="0009787B" w:rsidRDefault="00B263F8" w:rsidP="00B956FC">
            <w:pPr>
              <w:jc w:val="right"/>
              <w:cnfStyle w:val="000000000000"/>
              <w:rPr>
                <w:sz w:val="18"/>
                <w:szCs w:val="18"/>
              </w:rPr>
            </w:pPr>
            <w:r w:rsidRPr="0009787B">
              <w:rPr>
                <w:sz w:val="18"/>
                <w:szCs w:val="18"/>
              </w:rPr>
              <w:t>16 124</w:t>
            </w:r>
          </w:p>
        </w:tc>
        <w:tc>
          <w:tcPr>
            <w:tcW w:w="3006" w:type="dxa"/>
          </w:tcPr>
          <w:p w:rsidR="00B263F8" w:rsidRPr="0009787B" w:rsidRDefault="00B263F8" w:rsidP="00B956FC">
            <w:pPr>
              <w:jc w:val="right"/>
              <w:cnfStyle w:val="000000000000"/>
              <w:rPr>
                <w:sz w:val="18"/>
                <w:szCs w:val="18"/>
              </w:rPr>
            </w:pPr>
            <w:r w:rsidRPr="0009787B">
              <w:rPr>
                <w:sz w:val="18"/>
                <w:szCs w:val="18"/>
              </w:rPr>
              <w:t>1 865</w:t>
            </w:r>
          </w:p>
        </w:tc>
      </w:tr>
      <w:tr w:rsidR="00B263F8" w:rsidRPr="0009787B" w:rsidTr="00B956FC">
        <w:tc>
          <w:tcPr>
            <w:cnfStyle w:val="001000000000"/>
            <w:tcW w:w="3681" w:type="dxa"/>
          </w:tcPr>
          <w:p w:rsidR="00B263F8" w:rsidRPr="0009787B" w:rsidRDefault="00B263F8" w:rsidP="00B956FC">
            <w:pPr>
              <w:jc w:val="right"/>
              <w:rPr>
                <w:b w:val="0"/>
                <w:sz w:val="18"/>
                <w:szCs w:val="18"/>
              </w:rPr>
            </w:pPr>
            <w:r w:rsidRPr="0009787B">
              <w:rPr>
                <w:b w:val="0"/>
                <w:sz w:val="18"/>
                <w:szCs w:val="18"/>
              </w:rPr>
              <w:t>Kokku:</w:t>
            </w:r>
          </w:p>
        </w:tc>
        <w:tc>
          <w:tcPr>
            <w:tcW w:w="2329" w:type="dxa"/>
          </w:tcPr>
          <w:p w:rsidR="00B263F8" w:rsidRPr="0009787B" w:rsidRDefault="00B263F8" w:rsidP="00B956FC">
            <w:pPr>
              <w:jc w:val="right"/>
              <w:cnfStyle w:val="000000000000"/>
              <w:rPr>
                <w:b/>
                <w:sz w:val="18"/>
                <w:szCs w:val="18"/>
              </w:rPr>
            </w:pPr>
            <w:r w:rsidRPr="0009787B">
              <w:rPr>
                <w:b/>
                <w:sz w:val="18"/>
                <w:szCs w:val="18"/>
              </w:rPr>
              <w:t>61 544</w:t>
            </w:r>
          </w:p>
        </w:tc>
        <w:tc>
          <w:tcPr>
            <w:tcW w:w="3006" w:type="dxa"/>
          </w:tcPr>
          <w:p w:rsidR="00B263F8" w:rsidRPr="0009787B" w:rsidRDefault="00B263F8" w:rsidP="00B956FC">
            <w:pPr>
              <w:jc w:val="right"/>
              <w:cnfStyle w:val="000000000000"/>
              <w:rPr>
                <w:b/>
                <w:sz w:val="18"/>
                <w:szCs w:val="18"/>
              </w:rPr>
            </w:pPr>
            <w:r w:rsidRPr="0009787B">
              <w:rPr>
                <w:b/>
                <w:sz w:val="18"/>
                <w:szCs w:val="18"/>
              </w:rPr>
              <w:t>33 036</w:t>
            </w:r>
          </w:p>
        </w:tc>
      </w:tr>
    </w:tbl>
    <w:p w:rsidR="00B263F8" w:rsidRDefault="00B263F8" w:rsidP="0009787B">
      <w:r w:rsidRPr="00293F40">
        <w:t>2013. a</w:t>
      </w:r>
      <w:r>
        <w:t xml:space="preserve"> anti kohalike omavalitsuste</w:t>
      </w:r>
      <w:r w:rsidRPr="00293F40">
        <w:t xml:space="preserve"> poolt RKAS</w:t>
      </w:r>
      <w:r>
        <w:t>-</w:t>
      </w:r>
      <w:r w:rsidRPr="00293F40">
        <w:t>ile tasuta üle kaks objekti:</w:t>
      </w:r>
    </w:p>
    <w:p w:rsidR="00B263F8" w:rsidRPr="00293F40" w:rsidRDefault="00B263F8" w:rsidP="00607E04">
      <w:pPr>
        <w:pStyle w:val="Loend1"/>
      </w:pPr>
      <w:r w:rsidRPr="00293F40">
        <w:t>Kooli 16, Kehra (</w:t>
      </w:r>
      <w:r>
        <w:t>päästekomando asukoht</w:t>
      </w:r>
      <w:r w:rsidRPr="00293F40">
        <w:t>)</w:t>
      </w:r>
    </w:p>
    <w:p w:rsidR="00B263F8" w:rsidRDefault="00B263F8" w:rsidP="00607E04">
      <w:pPr>
        <w:pStyle w:val="Loend1"/>
      </w:pPr>
      <w:r w:rsidRPr="00293F40">
        <w:t xml:space="preserve">Aiandi 4, Häädemeeste alevik </w:t>
      </w:r>
      <w:r>
        <w:t>(uue p</w:t>
      </w:r>
      <w:r w:rsidRPr="00293F40">
        <w:t>äästekomando hoone</w:t>
      </w:r>
      <w:r>
        <w:t xml:space="preserve"> rajamiseks</w:t>
      </w:r>
      <w:r w:rsidRPr="00293F40">
        <w:t>)</w:t>
      </w:r>
    </w:p>
    <w:p w:rsidR="00B263F8" w:rsidRDefault="00B263F8" w:rsidP="0009787B">
      <w:r>
        <w:t>2013 ja 2014. aastal ostis RKAS järgmised varad:</w:t>
      </w:r>
    </w:p>
    <w:p w:rsidR="00B263F8" w:rsidRDefault="00B263F8" w:rsidP="005458FB">
      <w:pPr>
        <w:pStyle w:val="Caption"/>
      </w:pPr>
      <w:r>
        <w:t xml:space="preserve">Tabel </w:t>
      </w:r>
      <w:fldSimple w:instr=" SEQ Tabel \* ARABIC ">
        <w:r w:rsidR="00477322">
          <w:rPr>
            <w:noProof/>
          </w:rPr>
          <w:t>7</w:t>
        </w:r>
      </w:fldSimple>
      <w:r>
        <w:t>. Kinnisvara ostmine</w:t>
      </w:r>
    </w:p>
    <w:tbl>
      <w:tblPr>
        <w:tblStyle w:val="Heleruuttabel1rhk11"/>
        <w:tblW w:w="0" w:type="auto"/>
        <w:tblLook w:val="04A0"/>
      </w:tblPr>
      <w:tblGrid>
        <w:gridCol w:w="988"/>
        <w:gridCol w:w="2693"/>
        <w:gridCol w:w="3081"/>
        <w:gridCol w:w="2254"/>
      </w:tblGrid>
      <w:tr w:rsidR="00B263F8" w:rsidRPr="0009787B" w:rsidTr="00B956FC">
        <w:trPr>
          <w:cnfStyle w:val="100000000000"/>
        </w:trPr>
        <w:tc>
          <w:tcPr>
            <w:cnfStyle w:val="001000000000"/>
            <w:tcW w:w="988" w:type="dxa"/>
          </w:tcPr>
          <w:p w:rsidR="00B263F8" w:rsidRPr="0009787B" w:rsidRDefault="00B263F8" w:rsidP="00B956FC">
            <w:pPr>
              <w:rPr>
                <w:sz w:val="18"/>
                <w:szCs w:val="18"/>
              </w:rPr>
            </w:pPr>
            <w:r>
              <w:rPr>
                <w:sz w:val="18"/>
                <w:szCs w:val="18"/>
              </w:rPr>
              <w:t>Aasta</w:t>
            </w:r>
          </w:p>
        </w:tc>
        <w:tc>
          <w:tcPr>
            <w:tcW w:w="2693" w:type="dxa"/>
          </w:tcPr>
          <w:p w:rsidR="00B263F8" w:rsidRPr="0009787B" w:rsidRDefault="00B263F8" w:rsidP="00B956FC">
            <w:pPr>
              <w:cnfStyle w:val="100000000000"/>
              <w:rPr>
                <w:sz w:val="18"/>
                <w:szCs w:val="18"/>
              </w:rPr>
            </w:pPr>
            <w:r>
              <w:rPr>
                <w:sz w:val="18"/>
                <w:szCs w:val="18"/>
              </w:rPr>
              <w:t>Aadress</w:t>
            </w:r>
          </w:p>
        </w:tc>
        <w:tc>
          <w:tcPr>
            <w:tcW w:w="3081" w:type="dxa"/>
          </w:tcPr>
          <w:p w:rsidR="00B263F8" w:rsidRPr="0009787B" w:rsidRDefault="00B263F8" w:rsidP="00B956FC">
            <w:pPr>
              <w:cnfStyle w:val="100000000000"/>
              <w:rPr>
                <w:sz w:val="18"/>
                <w:szCs w:val="18"/>
              </w:rPr>
            </w:pPr>
            <w:r>
              <w:rPr>
                <w:sz w:val="18"/>
                <w:szCs w:val="18"/>
              </w:rPr>
              <w:t>Ostu eesmärk</w:t>
            </w:r>
          </w:p>
        </w:tc>
        <w:tc>
          <w:tcPr>
            <w:tcW w:w="2254" w:type="dxa"/>
          </w:tcPr>
          <w:p w:rsidR="00B263F8" w:rsidRPr="0009787B" w:rsidRDefault="00B263F8" w:rsidP="00B956FC">
            <w:pPr>
              <w:cnfStyle w:val="100000000000"/>
              <w:rPr>
                <w:sz w:val="18"/>
                <w:szCs w:val="18"/>
              </w:rPr>
            </w:pPr>
            <w:r w:rsidRPr="0009787B">
              <w:rPr>
                <w:sz w:val="18"/>
                <w:szCs w:val="18"/>
              </w:rPr>
              <w:t>Soetusmaksumus (€)</w:t>
            </w:r>
          </w:p>
        </w:tc>
      </w:tr>
      <w:tr w:rsidR="00B263F8" w:rsidRPr="0009787B" w:rsidTr="00B956FC">
        <w:tc>
          <w:tcPr>
            <w:cnfStyle w:val="001000000000"/>
            <w:tcW w:w="988" w:type="dxa"/>
            <w:vMerge w:val="restart"/>
          </w:tcPr>
          <w:p w:rsidR="00B263F8" w:rsidRPr="0009787B" w:rsidRDefault="00B263F8" w:rsidP="00B956FC">
            <w:pPr>
              <w:rPr>
                <w:sz w:val="18"/>
                <w:szCs w:val="18"/>
              </w:rPr>
            </w:pPr>
            <w:r w:rsidRPr="0009787B">
              <w:rPr>
                <w:sz w:val="18"/>
                <w:szCs w:val="18"/>
              </w:rPr>
              <w:t>2013</w:t>
            </w:r>
          </w:p>
        </w:tc>
        <w:tc>
          <w:tcPr>
            <w:tcW w:w="2693" w:type="dxa"/>
          </w:tcPr>
          <w:p w:rsidR="00B263F8" w:rsidRPr="0009787B" w:rsidRDefault="00B263F8" w:rsidP="00B956FC">
            <w:pPr>
              <w:cnfStyle w:val="000000000000"/>
              <w:rPr>
                <w:sz w:val="18"/>
                <w:szCs w:val="18"/>
              </w:rPr>
            </w:pPr>
            <w:r w:rsidRPr="0009787B">
              <w:rPr>
                <w:sz w:val="18"/>
                <w:szCs w:val="18"/>
              </w:rPr>
              <w:t>Keskväljak 8a, Keila</w:t>
            </w:r>
          </w:p>
        </w:tc>
        <w:tc>
          <w:tcPr>
            <w:tcW w:w="3081" w:type="dxa"/>
          </w:tcPr>
          <w:p w:rsidR="00B263F8" w:rsidRPr="0009787B" w:rsidRDefault="00B263F8" w:rsidP="00B956FC">
            <w:pPr>
              <w:cnfStyle w:val="000000000000"/>
              <w:rPr>
                <w:sz w:val="18"/>
                <w:szCs w:val="18"/>
              </w:rPr>
            </w:pPr>
            <w:r w:rsidRPr="0009787B">
              <w:rPr>
                <w:sz w:val="18"/>
                <w:szCs w:val="18"/>
              </w:rPr>
              <w:t>Keila PPA hoone arenduseks</w:t>
            </w:r>
          </w:p>
        </w:tc>
        <w:tc>
          <w:tcPr>
            <w:tcW w:w="2254" w:type="dxa"/>
          </w:tcPr>
          <w:p w:rsidR="00B263F8" w:rsidRPr="0009787B" w:rsidRDefault="00B263F8" w:rsidP="00B956FC">
            <w:pPr>
              <w:jc w:val="right"/>
              <w:cnfStyle w:val="000000000000"/>
              <w:rPr>
                <w:sz w:val="18"/>
                <w:szCs w:val="18"/>
              </w:rPr>
            </w:pPr>
            <w:r w:rsidRPr="0009787B">
              <w:rPr>
                <w:sz w:val="18"/>
                <w:szCs w:val="18"/>
              </w:rPr>
              <w:t>225 000</w:t>
            </w:r>
          </w:p>
        </w:tc>
      </w:tr>
      <w:tr w:rsidR="00B263F8" w:rsidRPr="0009787B" w:rsidTr="00B956FC">
        <w:tc>
          <w:tcPr>
            <w:cnfStyle w:val="001000000000"/>
            <w:tcW w:w="988" w:type="dxa"/>
            <w:vMerge/>
          </w:tcPr>
          <w:p w:rsidR="00B263F8" w:rsidRPr="0009787B" w:rsidRDefault="00B263F8" w:rsidP="00B956FC">
            <w:pPr>
              <w:rPr>
                <w:sz w:val="18"/>
                <w:szCs w:val="18"/>
              </w:rPr>
            </w:pPr>
          </w:p>
        </w:tc>
        <w:tc>
          <w:tcPr>
            <w:tcW w:w="2693" w:type="dxa"/>
          </w:tcPr>
          <w:p w:rsidR="00B263F8" w:rsidRPr="0009787B" w:rsidRDefault="00B263F8" w:rsidP="00B956FC">
            <w:pPr>
              <w:cnfStyle w:val="000000000000"/>
              <w:rPr>
                <w:sz w:val="18"/>
                <w:szCs w:val="18"/>
              </w:rPr>
            </w:pPr>
            <w:r w:rsidRPr="0009787B">
              <w:rPr>
                <w:sz w:val="18"/>
                <w:szCs w:val="18"/>
              </w:rPr>
              <w:t>Kotzebue 1, Tallinn</w:t>
            </w:r>
          </w:p>
        </w:tc>
        <w:tc>
          <w:tcPr>
            <w:tcW w:w="3081" w:type="dxa"/>
          </w:tcPr>
          <w:p w:rsidR="00B263F8" w:rsidRPr="0009787B" w:rsidRDefault="00B263F8" w:rsidP="00B956FC">
            <w:pPr>
              <w:cnfStyle w:val="000000000000"/>
              <w:rPr>
                <w:sz w:val="18"/>
                <w:szCs w:val="18"/>
              </w:rPr>
            </w:pPr>
            <w:r w:rsidRPr="0009787B">
              <w:rPr>
                <w:sz w:val="18"/>
                <w:szCs w:val="18"/>
              </w:rPr>
              <w:t>EKA uue hoone arenduseks</w:t>
            </w:r>
          </w:p>
        </w:tc>
        <w:tc>
          <w:tcPr>
            <w:tcW w:w="2254" w:type="dxa"/>
          </w:tcPr>
          <w:p w:rsidR="00B263F8" w:rsidRPr="0009787B" w:rsidRDefault="00B263F8" w:rsidP="00B956FC">
            <w:pPr>
              <w:jc w:val="right"/>
              <w:cnfStyle w:val="000000000000"/>
              <w:rPr>
                <w:sz w:val="18"/>
                <w:szCs w:val="18"/>
              </w:rPr>
            </w:pPr>
            <w:r w:rsidRPr="0009787B">
              <w:rPr>
                <w:sz w:val="18"/>
                <w:szCs w:val="18"/>
              </w:rPr>
              <w:t>6 900 000</w:t>
            </w:r>
          </w:p>
        </w:tc>
      </w:tr>
      <w:tr w:rsidR="00B263F8" w:rsidRPr="0009787B" w:rsidTr="00B956FC">
        <w:tc>
          <w:tcPr>
            <w:cnfStyle w:val="001000000000"/>
            <w:tcW w:w="988" w:type="dxa"/>
            <w:vMerge w:val="restart"/>
          </w:tcPr>
          <w:p w:rsidR="00B263F8" w:rsidRPr="0009787B" w:rsidRDefault="00B263F8" w:rsidP="00B956FC">
            <w:pPr>
              <w:rPr>
                <w:sz w:val="18"/>
                <w:szCs w:val="18"/>
              </w:rPr>
            </w:pPr>
            <w:r w:rsidRPr="0009787B">
              <w:rPr>
                <w:sz w:val="18"/>
                <w:szCs w:val="18"/>
              </w:rPr>
              <w:t>2014</w:t>
            </w:r>
          </w:p>
        </w:tc>
        <w:tc>
          <w:tcPr>
            <w:tcW w:w="2693" w:type="dxa"/>
          </w:tcPr>
          <w:p w:rsidR="00B263F8" w:rsidRPr="0009787B" w:rsidRDefault="00B263F8" w:rsidP="00B956FC">
            <w:pPr>
              <w:cnfStyle w:val="000000000000"/>
              <w:rPr>
                <w:sz w:val="18"/>
                <w:szCs w:val="18"/>
              </w:rPr>
            </w:pPr>
            <w:r w:rsidRPr="0009787B">
              <w:rPr>
                <w:sz w:val="18"/>
                <w:szCs w:val="18"/>
              </w:rPr>
              <w:t>Pavlovi 4b, Sillamäe</w:t>
            </w:r>
          </w:p>
        </w:tc>
        <w:tc>
          <w:tcPr>
            <w:tcW w:w="3081" w:type="dxa"/>
          </w:tcPr>
          <w:p w:rsidR="00B263F8" w:rsidRPr="0009787B" w:rsidRDefault="00B263F8" w:rsidP="00B956FC">
            <w:pPr>
              <w:cnfStyle w:val="000000000000"/>
              <w:rPr>
                <w:sz w:val="18"/>
                <w:szCs w:val="18"/>
              </w:rPr>
            </w:pPr>
            <w:r w:rsidRPr="0009787B">
              <w:rPr>
                <w:sz w:val="18"/>
                <w:szCs w:val="18"/>
              </w:rPr>
              <w:t>PPA ja Päästeameti ühishoone arenduseks</w:t>
            </w:r>
          </w:p>
        </w:tc>
        <w:tc>
          <w:tcPr>
            <w:tcW w:w="2254" w:type="dxa"/>
          </w:tcPr>
          <w:p w:rsidR="00B263F8" w:rsidRPr="0009787B" w:rsidRDefault="00B263F8" w:rsidP="00B956FC">
            <w:pPr>
              <w:jc w:val="right"/>
              <w:cnfStyle w:val="000000000000"/>
              <w:rPr>
                <w:sz w:val="18"/>
                <w:szCs w:val="18"/>
              </w:rPr>
            </w:pPr>
            <w:r w:rsidRPr="0009787B">
              <w:rPr>
                <w:sz w:val="18"/>
                <w:szCs w:val="18"/>
              </w:rPr>
              <w:t>10 000</w:t>
            </w:r>
          </w:p>
        </w:tc>
      </w:tr>
      <w:tr w:rsidR="00B263F8" w:rsidRPr="0009787B" w:rsidTr="00B956FC">
        <w:tc>
          <w:tcPr>
            <w:cnfStyle w:val="001000000000"/>
            <w:tcW w:w="988" w:type="dxa"/>
            <w:vMerge/>
          </w:tcPr>
          <w:p w:rsidR="00B263F8" w:rsidRPr="0009787B" w:rsidRDefault="00B263F8" w:rsidP="00B956FC">
            <w:pPr>
              <w:rPr>
                <w:b w:val="0"/>
                <w:sz w:val="18"/>
                <w:szCs w:val="18"/>
              </w:rPr>
            </w:pPr>
          </w:p>
        </w:tc>
        <w:tc>
          <w:tcPr>
            <w:tcW w:w="2693" w:type="dxa"/>
          </w:tcPr>
          <w:p w:rsidR="00B263F8" w:rsidRPr="0009787B" w:rsidRDefault="00B263F8" w:rsidP="00B956FC">
            <w:pPr>
              <w:cnfStyle w:val="000000000000"/>
              <w:rPr>
                <w:sz w:val="18"/>
                <w:szCs w:val="18"/>
              </w:rPr>
            </w:pPr>
            <w:r w:rsidRPr="0009787B">
              <w:rPr>
                <w:sz w:val="18"/>
                <w:szCs w:val="18"/>
              </w:rPr>
              <w:t>Järveküla tee 40 ja 40c, Kohtla-Järve</w:t>
            </w:r>
          </w:p>
        </w:tc>
        <w:tc>
          <w:tcPr>
            <w:tcW w:w="3081" w:type="dxa"/>
          </w:tcPr>
          <w:p w:rsidR="00B263F8" w:rsidRPr="0009787B" w:rsidRDefault="00B263F8" w:rsidP="00B956FC">
            <w:pPr>
              <w:cnfStyle w:val="000000000000"/>
              <w:rPr>
                <w:sz w:val="18"/>
                <w:szCs w:val="18"/>
              </w:rPr>
            </w:pPr>
            <w:r w:rsidRPr="0009787B">
              <w:rPr>
                <w:sz w:val="18"/>
                <w:szCs w:val="18"/>
              </w:rPr>
              <w:t>PPA ja Päästeameti ühishoone arenduseks</w:t>
            </w:r>
          </w:p>
        </w:tc>
        <w:tc>
          <w:tcPr>
            <w:tcW w:w="2254" w:type="dxa"/>
          </w:tcPr>
          <w:p w:rsidR="00B263F8" w:rsidRPr="0009787B" w:rsidRDefault="00B263F8" w:rsidP="00B956FC">
            <w:pPr>
              <w:jc w:val="right"/>
              <w:cnfStyle w:val="000000000000"/>
              <w:rPr>
                <w:sz w:val="18"/>
                <w:szCs w:val="18"/>
              </w:rPr>
            </w:pPr>
            <w:r w:rsidRPr="0009787B">
              <w:rPr>
                <w:sz w:val="18"/>
                <w:szCs w:val="18"/>
              </w:rPr>
              <w:t>21 000</w:t>
            </w:r>
          </w:p>
        </w:tc>
      </w:tr>
    </w:tbl>
    <w:p w:rsidR="00B263F8" w:rsidRPr="006C3252" w:rsidRDefault="00B263F8" w:rsidP="005458FB">
      <w:pPr>
        <w:rPr>
          <w:rFonts w:ascii="Times New Roman" w:hAnsi="Times New Roman"/>
        </w:rPr>
      </w:pPr>
    </w:p>
    <w:p w:rsidR="00B263F8" w:rsidRPr="002D40CC" w:rsidRDefault="00B263F8" w:rsidP="002D40CC">
      <w:pPr>
        <w:rPr>
          <w:b/>
          <w:color w:val="0070C0"/>
          <w:u w:val="single"/>
        </w:rPr>
      </w:pPr>
      <w:bookmarkStart w:id="493" w:name="_Toc424055166"/>
      <w:bookmarkStart w:id="494" w:name="_Toc424061836"/>
      <w:r w:rsidRPr="002D40CC">
        <w:rPr>
          <w:b/>
          <w:color w:val="0070C0"/>
          <w:u w:val="single"/>
        </w:rPr>
        <w:t>Haldusportfell ja kinnisvara korrashoiutegevused</w:t>
      </w:r>
      <w:bookmarkEnd w:id="493"/>
      <w:bookmarkEnd w:id="494"/>
    </w:p>
    <w:p w:rsidR="00B263F8" w:rsidRPr="00027AF1" w:rsidRDefault="00B263F8" w:rsidP="002D40CC">
      <w:pPr>
        <w:spacing w:before="120"/>
      </w:pPr>
      <w:r w:rsidRPr="00027AF1">
        <w:t>Haldusportfelli kuuluvad objektid, kus omanikuks on RKAS, mis on kaetud üürilepingutega ning on tavapärases kasutuses.</w:t>
      </w:r>
    </w:p>
    <w:p w:rsidR="00B263F8" w:rsidRDefault="00B263F8" w:rsidP="005458FB">
      <w:pPr>
        <w:pStyle w:val="Caption"/>
      </w:pPr>
      <w:r>
        <w:t xml:space="preserve">Tabel </w:t>
      </w:r>
      <w:fldSimple w:instr=" SEQ Tabel \* ARABIC ">
        <w:r w:rsidR="00477322">
          <w:rPr>
            <w:noProof/>
          </w:rPr>
          <w:t>8</w:t>
        </w:r>
      </w:fldSimple>
      <w:r>
        <w:t>. Haldusportfelli koondülevaade</w:t>
      </w:r>
    </w:p>
    <w:tbl>
      <w:tblPr>
        <w:tblStyle w:val="Heleruuttabel1rhk11"/>
        <w:tblW w:w="0" w:type="auto"/>
        <w:tblLook w:val="04A0"/>
      </w:tblPr>
      <w:tblGrid>
        <w:gridCol w:w="1789"/>
        <w:gridCol w:w="1793"/>
        <w:gridCol w:w="1795"/>
        <w:gridCol w:w="1796"/>
        <w:gridCol w:w="1851"/>
      </w:tblGrid>
      <w:tr w:rsidR="00B263F8" w:rsidRPr="0009787B" w:rsidTr="00B956FC">
        <w:trPr>
          <w:cnfStyle w:val="100000000000"/>
        </w:trPr>
        <w:tc>
          <w:tcPr>
            <w:cnfStyle w:val="001000000000"/>
            <w:tcW w:w="1789" w:type="dxa"/>
          </w:tcPr>
          <w:p w:rsidR="00B263F8" w:rsidRPr="0009787B" w:rsidRDefault="00B263F8" w:rsidP="00B956FC">
            <w:pPr>
              <w:rPr>
                <w:sz w:val="18"/>
                <w:szCs w:val="18"/>
              </w:rPr>
            </w:pPr>
          </w:p>
        </w:tc>
        <w:tc>
          <w:tcPr>
            <w:tcW w:w="1793" w:type="dxa"/>
          </w:tcPr>
          <w:p w:rsidR="00B263F8" w:rsidRPr="0009787B" w:rsidRDefault="00B263F8" w:rsidP="00B956FC">
            <w:pPr>
              <w:cnfStyle w:val="100000000000"/>
              <w:rPr>
                <w:sz w:val="18"/>
                <w:szCs w:val="18"/>
              </w:rPr>
            </w:pPr>
            <w:r w:rsidRPr="0009787B">
              <w:rPr>
                <w:sz w:val="18"/>
                <w:szCs w:val="18"/>
              </w:rPr>
              <w:t xml:space="preserve">Suletud netopind </w:t>
            </w:r>
          </w:p>
          <w:p w:rsidR="00B263F8" w:rsidRPr="0009787B" w:rsidRDefault="00B263F8" w:rsidP="00B956FC">
            <w:pPr>
              <w:cnfStyle w:val="100000000000"/>
              <w:rPr>
                <w:sz w:val="18"/>
                <w:szCs w:val="18"/>
              </w:rPr>
            </w:pPr>
            <w:r w:rsidRPr="0009787B">
              <w:rPr>
                <w:sz w:val="18"/>
                <w:szCs w:val="18"/>
              </w:rPr>
              <w:t>(tuh, m²)</w:t>
            </w:r>
          </w:p>
        </w:tc>
        <w:tc>
          <w:tcPr>
            <w:tcW w:w="1795" w:type="dxa"/>
          </w:tcPr>
          <w:p w:rsidR="00B263F8" w:rsidRPr="0009787B" w:rsidRDefault="00B263F8" w:rsidP="00B956FC">
            <w:pPr>
              <w:cnfStyle w:val="100000000000"/>
              <w:rPr>
                <w:sz w:val="18"/>
                <w:szCs w:val="18"/>
              </w:rPr>
            </w:pPr>
            <w:r w:rsidRPr="0009787B">
              <w:rPr>
                <w:sz w:val="18"/>
                <w:szCs w:val="18"/>
              </w:rPr>
              <w:t>Kinnistute arv (tk)</w:t>
            </w:r>
          </w:p>
        </w:tc>
        <w:tc>
          <w:tcPr>
            <w:tcW w:w="1796" w:type="dxa"/>
          </w:tcPr>
          <w:p w:rsidR="00B263F8" w:rsidRPr="0009787B" w:rsidRDefault="00B263F8" w:rsidP="00B956FC">
            <w:pPr>
              <w:cnfStyle w:val="100000000000"/>
              <w:rPr>
                <w:sz w:val="18"/>
                <w:szCs w:val="18"/>
              </w:rPr>
            </w:pPr>
            <w:r w:rsidRPr="0009787B">
              <w:rPr>
                <w:sz w:val="18"/>
                <w:szCs w:val="18"/>
              </w:rPr>
              <w:t>Vakantsus</w:t>
            </w:r>
            <w:r w:rsidRPr="0009787B">
              <w:rPr>
                <w:rStyle w:val="FootnoteReference"/>
                <w:sz w:val="18"/>
                <w:szCs w:val="18"/>
              </w:rPr>
              <w:footnoteReference w:id="13"/>
            </w:r>
            <w:r w:rsidRPr="0009787B">
              <w:rPr>
                <w:sz w:val="18"/>
                <w:szCs w:val="18"/>
              </w:rPr>
              <w:t xml:space="preserve"> (%)</w:t>
            </w:r>
          </w:p>
        </w:tc>
        <w:tc>
          <w:tcPr>
            <w:tcW w:w="1843" w:type="dxa"/>
          </w:tcPr>
          <w:p w:rsidR="00B263F8" w:rsidRPr="0009787B" w:rsidRDefault="00B263F8" w:rsidP="00B956FC">
            <w:pPr>
              <w:cnfStyle w:val="100000000000"/>
              <w:rPr>
                <w:sz w:val="18"/>
                <w:szCs w:val="18"/>
              </w:rPr>
            </w:pPr>
            <w:r w:rsidRPr="0009787B">
              <w:rPr>
                <w:sz w:val="18"/>
                <w:szCs w:val="18"/>
              </w:rPr>
              <w:t>Soetusmaksumus (mln, €)</w:t>
            </w:r>
          </w:p>
        </w:tc>
      </w:tr>
      <w:tr w:rsidR="00B263F8" w:rsidRPr="0009787B" w:rsidTr="00B956FC">
        <w:tc>
          <w:tcPr>
            <w:cnfStyle w:val="001000000000"/>
            <w:tcW w:w="1789" w:type="dxa"/>
          </w:tcPr>
          <w:p w:rsidR="00B263F8" w:rsidRPr="0009787B" w:rsidRDefault="00B263F8" w:rsidP="00B956FC">
            <w:pPr>
              <w:rPr>
                <w:sz w:val="18"/>
                <w:szCs w:val="18"/>
              </w:rPr>
            </w:pPr>
            <w:r w:rsidRPr="0009787B">
              <w:rPr>
                <w:sz w:val="18"/>
                <w:szCs w:val="18"/>
              </w:rPr>
              <w:t>2013</w:t>
            </w:r>
          </w:p>
        </w:tc>
        <w:tc>
          <w:tcPr>
            <w:tcW w:w="1793" w:type="dxa"/>
          </w:tcPr>
          <w:p w:rsidR="00B263F8" w:rsidRPr="0009787B" w:rsidRDefault="00B263F8" w:rsidP="00B956FC">
            <w:pPr>
              <w:cnfStyle w:val="000000000000"/>
              <w:rPr>
                <w:sz w:val="18"/>
                <w:szCs w:val="18"/>
              </w:rPr>
            </w:pPr>
            <w:r w:rsidRPr="0009787B">
              <w:rPr>
                <w:sz w:val="18"/>
                <w:szCs w:val="18"/>
              </w:rPr>
              <w:t>638</w:t>
            </w:r>
          </w:p>
        </w:tc>
        <w:tc>
          <w:tcPr>
            <w:tcW w:w="1795" w:type="dxa"/>
          </w:tcPr>
          <w:p w:rsidR="00B263F8" w:rsidRPr="0009787B" w:rsidRDefault="00B263F8" w:rsidP="00B956FC">
            <w:pPr>
              <w:cnfStyle w:val="000000000000"/>
              <w:rPr>
                <w:sz w:val="18"/>
                <w:szCs w:val="18"/>
              </w:rPr>
            </w:pPr>
            <w:r w:rsidRPr="0009787B">
              <w:rPr>
                <w:sz w:val="18"/>
                <w:szCs w:val="18"/>
              </w:rPr>
              <w:t>298</w:t>
            </w:r>
          </w:p>
        </w:tc>
        <w:tc>
          <w:tcPr>
            <w:tcW w:w="1796" w:type="dxa"/>
          </w:tcPr>
          <w:p w:rsidR="00B263F8" w:rsidRPr="0009787B" w:rsidRDefault="00B263F8" w:rsidP="00B956FC">
            <w:pPr>
              <w:cnfStyle w:val="000000000000"/>
              <w:rPr>
                <w:sz w:val="18"/>
                <w:szCs w:val="18"/>
              </w:rPr>
            </w:pPr>
            <w:r w:rsidRPr="0009787B">
              <w:rPr>
                <w:sz w:val="18"/>
                <w:szCs w:val="18"/>
              </w:rPr>
              <w:t>6,7</w:t>
            </w:r>
          </w:p>
        </w:tc>
        <w:tc>
          <w:tcPr>
            <w:tcW w:w="1843" w:type="dxa"/>
          </w:tcPr>
          <w:p w:rsidR="00B263F8" w:rsidRPr="0009787B" w:rsidRDefault="00B263F8" w:rsidP="00B956FC">
            <w:pPr>
              <w:cnfStyle w:val="000000000000"/>
              <w:rPr>
                <w:sz w:val="18"/>
                <w:szCs w:val="18"/>
              </w:rPr>
            </w:pPr>
            <w:r w:rsidRPr="0009787B">
              <w:rPr>
                <w:sz w:val="18"/>
                <w:szCs w:val="18"/>
              </w:rPr>
              <w:t>24,8</w:t>
            </w:r>
          </w:p>
        </w:tc>
      </w:tr>
      <w:tr w:rsidR="00B263F8" w:rsidRPr="0009787B" w:rsidTr="00B956FC">
        <w:tc>
          <w:tcPr>
            <w:cnfStyle w:val="001000000000"/>
            <w:tcW w:w="1789" w:type="dxa"/>
          </w:tcPr>
          <w:p w:rsidR="00B263F8" w:rsidRPr="0009787B" w:rsidRDefault="00B263F8" w:rsidP="00B956FC">
            <w:pPr>
              <w:rPr>
                <w:sz w:val="18"/>
                <w:szCs w:val="18"/>
              </w:rPr>
            </w:pPr>
            <w:r w:rsidRPr="0009787B">
              <w:rPr>
                <w:sz w:val="18"/>
                <w:szCs w:val="18"/>
              </w:rPr>
              <w:t>2014</w:t>
            </w:r>
          </w:p>
        </w:tc>
        <w:tc>
          <w:tcPr>
            <w:tcW w:w="1793" w:type="dxa"/>
          </w:tcPr>
          <w:p w:rsidR="00B263F8" w:rsidRPr="0009787B" w:rsidRDefault="00B263F8" w:rsidP="00B956FC">
            <w:pPr>
              <w:cnfStyle w:val="000000000000"/>
              <w:rPr>
                <w:sz w:val="18"/>
                <w:szCs w:val="18"/>
              </w:rPr>
            </w:pPr>
            <w:r w:rsidRPr="0009787B">
              <w:rPr>
                <w:sz w:val="18"/>
                <w:szCs w:val="18"/>
              </w:rPr>
              <w:t>755</w:t>
            </w:r>
          </w:p>
        </w:tc>
        <w:tc>
          <w:tcPr>
            <w:tcW w:w="1795" w:type="dxa"/>
          </w:tcPr>
          <w:p w:rsidR="00B263F8" w:rsidRPr="0009787B" w:rsidRDefault="00B263F8" w:rsidP="00B956FC">
            <w:pPr>
              <w:cnfStyle w:val="000000000000"/>
              <w:rPr>
                <w:sz w:val="18"/>
                <w:szCs w:val="18"/>
              </w:rPr>
            </w:pPr>
            <w:r w:rsidRPr="0009787B">
              <w:rPr>
                <w:sz w:val="18"/>
                <w:szCs w:val="18"/>
              </w:rPr>
              <w:t>327</w:t>
            </w:r>
          </w:p>
        </w:tc>
        <w:tc>
          <w:tcPr>
            <w:tcW w:w="1796" w:type="dxa"/>
          </w:tcPr>
          <w:p w:rsidR="00B263F8" w:rsidRPr="0009787B" w:rsidRDefault="00B263F8" w:rsidP="00B956FC">
            <w:pPr>
              <w:cnfStyle w:val="000000000000"/>
              <w:rPr>
                <w:sz w:val="18"/>
                <w:szCs w:val="18"/>
              </w:rPr>
            </w:pPr>
            <w:r w:rsidRPr="0009787B">
              <w:rPr>
                <w:sz w:val="18"/>
                <w:szCs w:val="18"/>
              </w:rPr>
              <w:t>12,0</w:t>
            </w:r>
          </w:p>
        </w:tc>
        <w:tc>
          <w:tcPr>
            <w:tcW w:w="1843" w:type="dxa"/>
          </w:tcPr>
          <w:p w:rsidR="00B263F8" w:rsidRPr="0009787B" w:rsidRDefault="00B263F8" w:rsidP="00B956FC">
            <w:pPr>
              <w:cnfStyle w:val="000000000000"/>
              <w:rPr>
                <w:sz w:val="18"/>
                <w:szCs w:val="18"/>
              </w:rPr>
            </w:pPr>
            <w:r w:rsidRPr="0009787B">
              <w:rPr>
                <w:sz w:val="18"/>
                <w:szCs w:val="18"/>
              </w:rPr>
              <w:t>30,8</w:t>
            </w:r>
          </w:p>
        </w:tc>
      </w:tr>
    </w:tbl>
    <w:p w:rsidR="00B263F8" w:rsidRDefault="00B263F8" w:rsidP="0009787B">
      <w:r>
        <w:t xml:space="preserve">Haldusportfelli vakantsus 2014. aastal tõusis, olles tingitud hoonete hoidmisest varupindadeks (näiteks hoiti Rahandusministeeriumi tarbeks hooneid aadressil Endla 13 ja Lõkke 3/5 ning Sotsiaalkindlustusametile aadressil Endla 8). </w:t>
      </w:r>
    </w:p>
    <w:p w:rsidR="00B263F8" w:rsidRPr="000E5D65" w:rsidRDefault="00B263F8" w:rsidP="0009787B">
      <w:r w:rsidRPr="000E5D65">
        <w:t>Prognoosi kohaselt suureneb haldusportfell 2015. aasta lõpuks ca 48 000 m² ehk ca 6% võrra</w:t>
      </w:r>
      <w:r>
        <w:t xml:space="preserve">, </w:t>
      </w:r>
      <w:r w:rsidRPr="000E5D65">
        <w:t>hõlmates kuni 20 000 m² ulatuses Ke</w:t>
      </w:r>
      <w:r>
        <w:t xml:space="preserve">skkonnaministeeriumi, ligikaudu </w:t>
      </w:r>
      <w:r w:rsidRPr="000E5D65">
        <w:t>10 000 m² ulatuses Põllumajandusministeeriumi</w:t>
      </w:r>
      <w:r>
        <w:t xml:space="preserve"> poolt üle antavat vara ning ca </w:t>
      </w:r>
      <w:r w:rsidRPr="000E5D65">
        <w:t>18 000 m² ulatuses valmivat ja arenduspor</w:t>
      </w:r>
      <w:r>
        <w:t>tfelli üle tulevat uusarendust.</w:t>
      </w:r>
    </w:p>
    <w:p w:rsidR="00B263F8" w:rsidRPr="00F94769" w:rsidRDefault="00B263F8" w:rsidP="0009787B">
      <w:r w:rsidRPr="00F94769">
        <w:t xml:space="preserve">Haldustegevuse efektiivsus vähenes märgatavalt 2011. aastal, kui alustati varade suuremahulise </w:t>
      </w:r>
      <w:r>
        <w:t xml:space="preserve">ülevõtmise ettevalmistamisega. </w:t>
      </w:r>
      <w:r w:rsidRPr="00F94769">
        <w:t xml:space="preserve">Mahtude kasvu perioodil tuleb arvestada madalama efektiivsusega, kuna objekti haldamise alustamisel on stardiperiood </w:t>
      </w:r>
      <w:r>
        <w:t>ligikaudu kaks</w:t>
      </w:r>
      <w:r w:rsidRPr="00F94769">
        <w:t xml:space="preserve"> aastat, mille käigus tuleb objekti haldamise ettevalmistamiseks ja uue töökorralduse sissetöötamiseks tunduvalt rohkem panustada.</w:t>
      </w:r>
      <w:r>
        <w:t xml:space="preserve"> </w:t>
      </w:r>
    </w:p>
    <w:p w:rsidR="00B263F8" w:rsidRDefault="00B263F8" w:rsidP="005458FB">
      <w:pPr>
        <w:pStyle w:val="Caption"/>
      </w:pPr>
      <w:r>
        <w:t xml:space="preserve">Joonis </w:t>
      </w:r>
      <w:fldSimple w:instr=" SEQ Joonis \* ARABIC ">
        <w:r w:rsidR="00477322">
          <w:rPr>
            <w:noProof/>
          </w:rPr>
          <w:t>37</w:t>
        </w:r>
      </w:fldSimple>
      <w:r>
        <w:t>. Haldustegevuse efektiivsus</w:t>
      </w:r>
    </w:p>
    <w:p w:rsidR="00B263F8" w:rsidRDefault="00B263F8" w:rsidP="005458FB">
      <w:pPr>
        <w:rPr>
          <w:rFonts w:ascii="TT15Ct00" w:hAnsi="TT15Ct00"/>
          <w:color w:val="000000"/>
        </w:rPr>
      </w:pPr>
      <w:r w:rsidRPr="00F94769">
        <w:rPr>
          <w:noProof/>
          <w:lang w:eastAsia="et-EE"/>
        </w:rPr>
        <w:drawing>
          <wp:inline distT="0" distB="0" distL="0" distR="0">
            <wp:extent cx="5285509" cy="3373582"/>
            <wp:effectExtent l="19050" t="0" r="10391" b="0"/>
            <wp:docPr id="27"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263F8" w:rsidRPr="00F94769" w:rsidRDefault="00B263F8" w:rsidP="0009787B">
      <w:r w:rsidRPr="0009787B">
        <w:t>Haldusportfell jaguneb valdavalt neljaks suuremaks grupiks kasutusotstarbe järgi – büroohooned, haridus- ja teadus, kultuur ning sisejulgeolek. Võrreldes portfelli gruppide ülalpidamiskulusid</w:t>
      </w:r>
      <w:r w:rsidRPr="0009787B">
        <w:rPr>
          <w:vertAlign w:val="superscript"/>
        </w:rPr>
        <w:footnoteReference w:id="14"/>
      </w:r>
      <w:r>
        <w:t>,</w:t>
      </w:r>
      <w:r w:rsidRPr="0009787B">
        <w:rPr>
          <w:vertAlign w:val="superscript"/>
        </w:rPr>
        <w:t xml:space="preserve"> </w:t>
      </w:r>
      <w:r w:rsidRPr="0009787B">
        <w:t>siis</w:t>
      </w:r>
      <w:r>
        <w:t xml:space="preserve"> selge trend on halduskulude vähenemise suunas kõikide gruppide osas. </w:t>
      </w:r>
      <w:r w:rsidRPr="00F94769">
        <w:t>Halduskulude vähenemine on seotud objektide mahu kasvust tekkiva efektiivsuse kasvuga.</w:t>
      </w:r>
      <w:r>
        <w:t xml:space="preserve"> </w:t>
      </w:r>
      <w:r w:rsidRPr="00F94769">
        <w:t>Kulude tase</w:t>
      </w:r>
      <w:r>
        <w:t xml:space="preserve">t </w:t>
      </w:r>
      <w:r w:rsidRPr="00F94769">
        <w:t>aastate lõikes</w:t>
      </w:r>
      <w:r>
        <w:t xml:space="preserve"> mõjutavad</w:t>
      </w:r>
      <w:r w:rsidRPr="00F94769">
        <w:t xml:space="preserve"> </w:t>
      </w:r>
      <w:r>
        <w:t xml:space="preserve">suuresti </w:t>
      </w:r>
      <w:r w:rsidRPr="00F94769">
        <w:t>objektide energia</w:t>
      </w:r>
      <w:r>
        <w:t>kulud. Ka energiakuludes on märgata stabiilsuse trendi</w:t>
      </w:r>
      <w:r w:rsidRPr="00F94769">
        <w:t xml:space="preserve"> – </w:t>
      </w:r>
      <w:r>
        <w:t xml:space="preserve">kuigi </w:t>
      </w:r>
      <w:r w:rsidRPr="00F94769">
        <w:t xml:space="preserve">tarbimisteenuste hinnad on </w:t>
      </w:r>
      <w:r>
        <w:t xml:space="preserve">aasta-aastalt </w:t>
      </w:r>
      <w:r w:rsidRPr="00F94769">
        <w:t>kasvanud</w:t>
      </w:r>
      <w:r>
        <w:t xml:space="preserve">, siis </w:t>
      </w:r>
      <w:r w:rsidRPr="00F94769">
        <w:t xml:space="preserve">CO2 </w:t>
      </w:r>
      <w:r>
        <w:t>projekti ja</w:t>
      </w:r>
      <w:r w:rsidRPr="00F94769">
        <w:t xml:space="preserve"> uute hoonete valmimise kaudu o</w:t>
      </w:r>
      <w:r>
        <w:t>n vähenenud tarbitavad kogused.</w:t>
      </w:r>
      <w:r w:rsidRPr="00F94769">
        <w:t xml:space="preserve"> </w:t>
      </w:r>
      <w:r>
        <w:t>Oluliselt mõjutavad ülalpidamiskulude taset heakorrakulud, mis on muutumas kõige suuremaks kuluartikliks, isegi suuremaks kui energiakulud.</w:t>
      </w:r>
      <w:r w:rsidR="00F96800">
        <w:t xml:space="preserve"> </w:t>
      </w:r>
    </w:p>
    <w:p w:rsidR="00B263F8" w:rsidRDefault="00B263F8" w:rsidP="0009787B">
      <w:r w:rsidRPr="00F94769">
        <w:t>Haridus ja teadus grupi muutused 2013</w:t>
      </w:r>
      <w:r>
        <w:t>.</w:t>
      </w:r>
      <w:r w:rsidRPr="00F94769">
        <w:t xml:space="preserve"> ja 2014 aastal on tingitud teenuste lisandumisest: kui varasemalt pakkus RKAS vaid üüripinda, siis on alates 2013. aastast </w:t>
      </w:r>
      <w:r>
        <w:t>on</w:t>
      </w:r>
      <w:r w:rsidRPr="00F94769">
        <w:t xml:space="preserve"> üle antud ka objektide teenuseid RKASile korraldamiseks.</w:t>
      </w:r>
      <w:r w:rsidRPr="000E5D65">
        <w:t xml:space="preserve"> </w:t>
      </w:r>
      <w:r w:rsidRPr="00F94769">
        <w:t>Muutused kultuuri ja sisejulgeoleku portfellis on</w:t>
      </w:r>
      <w:r>
        <w:t xml:space="preserve"> samuti</w:t>
      </w:r>
      <w:r w:rsidRPr="00F94769">
        <w:t xml:space="preserve"> eelkõi</w:t>
      </w:r>
      <w:r>
        <w:t xml:space="preserve">ge tingitud üleminekuperioodi lõppemisest. </w:t>
      </w:r>
    </w:p>
    <w:p w:rsidR="00B263F8" w:rsidRDefault="00B263F8" w:rsidP="005458FB">
      <w:pPr>
        <w:pStyle w:val="Caption"/>
      </w:pPr>
      <w:r>
        <w:t xml:space="preserve">Joonis </w:t>
      </w:r>
      <w:fldSimple w:instr=" SEQ Joonis \* ARABIC ">
        <w:r w:rsidR="00477322">
          <w:rPr>
            <w:noProof/>
          </w:rPr>
          <w:t>38</w:t>
        </w:r>
      </w:fldSimple>
      <w:r>
        <w:t>. Ülalpidamiskulude tase haldusportfellis</w:t>
      </w:r>
    </w:p>
    <w:p w:rsidR="00B263F8" w:rsidRDefault="00B263F8" w:rsidP="0009787B">
      <w:pPr>
        <w:keepNext/>
        <w:spacing w:before="120" w:after="120"/>
      </w:pPr>
      <w:r>
        <w:rPr>
          <w:noProof/>
          <w:lang w:eastAsia="et-EE"/>
        </w:rPr>
        <w:drawing>
          <wp:inline distT="0" distB="0" distL="0" distR="0">
            <wp:extent cx="5579654" cy="3657600"/>
            <wp:effectExtent l="19050" t="0" r="21046" b="0"/>
            <wp:docPr id="4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263F8" w:rsidRDefault="00B263F8" w:rsidP="005458FB">
      <w:pPr>
        <w:pStyle w:val="Caption"/>
      </w:pPr>
      <w:r>
        <w:t xml:space="preserve">Joonis </w:t>
      </w:r>
      <w:fldSimple w:instr=" SEQ Joonis \* ARABIC ">
        <w:r w:rsidR="00477322">
          <w:rPr>
            <w:noProof/>
          </w:rPr>
          <w:t>39</w:t>
        </w:r>
      </w:fldSimple>
      <w:r>
        <w:t>. Ülalpidamiskulud haldusportfellis</w:t>
      </w:r>
    </w:p>
    <w:p w:rsidR="00B263F8" w:rsidRDefault="00B263F8" w:rsidP="0009787B">
      <w:pPr>
        <w:pStyle w:val="Caption"/>
        <w:spacing w:before="120" w:after="120"/>
      </w:pPr>
      <w:r>
        <w:rPr>
          <w:noProof/>
          <w:lang w:eastAsia="et-EE"/>
        </w:rPr>
        <w:drawing>
          <wp:inline distT="0" distB="0" distL="0" distR="0">
            <wp:extent cx="5554980" cy="3743325"/>
            <wp:effectExtent l="19050" t="0" r="26670" b="0"/>
            <wp:docPr id="46"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B263F8" w:rsidRPr="002D4B0B" w:rsidRDefault="00B263F8" w:rsidP="0009787B">
      <w:bookmarkStart w:id="495" w:name="_GoBack"/>
      <w:bookmarkEnd w:id="495"/>
      <w:r w:rsidRPr="002D4B0B">
        <w:t>2013. ja 2014. aastal on RKAS</w:t>
      </w:r>
      <w:r>
        <w:t>-</w:t>
      </w:r>
      <w:r w:rsidRPr="002D4B0B">
        <w:t>il olnud võimalik oluliselt suurendada haldusportfelli remonttööde mahte. 2013. a remonditi 205 objekti (598 erinevat tööd summas 4,6 mln eurot (koos KM</w:t>
      </w:r>
      <w:r>
        <w:t>-ga</w:t>
      </w:r>
      <w:r w:rsidRPr="002D4B0B">
        <w:t>) ning 2014. a teostati erinevaid remonttöid 228 objektil (921 tööd summas 10,9 mln eurot (</w:t>
      </w:r>
      <w:r>
        <w:t>koos KM-ga</w:t>
      </w:r>
      <w:r w:rsidRPr="002D4B0B">
        <w:t>).</w:t>
      </w:r>
    </w:p>
    <w:p w:rsidR="00B263F8" w:rsidRPr="002D4B0B" w:rsidRDefault="00B263F8" w:rsidP="0009787B">
      <w:r w:rsidRPr="002D4B0B">
        <w:t>Remonttööde prioriteetsuse planeerimisel lähtutakse järgmistest kriteeriumitest:</w:t>
      </w:r>
    </w:p>
    <w:p w:rsidR="00B263F8" w:rsidRPr="002D4B0B" w:rsidRDefault="00B263F8" w:rsidP="0009787B">
      <w:pPr>
        <w:pStyle w:val="Loend1"/>
      </w:pPr>
      <w:r w:rsidRPr="002D4B0B">
        <w:t>ohutuse tagamiseks vajalikud remonttööd (oht inimeludele ja/või vara säilimisele)</w:t>
      </w:r>
      <w:r>
        <w:t>,</w:t>
      </w:r>
    </w:p>
    <w:p w:rsidR="00B263F8" w:rsidRPr="002D4B0B" w:rsidRDefault="00B263F8" w:rsidP="0009787B">
      <w:pPr>
        <w:pStyle w:val="Loend1"/>
      </w:pPr>
      <w:r w:rsidRPr="002D4B0B">
        <w:t>tööd, millega on võimalik saavutada majanduslikku kasu (nt kokkuhoid energiatarbimiselt, avariiremontidelt vms)</w:t>
      </w:r>
      <w:r>
        <w:t>,</w:t>
      </w:r>
    </w:p>
    <w:p w:rsidR="00B263F8" w:rsidRPr="002D4B0B" w:rsidRDefault="00B263F8" w:rsidP="0009787B">
      <w:pPr>
        <w:pStyle w:val="Loend1"/>
      </w:pPr>
      <w:r w:rsidRPr="002D4B0B">
        <w:t>tööd, millega taotletakse esteetilist muutust.</w:t>
      </w:r>
    </w:p>
    <w:p w:rsidR="00B263F8" w:rsidRPr="0009787B" w:rsidRDefault="00B263F8" w:rsidP="0009787B">
      <w:pPr>
        <w:rPr>
          <w:rFonts w:ascii="Times New Roman" w:hAnsi="Times New Roman"/>
        </w:rPr>
      </w:pPr>
      <w:r w:rsidRPr="0009787B">
        <w:t>2015. aastaks otsustati riigieelarves eraldada täiendavalt 4,291 mln eurot remondivajaduse katmiseks, see suurenda</w:t>
      </w:r>
      <w:r>
        <w:t>s RKAS-i remondivahendite mahtu</w:t>
      </w:r>
      <w:r w:rsidRPr="0009787B">
        <w:t xml:space="preserve"> 20,756 mln €-le</w:t>
      </w:r>
      <w:r w:rsidRPr="002D4B0B">
        <w:rPr>
          <w:rFonts w:ascii="Times New Roman" w:hAnsi="Times New Roman"/>
        </w:rPr>
        <w:t xml:space="preserve">. </w:t>
      </w:r>
    </w:p>
    <w:p w:rsidR="00B263F8" w:rsidRDefault="00B263F8" w:rsidP="005458FB">
      <w:pPr>
        <w:pStyle w:val="Caption"/>
      </w:pPr>
      <w:r>
        <w:t xml:space="preserve">Joonis </w:t>
      </w:r>
      <w:fldSimple w:instr=" SEQ Joonis \* ARABIC ">
        <w:r w:rsidR="00477322">
          <w:rPr>
            <w:noProof/>
          </w:rPr>
          <w:t>40</w:t>
        </w:r>
      </w:fldSimple>
      <w:r>
        <w:t>. Remonttööde rahalised mahud</w:t>
      </w:r>
    </w:p>
    <w:p w:rsidR="00B263F8" w:rsidRDefault="00B263F8" w:rsidP="0009787B">
      <w:pPr>
        <w:spacing w:before="120"/>
      </w:pPr>
      <w:r>
        <w:rPr>
          <w:noProof/>
          <w:lang w:eastAsia="et-EE"/>
        </w:rPr>
        <w:drawing>
          <wp:inline distT="0" distB="0" distL="0" distR="0">
            <wp:extent cx="4165057" cy="2631882"/>
            <wp:effectExtent l="0" t="0" r="0" b="0"/>
            <wp:docPr id="48"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5454" cy="2632133"/>
                    </a:xfrm>
                    <a:prstGeom prst="rect">
                      <a:avLst/>
                    </a:prstGeom>
                    <a:noFill/>
                  </pic:spPr>
                </pic:pic>
              </a:graphicData>
            </a:graphic>
          </wp:inline>
        </w:drawing>
      </w:r>
    </w:p>
    <w:p w:rsidR="00B263F8" w:rsidRPr="002D40CC" w:rsidRDefault="00B263F8" w:rsidP="002D40CC">
      <w:pPr>
        <w:rPr>
          <w:b/>
          <w:color w:val="0070C0"/>
          <w:u w:val="single"/>
        </w:rPr>
      </w:pPr>
      <w:bookmarkStart w:id="496" w:name="_Toc424055167"/>
      <w:bookmarkStart w:id="497" w:name="_Toc424061837"/>
      <w:r w:rsidRPr="002D40CC">
        <w:rPr>
          <w:b/>
          <w:color w:val="0070C0"/>
          <w:u w:val="single"/>
        </w:rPr>
        <w:t>Arendusportfell</w:t>
      </w:r>
      <w:bookmarkEnd w:id="496"/>
      <w:bookmarkEnd w:id="497"/>
      <w:r w:rsidRPr="002D40CC">
        <w:rPr>
          <w:b/>
          <w:color w:val="0070C0"/>
          <w:u w:val="single"/>
        </w:rPr>
        <w:t xml:space="preserve"> </w:t>
      </w:r>
    </w:p>
    <w:p w:rsidR="00B263F8" w:rsidRDefault="00B263F8" w:rsidP="002D40CC">
      <w:pPr>
        <w:spacing w:before="0"/>
      </w:pPr>
      <w:r>
        <w:t>Arendusportfelli kuuluvad objektid on hoonestatud ja hoonestamata kinnistud, mis on vakantsed või lühiajalises perspektiivis vakantseks jäämas, kuid omavad potentsiaali väärtuse tõusuks läbi arendustegevuse.</w:t>
      </w:r>
    </w:p>
    <w:p w:rsidR="00B263F8" w:rsidRDefault="00B263F8" w:rsidP="005458FB">
      <w:pPr>
        <w:pStyle w:val="Caption"/>
      </w:pPr>
      <w:r>
        <w:t xml:space="preserve">Tabel </w:t>
      </w:r>
      <w:fldSimple w:instr=" SEQ Tabel \* ARABIC ">
        <w:r w:rsidR="00477322">
          <w:rPr>
            <w:noProof/>
          </w:rPr>
          <w:t>9</w:t>
        </w:r>
      </w:fldSimple>
      <w:r>
        <w:t>. Arendusportfelli koondülevaade</w:t>
      </w:r>
    </w:p>
    <w:tbl>
      <w:tblPr>
        <w:tblStyle w:val="Heleruuttabel1rhk11"/>
        <w:tblW w:w="0" w:type="auto"/>
        <w:tblLook w:val="04A0"/>
      </w:tblPr>
      <w:tblGrid>
        <w:gridCol w:w="2254"/>
        <w:gridCol w:w="2254"/>
        <w:gridCol w:w="2254"/>
        <w:gridCol w:w="2254"/>
      </w:tblGrid>
      <w:tr w:rsidR="00B263F8" w:rsidRPr="0009787B" w:rsidTr="00B956FC">
        <w:trPr>
          <w:cnfStyle w:val="100000000000"/>
        </w:trPr>
        <w:tc>
          <w:tcPr>
            <w:cnfStyle w:val="001000000000"/>
            <w:tcW w:w="2254" w:type="dxa"/>
          </w:tcPr>
          <w:p w:rsidR="00B263F8" w:rsidRPr="0009787B" w:rsidRDefault="00B263F8" w:rsidP="00B956FC">
            <w:pPr>
              <w:rPr>
                <w:color w:val="000000"/>
                <w:sz w:val="18"/>
                <w:szCs w:val="18"/>
              </w:rPr>
            </w:pPr>
            <w:r>
              <w:rPr>
                <w:color w:val="000000"/>
                <w:sz w:val="18"/>
                <w:szCs w:val="18"/>
              </w:rPr>
              <w:t>Aasta</w:t>
            </w:r>
          </w:p>
        </w:tc>
        <w:tc>
          <w:tcPr>
            <w:tcW w:w="2254" w:type="dxa"/>
          </w:tcPr>
          <w:p w:rsidR="00B263F8" w:rsidRPr="0009787B" w:rsidRDefault="00B263F8" w:rsidP="00B956FC">
            <w:pPr>
              <w:cnfStyle w:val="100000000000"/>
              <w:rPr>
                <w:color w:val="000000"/>
                <w:sz w:val="18"/>
                <w:szCs w:val="18"/>
              </w:rPr>
            </w:pPr>
            <w:r w:rsidRPr="0009787B">
              <w:rPr>
                <w:color w:val="000000"/>
                <w:sz w:val="18"/>
                <w:szCs w:val="18"/>
              </w:rPr>
              <w:t>Suletud netopind (tuh, m²)</w:t>
            </w:r>
          </w:p>
        </w:tc>
        <w:tc>
          <w:tcPr>
            <w:tcW w:w="2254" w:type="dxa"/>
          </w:tcPr>
          <w:p w:rsidR="00B263F8" w:rsidRPr="0009787B" w:rsidRDefault="00B263F8" w:rsidP="00B956FC">
            <w:pPr>
              <w:cnfStyle w:val="100000000000"/>
              <w:rPr>
                <w:color w:val="000000"/>
                <w:sz w:val="18"/>
                <w:szCs w:val="18"/>
              </w:rPr>
            </w:pPr>
            <w:r w:rsidRPr="0009787B">
              <w:rPr>
                <w:color w:val="000000"/>
                <w:sz w:val="18"/>
                <w:szCs w:val="18"/>
              </w:rPr>
              <w:t>Kinnistute arv (tk)</w:t>
            </w:r>
          </w:p>
        </w:tc>
        <w:tc>
          <w:tcPr>
            <w:tcW w:w="2254" w:type="dxa"/>
          </w:tcPr>
          <w:p w:rsidR="00B263F8" w:rsidRPr="0009787B" w:rsidRDefault="00B263F8" w:rsidP="00B956FC">
            <w:pPr>
              <w:cnfStyle w:val="100000000000"/>
              <w:rPr>
                <w:color w:val="000000"/>
                <w:sz w:val="18"/>
                <w:szCs w:val="18"/>
              </w:rPr>
            </w:pPr>
            <w:r w:rsidRPr="0009787B">
              <w:rPr>
                <w:color w:val="000000"/>
                <w:sz w:val="18"/>
                <w:szCs w:val="18"/>
              </w:rPr>
              <w:t>Soetusmaksumus (mln, €)</w:t>
            </w:r>
          </w:p>
        </w:tc>
      </w:tr>
      <w:tr w:rsidR="00B263F8" w:rsidRPr="0009787B" w:rsidTr="00B956FC">
        <w:tc>
          <w:tcPr>
            <w:cnfStyle w:val="001000000000"/>
            <w:tcW w:w="2254" w:type="dxa"/>
          </w:tcPr>
          <w:p w:rsidR="00B263F8" w:rsidRPr="0009787B" w:rsidRDefault="00B263F8" w:rsidP="00B956FC">
            <w:pPr>
              <w:rPr>
                <w:color w:val="000000"/>
                <w:sz w:val="18"/>
                <w:szCs w:val="18"/>
              </w:rPr>
            </w:pPr>
            <w:r w:rsidRPr="0009787B">
              <w:rPr>
                <w:color w:val="000000"/>
                <w:sz w:val="18"/>
                <w:szCs w:val="18"/>
              </w:rPr>
              <w:t>2013</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59,6</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28</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10,7</w:t>
            </w:r>
          </w:p>
        </w:tc>
      </w:tr>
      <w:tr w:rsidR="00B263F8" w:rsidRPr="0009787B" w:rsidTr="00B956FC">
        <w:trPr>
          <w:trHeight w:val="100"/>
        </w:trPr>
        <w:tc>
          <w:tcPr>
            <w:cnfStyle w:val="001000000000"/>
            <w:tcW w:w="2254" w:type="dxa"/>
          </w:tcPr>
          <w:p w:rsidR="00B263F8" w:rsidRPr="0009787B" w:rsidRDefault="00B263F8" w:rsidP="00B956FC">
            <w:pPr>
              <w:rPr>
                <w:color w:val="000000"/>
                <w:sz w:val="18"/>
                <w:szCs w:val="18"/>
              </w:rPr>
            </w:pPr>
            <w:r w:rsidRPr="0009787B">
              <w:rPr>
                <w:color w:val="000000"/>
                <w:sz w:val="18"/>
                <w:szCs w:val="18"/>
              </w:rPr>
              <w:t>2014</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107</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33</w:t>
            </w:r>
          </w:p>
        </w:tc>
        <w:tc>
          <w:tcPr>
            <w:tcW w:w="2254" w:type="dxa"/>
          </w:tcPr>
          <w:p w:rsidR="00B263F8" w:rsidRPr="0009787B" w:rsidRDefault="00B263F8" w:rsidP="00B956FC">
            <w:pPr>
              <w:cnfStyle w:val="000000000000"/>
              <w:rPr>
                <w:color w:val="000000"/>
                <w:sz w:val="18"/>
                <w:szCs w:val="18"/>
              </w:rPr>
            </w:pPr>
            <w:r w:rsidRPr="0009787B">
              <w:rPr>
                <w:color w:val="000000"/>
                <w:sz w:val="18"/>
                <w:szCs w:val="18"/>
              </w:rPr>
              <w:t>10,4</w:t>
            </w:r>
          </w:p>
        </w:tc>
      </w:tr>
    </w:tbl>
    <w:p w:rsidR="00B263F8" w:rsidRDefault="00B263F8" w:rsidP="0009787B">
      <w:r w:rsidRPr="005458FB">
        <w:t>Arendusportfelli mahu moodustas 2014. aasta lõpu seisuga 33 erinevas staadiumis arendusprojekti suletud netopinnaga kokku 107</w:t>
      </w:r>
      <w:r w:rsidRPr="005458FB">
        <w:footnoteReference w:id="15"/>
      </w:r>
      <w:r w:rsidRPr="005458FB">
        <w:t xml:space="preserve"> tuhat m². Olulisematest 2014. aastal lisandunud</w:t>
      </w:r>
      <w:r>
        <w:t xml:space="preserve"> projektid on presidendi residentsi rajamine Tallinnas ja operatiivteenuste ühishoone arendamine Vormsil. </w:t>
      </w:r>
      <w:r w:rsidRPr="0009787B">
        <w:t xml:space="preserve">2014. aastal </w:t>
      </w:r>
      <w:r>
        <w:t xml:space="preserve">arendusportfelli teostatud </w:t>
      </w:r>
      <w:r w:rsidRPr="0009787B">
        <w:t xml:space="preserve">investeeringute maht </w:t>
      </w:r>
      <w:r>
        <w:t xml:space="preserve">oli </w:t>
      </w:r>
      <w:r w:rsidRPr="0009787B">
        <w:t>35,6 miljonit eurot</w:t>
      </w:r>
      <w:r>
        <w:t>.</w:t>
      </w:r>
    </w:p>
    <w:p w:rsidR="00B263F8" w:rsidRDefault="00B263F8" w:rsidP="00C413E7">
      <w:r w:rsidRPr="00C413E7">
        <w:t xml:space="preserve">2015. aastaks planeeritud investeeringute maht </w:t>
      </w:r>
      <w:r>
        <w:t xml:space="preserve">on </w:t>
      </w:r>
      <w:r w:rsidRPr="00C413E7">
        <w:t>48,4 miljonit eurot,</w:t>
      </w:r>
      <w:r>
        <w:t xml:space="preserve"> hõlmates vaid arendusportfelli kuuluvate objektide osas teostatavaid töid. Investeeringusuuruselt olulisemad objektid on Eesti Rahva Muuseum ja Eesti Rahvusarhiiv Tartus, Kaagvere kool ja Riigikontrolli uus hoone Tallinna vanalinnas ning Võru Politsei- ja Päästeameti uus ühishoone.</w:t>
      </w:r>
    </w:p>
    <w:p w:rsidR="00B263F8" w:rsidRDefault="00B263F8" w:rsidP="00190A17">
      <w:pPr>
        <w:pStyle w:val="Caption"/>
      </w:pPr>
      <w:r>
        <w:t xml:space="preserve">Tabel </w:t>
      </w:r>
      <w:fldSimple w:instr=" SEQ Tabel \* ARABIC ">
        <w:r w:rsidR="00477322">
          <w:rPr>
            <w:noProof/>
          </w:rPr>
          <w:t>10</w:t>
        </w:r>
      </w:fldSimple>
      <w:r>
        <w:t>. Valminud ja rekonstrueeritud objektid</w:t>
      </w:r>
    </w:p>
    <w:tbl>
      <w:tblPr>
        <w:tblStyle w:val="LightGrid-Accent16"/>
        <w:tblW w:w="9644" w:type="dxa"/>
        <w:jc w:val="center"/>
        <w:tblLook w:val="04A0"/>
      </w:tblPr>
      <w:tblGrid>
        <w:gridCol w:w="939"/>
        <w:gridCol w:w="2914"/>
        <w:gridCol w:w="1642"/>
        <w:gridCol w:w="1194"/>
        <w:gridCol w:w="987"/>
        <w:gridCol w:w="1968"/>
      </w:tblGrid>
      <w:tr w:rsidR="00B263F8" w:rsidRPr="00C413E7" w:rsidTr="005458FB">
        <w:trPr>
          <w:cnfStyle w:val="100000000000"/>
          <w:trHeight w:val="300"/>
          <w:tblHeader/>
          <w:jc w:val="center"/>
        </w:trPr>
        <w:tc>
          <w:tcPr>
            <w:cnfStyle w:val="001000000000"/>
            <w:tcW w:w="939" w:type="dxa"/>
            <w:shd w:val="clear" w:color="auto" w:fill="auto"/>
            <w:noWrap/>
            <w:hideMark/>
          </w:tcPr>
          <w:p w:rsidR="00B263F8" w:rsidRPr="00C413E7" w:rsidRDefault="00B263F8" w:rsidP="00B956FC">
            <w:pPr>
              <w:rPr>
                <w:rFonts w:eastAsia="Times New Roman"/>
                <w:color w:val="000000"/>
                <w:sz w:val="18"/>
                <w:szCs w:val="18"/>
                <w:lang w:eastAsia="et-EE"/>
              </w:rPr>
            </w:pPr>
            <w:r w:rsidRPr="00C413E7">
              <w:rPr>
                <w:rFonts w:eastAsia="Times New Roman"/>
                <w:color w:val="000000"/>
                <w:sz w:val="18"/>
                <w:szCs w:val="18"/>
                <w:lang w:eastAsia="et-EE"/>
              </w:rPr>
              <w:t>Aasta</w:t>
            </w:r>
          </w:p>
        </w:tc>
        <w:tc>
          <w:tcPr>
            <w:tcW w:w="2914" w:type="dxa"/>
            <w:shd w:val="clear" w:color="auto" w:fill="auto"/>
            <w:noWrap/>
            <w:hideMark/>
          </w:tcPr>
          <w:p w:rsidR="00B263F8" w:rsidRPr="00C413E7" w:rsidRDefault="00B263F8" w:rsidP="00B956FC">
            <w:pPr>
              <w:cnfStyle w:val="100000000000"/>
              <w:rPr>
                <w:rFonts w:eastAsia="Times New Roman"/>
                <w:color w:val="000000"/>
                <w:sz w:val="18"/>
                <w:szCs w:val="18"/>
                <w:lang w:eastAsia="et-EE"/>
              </w:rPr>
            </w:pPr>
            <w:r w:rsidRPr="00C413E7">
              <w:rPr>
                <w:rFonts w:eastAsia="Times New Roman"/>
                <w:color w:val="000000"/>
                <w:sz w:val="18"/>
                <w:szCs w:val="18"/>
                <w:lang w:eastAsia="et-EE"/>
              </w:rPr>
              <w:t>Objekt</w:t>
            </w:r>
          </w:p>
        </w:tc>
        <w:tc>
          <w:tcPr>
            <w:tcW w:w="1642" w:type="dxa"/>
            <w:shd w:val="clear" w:color="auto" w:fill="auto"/>
            <w:noWrap/>
            <w:hideMark/>
          </w:tcPr>
          <w:p w:rsidR="00B263F8" w:rsidRPr="00C413E7" w:rsidRDefault="00B263F8" w:rsidP="00B956FC">
            <w:pPr>
              <w:jc w:val="center"/>
              <w:cnfStyle w:val="100000000000"/>
              <w:rPr>
                <w:rFonts w:eastAsia="Times New Roman"/>
                <w:color w:val="000000"/>
                <w:sz w:val="18"/>
                <w:szCs w:val="18"/>
                <w:lang w:eastAsia="et-EE"/>
              </w:rPr>
            </w:pPr>
            <w:r w:rsidRPr="00C413E7">
              <w:rPr>
                <w:rFonts w:eastAsia="Times New Roman"/>
                <w:color w:val="000000"/>
                <w:sz w:val="18"/>
                <w:szCs w:val="18"/>
                <w:lang w:eastAsia="et-EE"/>
              </w:rPr>
              <w:t xml:space="preserve">Investeeringu </w:t>
            </w:r>
            <w:r w:rsidRPr="00C413E7">
              <w:rPr>
                <w:rFonts w:eastAsia="Times New Roman"/>
                <w:color w:val="000000"/>
                <w:sz w:val="18"/>
                <w:szCs w:val="18"/>
                <w:lang w:eastAsia="et-EE"/>
              </w:rPr>
              <w:br/>
              <w:t>maht (mln €, üldkuludeta)</w:t>
            </w:r>
          </w:p>
        </w:tc>
        <w:tc>
          <w:tcPr>
            <w:tcW w:w="1194" w:type="dxa"/>
          </w:tcPr>
          <w:p w:rsidR="00B263F8" w:rsidRPr="00C413E7" w:rsidRDefault="00B263F8" w:rsidP="005458FB">
            <w:pPr>
              <w:jc w:val="center"/>
              <w:cnfStyle w:val="100000000000"/>
              <w:rPr>
                <w:rFonts w:eastAsia="Times New Roman"/>
                <w:color w:val="000000"/>
                <w:sz w:val="18"/>
                <w:szCs w:val="18"/>
                <w:lang w:eastAsia="et-EE"/>
              </w:rPr>
            </w:pPr>
            <w:r w:rsidRPr="00C413E7">
              <w:rPr>
                <w:rFonts w:eastAsia="Times New Roman"/>
                <w:color w:val="000000"/>
                <w:sz w:val="18"/>
                <w:szCs w:val="18"/>
                <w:lang w:eastAsia="et-EE"/>
              </w:rPr>
              <w:t>Valmis uut pinda</w:t>
            </w:r>
            <w:r w:rsidRPr="00C413E7">
              <w:rPr>
                <w:rStyle w:val="FootnoteReference"/>
                <w:color w:val="000000"/>
                <w:sz w:val="18"/>
                <w:szCs w:val="18"/>
                <w:lang w:eastAsia="et-EE"/>
              </w:rPr>
              <w:footnoteReference w:id="16"/>
            </w:r>
            <w:r w:rsidRPr="00C413E7">
              <w:rPr>
                <w:rFonts w:eastAsia="Times New Roman"/>
                <w:color w:val="000000"/>
                <w:sz w:val="18"/>
                <w:szCs w:val="18"/>
                <w:lang w:eastAsia="et-EE"/>
              </w:rPr>
              <w:t xml:space="preserve"> (m²)</w:t>
            </w:r>
          </w:p>
        </w:tc>
        <w:tc>
          <w:tcPr>
            <w:tcW w:w="987" w:type="dxa"/>
          </w:tcPr>
          <w:p w:rsidR="00B263F8" w:rsidRPr="00C413E7" w:rsidRDefault="00B263F8" w:rsidP="00B956FC">
            <w:pPr>
              <w:jc w:val="center"/>
              <w:cnfStyle w:val="100000000000"/>
              <w:rPr>
                <w:rFonts w:eastAsia="Times New Roman"/>
                <w:color w:val="000000"/>
                <w:sz w:val="18"/>
                <w:szCs w:val="18"/>
                <w:lang w:eastAsia="et-EE"/>
              </w:rPr>
            </w:pPr>
            <w:r w:rsidRPr="00C413E7">
              <w:rPr>
                <w:rFonts w:eastAsia="Times New Roman"/>
                <w:color w:val="000000"/>
                <w:sz w:val="18"/>
                <w:szCs w:val="18"/>
                <w:lang w:eastAsia="et-EE"/>
              </w:rPr>
              <w:t>Omanik</w:t>
            </w:r>
          </w:p>
        </w:tc>
        <w:tc>
          <w:tcPr>
            <w:tcW w:w="1968" w:type="dxa"/>
          </w:tcPr>
          <w:p w:rsidR="00B263F8" w:rsidRPr="00C413E7" w:rsidRDefault="00B263F8" w:rsidP="00B956FC">
            <w:pPr>
              <w:jc w:val="center"/>
              <w:cnfStyle w:val="100000000000"/>
              <w:rPr>
                <w:rFonts w:eastAsia="Times New Roman"/>
                <w:color w:val="000000"/>
                <w:sz w:val="18"/>
                <w:szCs w:val="18"/>
                <w:lang w:eastAsia="et-EE"/>
              </w:rPr>
            </w:pPr>
            <w:r w:rsidRPr="00C413E7">
              <w:rPr>
                <w:rFonts w:eastAsia="Times New Roman"/>
                <w:color w:val="000000"/>
                <w:sz w:val="18"/>
                <w:szCs w:val="18"/>
                <w:lang w:eastAsia="et-EE"/>
              </w:rPr>
              <w:t>Kasutaja (Valitsemisala)</w:t>
            </w:r>
          </w:p>
        </w:tc>
      </w:tr>
      <w:tr w:rsidR="00B263F8" w:rsidRPr="00C413E7" w:rsidTr="005458FB">
        <w:trPr>
          <w:cnfStyle w:val="000000100000"/>
          <w:trHeight w:val="300"/>
          <w:jc w:val="center"/>
        </w:trPr>
        <w:tc>
          <w:tcPr>
            <w:cnfStyle w:val="001000000000"/>
            <w:tcW w:w="939" w:type="dxa"/>
            <w:vMerge w:val="restart"/>
            <w:shd w:val="clear" w:color="auto" w:fill="auto"/>
            <w:noWrap/>
            <w:vAlign w:val="center"/>
            <w:hideMark/>
          </w:tcPr>
          <w:p w:rsidR="00B263F8" w:rsidRPr="00C413E7" w:rsidRDefault="00B263F8" w:rsidP="00B956FC">
            <w:pPr>
              <w:rPr>
                <w:rFonts w:eastAsia="Times New Roman"/>
                <w:b w:val="0"/>
                <w:bCs w:val="0"/>
                <w:color w:val="000000"/>
                <w:sz w:val="18"/>
                <w:szCs w:val="18"/>
                <w:lang w:eastAsia="et-EE"/>
              </w:rPr>
            </w:pPr>
            <w:r w:rsidRPr="00C413E7">
              <w:rPr>
                <w:rFonts w:eastAsia="Times New Roman"/>
                <w:color w:val="000000"/>
                <w:sz w:val="18"/>
                <w:szCs w:val="18"/>
                <w:lang w:eastAsia="et-EE"/>
              </w:rPr>
              <w:t>2013</w:t>
            </w:r>
          </w:p>
          <w:p w:rsidR="00B263F8" w:rsidRPr="00C413E7" w:rsidRDefault="00B263F8" w:rsidP="00B956FC">
            <w:pPr>
              <w:jc w:val="center"/>
              <w:rPr>
                <w:rFonts w:eastAsia="Times New Roman"/>
                <w:color w:val="000000"/>
                <w:sz w:val="18"/>
                <w:szCs w:val="18"/>
                <w:lang w:eastAsia="et-EE"/>
              </w:rPr>
            </w:pPr>
          </w:p>
        </w:tc>
        <w:tc>
          <w:tcPr>
            <w:tcW w:w="2914" w:type="dxa"/>
            <w:shd w:val="clear" w:color="auto" w:fill="auto"/>
            <w:noWrap/>
            <w:hideMark/>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K. Aigro tn 5, Nõo alevik (Nõo Reaalgümnaasium)</w:t>
            </w:r>
          </w:p>
        </w:tc>
        <w:tc>
          <w:tcPr>
            <w:tcW w:w="1642" w:type="dxa"/>
            <w:shd w:val="clear" w:color="auto" w:fill="auto"/>
            <w:noWrap/>
            <w:hideMark/>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4,69</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5 555</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010000"/>
          <w:trHeight w:val="300"/>
          <w:jc w:val="center"/>
        </w:trPr>
        <w:tc>
          <w:tcPr>
            <w:cnfStyle w:val="001000000000"/>
            <w:tcW w:w="939" w:type="dxa"/>
            <w:vMerge/>
            <w:shd w:val="clear" w:color="auto" w:fill="auto"/>
            <w:noWrap/>
            <w:hideMark/>
          </w:tcPr>
          <w:p w:rsidR="00B263F8" w:rsidRPr="00C413E7" w:rsidRDefault="00B263F8" w:rsidP="00B956FC">
            <w:pPr>
              <w:rPr>
                <w:rFonts w:eastAsia="Times New Roman"/>
                <w:color w:val="000000"/>
                <w:sz w:val="18"/>
                <w:szCs w:val="18"/>
                <w:lang w:eastAsia="et-EE"/>
              </w:rPr>
            </w:pPr>
          </w:p>
        </w:tc>
        <w:tc>
          <w:tcPr>
            <w:tcW w:w="2914" w:type="dxa"/>
            <w:shd w:val="clear" w:color="auto" w:fill="auto"/>
            <w:noWrap/>
            <w:hideMark/>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Wiedemanni tn 15, Haapsalu (Haapsalu Gümnaasiumi rekonstrueerimine)</w:t>
            </w:r>
          </w:p>
        </w:tc>
        <w:tc>
          <w:tcPr>
            <w:tcW w:w="1642" w:type="dxa"/>
            <w:shd w:val="clear" w:color="auto" w:fill="auto"/>
            <w:noWrap/>
            <w:hideMark/>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2,0</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3 689</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100000"/>
          <w:trHeight w:val="300"/>
          <w:jc w:val="center"/>
        </w:trPr>
        <w:tc>
          <w:tcPr>
            <w:cnfStyle w:val="001000000000"/>
            <w:tcW w:w="939" w:type="dxa"/>
            <w:vMerge/>
            <w:shd w:val="clear" w:color="auto" w:fill="auto"/>
            <w:noWrap/>
            <w:hideMark/>
          </w:tcPr>
          <w:p w:rsidR="00B263F8" w:rsidRPr="00C413E7" w:rsidRDefault="00B263F8" w:rsidP="00B956FC">
            <w:pPr>
              <w:rPr>
                <w:rFonts w:eastAsia="Times New Roman"/>
                <w:color w:val="000000"/>
                <w:sz w:val="18"/>
                <w:szCs w:val="18"/>
                <w:lang w:eastAsia="et-EE"/>
              </w:rPr>
            </w:pPr>
          </w:p>
        </w:tc>
        <w:tc>
          <w:tcPr>
            <w:tcW w:w="2914" w:type="dxa"/>
            <w:shd w:val="clear" w:color="auto" w:fill="auto"/>
            <w:noWrap/>
            <w:hideMark/>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Rohu tn 10, Jõgeva (Jõgeva Gümnaasium)</w:t>
            </w:r>
          </w:p>
        </w:tc>
        <w:tc>
          <w:tcPr>
            <w:tcW w:w="1642" w:type="dxa"/>
            <w:shd w:val="clear" w:color="auto" w:fill="auto"/>
            <w:noWrap/>
            <w:hideMark/>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1,5</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2 805</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Hariduse tn 2, Viljandi (Viljandi Gümnaasiumi arendus)</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5,5</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5 349</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Vahtra tn 3, Narva (Narva Politsei ja Päästeameti ühishoone arendus)</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5,9</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5 158</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Kastani tn 9, Haapsalu (Haapsalu lastekodu rekonstrueerimine)</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1,2</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945</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Vanemuise tn 42, Tartu (Eesti Kirjandusmuuseumi rekonstrueerimine)</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2,7</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9 152</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Pargi tn 32, Räpina (Räpina Aianduskooli rekonstrueerimine)</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4,1</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7 772</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Hariduse tn 2, Vana-Vigala küla, Vigala vald (Vana-Vigala Tehnika- ja Teeninduskooli õpilaskodu rekonstrueerimine)</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3,6</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6 890</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Olümpiakeskus Tehvandi, Nüpli küla, Otepää vald (Tehvandi Spordikeskuse peahoone projekteerimis-ja ehitustööde projektijuhtimise teenus)</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2,1</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2 559</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KUM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Toompuiestee 24, Tallinn (RMK Tallinna kontori ehitustööde projektijuhtimine)</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1,4</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1 966</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KEM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Vanemuise tn 6, Tartu (Vanemuise väikese maja rekonstrueerimine)</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0,4</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3 785</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EV</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HTM</w:t>
            </w:r>
          </w:p>
        </w:tc>
      </w:tr>
      <w:tr w:rsidR="00B263F8" w:rsidRPr="00C413E7" w:rsidTr="005458FB">
        <w:trPr>
          <w:cnfStyle w:val="000000100000"/>
          <w:trHeight w:val="300"/>
          <w:jc w:val="center"/>
        </w:trPr>
        <w:tc>
          <w:tcPr>
            <w:cnfStyle w:val="001000000000"/>
            <w:tcW w:w="939" w:type="dxa"/>
            <w:vMerge w:val="restart"/>
            <w:shd w:val="clear" w:color="auto" w:fill="auto"/>
            <w:noWrap/>
            <w:hideMark/>
          </w:tcPr>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p>
          <w:p w:rsidR="00B263F8" w:rsidRPr="00C413E7" w:rsidRDefault="00B263F8" w:rsidP="00B956FC">
            <w:pPr>
              <w:jc w:val="center"/>
              <w:rPr>
                <w:rFonts w:eastAsia="Times New Roman"/>
                <w:color w:val="000000"/>
                <w:sz w:val="18"/>
                <w:szCs w:val="18"/>
                <w:lang w:eastAsia="et-EE"/>
              </w:rPr>
            </w:pPr>
            <w:r w:rsidRPr="00C413E7">
              <w:rPr>
                <w:rFonts w:eastAsia="Times New Roman"/>
                <w:color w:val="000000"/>
                <w:sz w:val="18"/>
                <w:szCs w:val="18"/>
                <w:lang w:eastAsia="et-EE"/>
              </w:rPr>
              <w:t>2014</w:t>
            </w: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Keskväljak 8a, Keila (Keila politseijaoskonna hoone arendus)</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1,3</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964</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Lai tn 28 ja 30, Tallinn (Eesti Tervishoiu Muuseumi rekonstrueerimine)</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0,8</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1 467</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KUM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Astangu tn 27, Tallinn (Astangu Kutserehabilitatsiooni Keskuse arendus)</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0,7</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3 871</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SOM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Alajõe kordon, Alajõe küla, Alajõe vald, Ida-Virumaa (Alajõe kordoni rekonstrueerimine)</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0,02</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737</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10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100000"/>
              <w:rPr>
                <w:rFonts w:eastAsia="Times New Roman"/>
                <w:color w:val="000000"/>
                <w:sz w:val="18"/>
                <w:szCs w:val="18"/>
                <w:lang w:eastAsia="et-EE"/>
              </w:rPr>
            </w:pPr>
            <w:r w:rsidRPr="00C413E7">
              <w:rPr>
                <w:rFonts w:eastAsia="Times New Roman"/>
                <w:color w:val="000000"/>
                <w:sz w:val="18"/>
                <w:szCs w:val="18"/>
                <w:lang w:eastAsia="et-EE"/>
              </w:rPr>
              <w:t>Osmussaare tee 2, Tallinn Tallinna Päästeameti ja Häirekeskuse ühishoone arendus</w:t>
            </w:r>
          </w:p>
        </w:tc>
        <w:tc>
          <w:tcPr>
            <w:tcW w:w="1642" w:type="dxa"/>
            <w:shd w:val="clear" w:color="auto" w:fill="auto"/>
            <w:noWrap/>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5,4</w:t>
            </w:r>
          </w:p>
        </w:tc>
        <w:tc>
          <w:tcPr>
            <w:tcW w:w="1194"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3 955</w:t>
            </w:r>
          </w:p>
        </w:tc>
        <w:tc>
          <w:tcPr>
            <w:tcW w:w="987"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10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010000"/>
          <w:trHeight w:val="300"/>
          <w:jc w:val="center"/>
        </w:trPr>
        <w:tc>
          <w:tcPr>
            <w:cnfStyle w:val="001000000000"/>
            <w:tcW w:w="939" w:type="dxa"/>
            <w:vMerge/>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cnfStyle w:val="000000010000"/>
              <w:rPr>
                <w:rFonts w:eastAsia="Times New Roman"/>
                <w:color w:val="000000"/>
                <w:sz w:val="18"/>
                <w:szCs w:val="18"/>
                <w:lang w:eastAsia="et-EE"/>
              </w:rPr>
            </w:pPr>
            <w:r w:rsidRPr="00C413E7">
              <w:rPr>
                <w:rFonts w:eastAsia="Times New Roman"/>
                <w:color w:val="000000"/>
                <w:sz w:val="18"/>
                <w:szCs w:val="18"/>
                <w:lang w:eastAsia="et-EE"/>
              </w:rPr>
              <w:t>Jaama 207 Tartu, Päästeameti ja Häirekeskuse ühishoone arendus</w:t>
            </w:r>
          </w:p>
        </w:tc>
        <w:tc>
          <w:tcPr>
            <w:tcW w:w="1642" w:type="dxa"/>
            <w:shd w:val="clear" w:color="auto" w:fill="auto"/>
            <w:noWrap/>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5,6</w:t>
            </w:r>
          </w:p>
        </w:tc>
        <w:tc>
          <w:tcPr>
            <w:tcW w:w="1194"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4 549</w:t>
            </w:r>
          </w:p>
        </w:tc>
        <w:tc>
          <w:tcPr>
            <w:tcW w:w="987"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RKAS</w:t>
            </w:r>
          </w:p>
        </w:tc>
        <w:tc>
          <w:tcPr>
            <w:tcW w:w="1968" w:type="dxa"/>
          </w:tcPr>
          <w:p w:rsidR="00B263F8" w:rsidRPr="00C413E7" w:rsidRDefault="00B263F8" w:rsidP="00B956FC">
            <w:pPr>
              <w:jc w:val="center"/>
              <w:cnfStyle w:val="000000010000"/>
              <w:rPr>
                <w:rFonts w:eastAsia="Times New Roman"/>
                <w:color w:val="000000"/>
                <w:sz w:val="18"/>
                <w:szCs w:val="18"/>
                <w:lang w:eastAsia="et-EE"/>
              </w:rPr>
            </w:pPr>
            <w:r w:rsidRPr="00C413E7">
              <w:rPr>
                <w:rFonts w:eastAsia="Times New Roman"/>
                <w:color w:val="000000"/>
                <w:sz w:val="18"/>
                <w:szCs w:val="18"/>
                <w:lang w:eastAsia="et-EE"/>
              </w:rPr>
              <w:t>SIM</w:t>
            </w:r>
          </w:p>
        </w:tc>
      </w:tr>
      <w:tr w:rsidR="00B263F8" w:rsidRPr="00C413E7" w:rsidTr="005458FB">
        <w:trPr>
          <w:cnfStyle w:val="000000100000"/>
          <w:trHeight w:val="300"/>
          <w:jc w:val="center"/>
        </w:trPr>
        <w:tc>
          <w:tcPr>
            <w:cnfStyle w:val="001000000000"/>
            <w:tcW w:w="939" w:type="dxa"/>
            <w:shd w:val="clear" w:color="auto" w:fill="auto"/>
            <w:noWrap/>
          </w:tcPr>
          <w:p w:rsidR="00B263F8" w:rsidRPr="00C413E7" w:rsidRDefault="00B263F8" w:rsidP="00B956FC">
            <w:pPr>
              <w:rPr>
                <w:rFonts w:eastAsia="Times New Roman"/>
                <w:color w:val="000000"/>
                <w:sz w:val="18"/>
                <w:szCs w:val="18"/>
                <w:lang w:eastAsia="et-EE"/>
              </w:rPr>
            </w:pPr>
          </w:p>
        </w:tc>
        <w:tc>
          <w:tcPr>
            <w:tcW w:w="2914" w:type="dxa"/>
            <w:shd w:val="clear" w:color="auto" w:fill="auto"/>
            <w:noWrap/>
          </w:tcPr>
          <w:p w:rsidR="00B263F8" w:rsidRPr="00C413E7" w:rsidRDefault="00B263F8" w:rsidP="00B956FC">
            <w:pPr>
              <w:jc w:val="right"/>
              <w:cnfStyle w:val="000000100000"/>
              <w:rPr>
                <w:rFonts w:eastAsia="Times New Roman"/>
                <w:color w:val="000000"/>
                <w:sz w:val="18"/>
                <w:szCs w:val="18"/>
                <w:lang w:eastAsia="et-EE"/>
              </w:rPr>
            </w:pPr>
            <w:r w:rsidRPr="00C413E7">
              <w:rPr>
                <w:rFonts w:eastAsia="Times New Roman"/>
                <w:b/>
                <w:color w:val="000000"/>
                <w:sz w:val="18"/>
                <w:szCs w:val="18"/>
                <w:lang w:eastAsia="et-EE"/>
              </w:rPr>
              <w:t xml:space="preserve">Kokku:    </w:t>
            </w:r>
          </w:p>
        </w:tc>
        <w:tc>
          <w:tcPr>
            <w:tcW w:w="1642" w:type="dxa"/>
            <w:shd w:val="clear" w:color="auto" w:fill="auto"/>
            <w:noWrap/>
          </w:tcPr>
          <w:p w:rsidR="00B263F8" w:rsidRPr="00C413E7" w:rsidRDefault="00B263F8" w:rsidP="00B956FC">
            <w:pPr>
              <w:jc w:val="center"/>
              <w:cnfStyle w:val="000000100000"/>
              <w:rPr>
                <w:rFonts w:eastAsia="Times New Roman"/>
                <w:b/>
                <w:color w:val="000000"/>
                <w:sz w:val="18"/>
                <w:szCs w:val="18"/>
                <w:lang w:eastAsia="et-EE"/>
              </w:rPr>
            </w:pPr>
            <w:r w:rsidRPr="00C413E7">
              <w:rPr>
                <w:rFonts w:eastAsia="Times New Roman"/>
                <w:b/>
                <w:color w:val="000000"/>
                <w:sz w:val="18"/>
                <w:szCs w:val="18"/>
                <w:lang w:eastAsia="et-EE"/>
              </w:rPr>
              <w:t>48,91</w:t>
            </w:r>
          </w:p>
        </w:tc>
        <w:tc>
          <w:tcPr>
            <w:tcW w:w="1194" w:type="dxa"/>
          </w:tcPr>
          <w:p w:rsidR="00B263F8" w:rsidRPr="00C413E7" w:rsidRDefault="00B263F8" w:rsidP="00B956FC">
            <w:pPr>
              <w:jc w:val="center"/>
              <w:cnfStyle w:val="000000100000"/>
              <w:rPr>
                <w:rFonts w:eastAsia="Times New Roman"/>
                <w:b/>
                <w:color w:val="000000"/>
                <w:sz w:val="18"/>
                <w:szCs w:val="18"/>
                <w:lang w:eastAsia="et-EE"/>
              </w:rPr>
            </w:pPr>
            <w:r w:rsidRPr="00C413E7">
              <w:rPr>
                <w:rFonts w:eastAsia="Times New Roman"/>
                <w:b/>
                <w:color w:val="000000"/>
                <w:sz w:val="18"/>
                <w:szCs w:val="18"/>
                <w:lang w:eastAsia="et-EE"/>
              </w:rPr>
              <w:t>71 168</w:t>
            </w:r>
          </w:p>
        </w:tc>
        <w:tc>
          <w:tcPr>
            <w:tcW w:w="987" w:type="dxa"/>
          </w:tcPr>
          <w:p w:rsidR="00B263F8" w:rsidRPr="00C413E7" w:rsidRDefault="00B263F8" w:rsidP="00B956FC">
            <w:pPr>
              <w:jc w:val="center"/>
              <w:cnfStyle w:val="000000100000"/>
              <w:rPr>
                <w:rFonts w:eastAsia="Times New Roman"/>
                <w:b/>
                <w:color w:val="000000"/>
                <w:sz w:val="18"/>
                <w:szCs w:val="18"/>
                <w:lang w:eastAsia="et-EE"/>
              </w:rPr>
            </w:pPr>
          </w:p>
        </w:tc>
        <w:tc>
          <w:tcPr>
            <w:tcW w:w="1968" w:type="dxa"/>
          </w:tcPr>
          <w:p w:rsidR="00B263F8" w:rsidRPr="00C413E7" w:rsidRDefault="00B263F8" w:rsidP="00B956FC">
            <w:pPr>
              <w:jc w:val="center"/>
              <w:cnfStyle w:val="000000100000"/>
              <w:rPr>
                <w:rFonts w:eastAsia="Times New Roman"/>
                <w:b/>
                <w:color w:val="000000"/>
                <w:sz w:val="18"/>
                <w:szCs w:val="18"/>
                <w:lang w:eastAsia="et-EE"/>
              </w:rPr>
            </w:pPr>
          </w:p>
        </w:tc>
      </w:tr>
    </w:tbl>
    <w:p w:rsidR="00B263F8" w:rsidRPr="005458FB" w:rsidRDefault="00B263F8" w:rsidP="002D40CC">
      <w:bookmarkStart w:id="498" w:name="_Toc424055168"/>
      <w:bookmarkStart w:id="499" w:name="_Toc424061838"/>
      <w:r w:rsidRPr="002D40CC">
        <w:rPr>
          <w:b/>
          <w:color w:val="0070C0"/>
          <w:u w:val="single"/>
        </w:rPr>
        <w:t>Müügiportfell</w:t>
      </w:r>
      <w:bookmarkEnd w:id="498"/>
      <w:bookmarkEnd w:id="499"/>
    </w:p>
    <w:p w:rsidR="00B263F8" w:rsidRDefault="00B263F8" w:rsidP="002D40CC">
      <w:pPr>
        <w:spacing w:before="120"/>
      </w:pPr>
      <w:r>
        <w:t xml:space="preserve">Müügiportfellis on vara, mis on selle kasutaja (ministeerium või selle allasutus) poolt defineeritud kui tegevuseks mittevajalik vara ehk varale ei ole sõlmitud või on lõppenud selle kasutamiseks üüri- või rendileping. Siia kuulub ka vara, mis on kasutaja poolt küll vajalik, kuid mis riigi seisukohalt on mittevajalik, hõlmates muuhulgas üürilepinguga koormatud endiseid tööandja elamispindu. </w:t>
      </w:r>
    </w:p>
    <w:p w:rsidR="00B263F8" w:rsidRDefault="00B263F8" w:rsidP="00C413E7">
      <w:r>
        <w:t xml:space="preserve">2014. aasta lõpu seisuga oli </w:t>
      </w:r>
      <w:r>
        <w:rPr>
          <w:rFonts w:ascii="TT15Et00" w:hAnsi="TT15Et00"/>
        </w:rPr>
        <w:t xml:space="preserve">müügiportfellis </w:t>
      </w:r>
      <w:r>
        <w:t xml:space="preserve">kokku </w:t>
      </w:r>
      <w:r>
        <w:rPr>
          <w:rFonts w:ascii="TT15Et00" w:hAnsi="TT15Et00"/>
        </w:rPr>
        <w:t xml:space="preserve">212 kinnisasja </w:t>
      </w:r>
      <w:r>
        <w:t xml:space="preserve">soetusmaksumusega kokku </w:t>
      </w:r>
      <w:r>
        <w:rPr>
          <w:rFonts w:ascii="TT15Et00" w:hAnsi="TT15Et00"/>
        </w:rPr>
        <w:t>12,6 mln EUR</w:t>
      </w:r>
      <w:r>
        <w:t>. Korterite osakaal kogu müügiportfellist moodustas 39% (tükiarvuliselt), samas kui soetusmaksumusest moodustasid need ca 13%, sest valdav osa kortereid paikneb Eesti väikeasulates, kus korterite hinnad on madalad.</w:t>
      </w:r>
      <w:r w:rsidRPr="000C65F2">
        <w:t xml:space="preserve"> </w:t>
      </w:r>
      <w:r>
        <w:t>2013. – 2014. aastal oli RKAS prioriteediks realiseerida eelkõige müügiportfellis olevad korterid, vajalikku vara RKAS antud perioodil ei müünud (vt Lisa 2013. ja 2014. a müüdud objektide nimekiri).</w:t>
      </w:r>
    </w:p>
    <w:p w:rsidR="00B263F8" w:rsidRDefault="00B263F8" w:rsidP="005458FB">
      <w:pPr>
        <w:pStyle w:val="Caption"/>
        <w:jc w:val="both"/>
      </w:pPr>
      <w:r>
        <w:t xml:space="preserve">Tabel </w:t>
      </w:r>
      <w:fldSimple w:instr=" SEQ Tabel \* ARABIC ">
        <w:r w:rsidR="00477322">
          <w:rPr>
            <w:noProof/>
          </w:rPr>
          <w:t>11</w:t>
        </w:r>
      </w:fldSimple>
      <w:r>
        <w:t>. Müügiportfelli koondülevaade.</w:t>
      </w:r>
    </w:p>
    <w:tbl>
      <w:tblPr>
        <w:tblStyle w:val="Heleruuttabel1rhk11"/>
        <w:tblW w:w="0" w:type="auto"/>
        <w:tblLook w:val="04A0"/>
      </w:tblPr>
      <w:tblGrid>
        <w:gridCol w:w="792"/>
        <w:gridCol w:w="1330"/>
        <w:gridCol w:w="1207"/>
        <w:gridCol w:w="1344"/>
        <w:gridCol w:w="1354"/>
        <w:gridCol w:w="1623"/>
        <w:gridCol w:w="1276"/>
      </w:tblGrid>
      <w:tr w:rsidR="00B263F8" w:rsidRPr="00C413E7" w:rsidTr="00B956FC">
        <w:trPr>
          <w:cnfStyle w:val="100000000000"/>
        </w:trPr>
        <w:tc>
          <w:tcPr>
            <w:cnfStyle w:val="001000000000"/>
            <w:tcW w:w="792" w:type="dxa"/>
          </w:tcPr>
          <w:p w:rsidR="00B263F8" w:rsidRPr="00C413E7" w:rsidRDefault="00B263F8" w:rsidP="00B956FC">
            <w:pPr>
              <w:rPr>
                <w:color w:val="000000"/>
                <w:sz w:val="18"/>
                <w:szCs w:val="18"/>
              </w:rPr>
            </w:pPr>
            <w:r>
              <w:rPr>
                <w:color w:val="000000"/>
                <w:sz w:val="18"/>
                <w:szCs w:val="18"/>
              </w:rPr>
              <w:t>Aasta</w:t>
            </w:r>
          </w:p>
        </w:tc>
        <w:tc>
          <w:tcPr>
            <w:tcW w:w="1330" w:type="dxa"/>
          </w:tcPr>
          <w:p w:rsidR="00B263F8" w:rsidRPr="00C413E7" w:rsidRDefault="00B263F8" w:rsidP="00B956FC">
            <w:pPr>
              <w:cnfStyle w:val="100000000000"/>
              <w:rPr>
                <w:color w:val="000000"/>
                <w:sz w:val="18"/>
                <w:szCs w:val="18"/>
              </w:rPr>
            </w:pPr>
            <w:r w:rsidRPr="00C413E7">
              <w:rPr>
                <w:color w:val="000000"/>
                <w:sz w:val="18"/>
                <w:szCs w:val="18"/>
              </w:rPr>
              <w:t>Vara soetus-maksumus (mln, €)</w:t>
            </w:r>
          </w:p>
        </w:tc>
        <w:tc>
          <w:tcPr>
            <w:tcW w:w="1207" w:type="dxa"/>
          </w:tcPr>
          <w:p w:rsidR="00B263F8" w:rsidRPr="00C413E7" w:rsidRDefault="00B263F8" w:rsidP="00B956FC">
            <w:pPr>
              <w:cnfStyle w:val="100000000000"/>
              <w:rPr>
                <w:color w:val="000000"/>
                <w:sz w:val="18"/>
                <w:szCs w:val="18"/>
              </w:rPr>
            </w:pPr>
            <w:r w:rsidRPr="00C413E7">
              <w:rPr>
                <w:color w:val="000000"/>
                <w:sz w:val="18"/>
                <w:szCs w:val="18"/>
              </w:rPr>
              <w:t>Kinnistute arv (tk)</w:t>
            </w:r>
          </w:p>
        </w:tc>
        <w:tc>
          <w:tcPr>
            <w:tcW w:w="1344" w:type="dxa"/>
          </w:tcPr>
          <w:p w:rsidR="00B263F8" w:rsidRPr="00C413E7" w:rsidRDefault="00B263F8" w:rsidP="00B956FC">
            <w:pPr>
              <w:cnfStyle w:val="100000000000"/>
              <w:rPr>
                <w:color w:val="000000"/>
                <w:sz w:val="18"/>
                <w:szCs w:val="18"/>
              </w:rPr>
            </w:pPr>
            <w:r w:rsidRPr="00C413E7">
              <w:rPr>
                <w:color w:val="000000"/>
                <w:sz w:val="18"/>
                <w:szCs w:val="18"/>
              </w:rPr>
              <w:t>Suletud netopind (tuh, m²)</w:t>
            </w:r>
          </w:p>
        </w:tc>
        <w:tc>
          <w:tcPr>
            <w:tcW w:w="1354" w:type="dxa"/>
          </w:tcPr>
          <w:p w:rsidR="00B263F8" w:rsidRPr="00C413E7" w:rsidRDefault="00B263F8" w:rsidP="00B956FC">
            <w:pPr>
              <w:cnfStyle w:val="100000000000"/>
              <w:rPr>
                <w:color w:val="000000"/>
                <w:sz w:val="18"/>
                <w:szCs w:val="18"/>
              </w:rPr>
            </w:pPr>
            <w:r w:rsidRPr="00C413E7">
              <w:rPr>
                <w:color w:val="000000"/>
                <w:sz w:val="18"/>
                <w:szCs w:val="18"/>
              </w:rPr>
              <w:t>Lisandunud pind (tuh, m²)</w:t>
            </w:r>
          </w:p>
        </w:tc>
        <w:tc>
          <w:tcPr>
            <w:tcW w:w="1623" w:type="dxa"/>
          </w:tcPr>
          <w:p w:rsidR="00B263F8" w:rsidRPr="00C413E7" w:rsidRDefault="00B263F8" w:rsidP="00B956FC">
            <w:pPr>
              <w:cnfStyle w:val="100000000000"/>
              <w:rPr>
                <w:color w:val="000000"/>
                <w:sz w:val="18"/>
                <w:szCs w:val="18"/>
              </w:rPr>
            </w:pPr>
            <w:r w:rsidRPr="00C413E7">
              <w:rPr>
                <w:color w:val="000000"/>
                <w:sz w:val="18"/>
                <w:szCs w:val="18"/>
              </w:rPr>
              <w:t>Müüdud vara suletud netopind (tuh, m²)</w:t>
            </w:r>
          </w:p>
        </w:tc>
        <w:tc>
          <w:tcPr>
            <w:tcW w:w="1276" w:type="dxa"/>
          </w:tcPr>
          <w:p w:rsidR="00B263F8" w:rsidRPr="00C413E7" w:rsidRDefault="00B263F8" w:rsidP="00B956FC">
            <w:pPr>
              <w:cnfStyle w:val="100000000000"/>
              <w:rPr>
                <w:color w:val="000000"/>
                <w:sz w:val="18"/>
                <w:szCs w:val="18"/>
              </w:rPr>
            </w:pPr>
            <w:r w:rsidRPr="00C413E7">
              <w:rPr>
                <w:color w:val="000000"/>
                <w:sz w:val="18"/>
                <w:szCs w:val="18"/>
              </w:rPr>
              <w:t>Müüdud vara müügihind (mln, €)</w:t>
            </w:r>
          </w:p>
        </w:tc>
      </w:tr>
      <w:tr w:rsidR="00B263F8" w:rsidRPr="00C413E7" w:rsidTr="00B956FC">
        <w:tc>
          <w:tcPr>
            <w:cnfStyle w:val="001000000000"/>
            <w:tcW w:w="792" w:type="dxa"/>
          </w:tcPr>
          <w:p w:rsidR="00B263F8" w:rsidRPr="00C413E7" w:rsidRDefault="00B263F8" w:rsidP="00B956FC">
            <w:pPr>
              <w:rPr>
                <w:color w:val="000000"/>
                <w:sz w:val="18"/>
                <w:szCs w:val="18"/>
              </w:rPr>
            </w:pPr>
            <w:r w:rsidRPr="00C413E7">
              <w:rPr>
                <w:color w:val="000000"/>
                <w:sz w:val="18"/>
                <w:szCs w:val="18"/>
              </w:rPr>
              <w:t>2013</w:t>
            </w:r>
          </w:p>
        </w:tc>
        <w:tc>
          <w:tcPr>
            <w:tcW w:w="1330" w:type="dxa"/>
          </w:tcPr>
          <w:p w:rsidR="00B263F8" w:rsidRPr="00C413E7" w:rsidRDefault="00B263F8" w:rsidP="00B956FC">
            <w:pPr>
              <w:cnfStyle w:val="000000000000"/>
              <w:rPr>
                <w:color w:val="000000"/>
                <w:sz w:val="18"/>
                <w:szCs w:val="18"/>
              </w:rPr>
            </w:pPr>
            <w:r w:rsidRPr="00C413E7">
              <w:rPr>
                <w:color w:val="000000"/>
                <w:sz w:val="18"/>
                <w:szCs w:val="18"/>
              </w:rPr>
              <w:t>12,4</w:t>
            </w:r>
          </w:p>
        </w:tc>
        <w:tc>
          <w:tcPr>
            <w:tcW w:w="1207" w:type="dxa"/>
          </w:tcPr>
          <w:p w:rsidR="00B263F8" w:rsidRPr="00C413E7" w:rsidRDefault="00B263F8" w:rsidP="00B956FC">
            <w:pPr>
              <w:cnfStyle w:val="000000000000"/>
              <w:rPr>
                <w:color w:val="000000"/>
                <w:sz w:val="18"/>
                <w:szCs w:val="18"/>
              </w:rPr>
            </w:pPr>
            <w:r w:rsidRPr="00C413E7">
              <w:rPr>
                <w:color w:val="000000"/>
                <w:sz w:val="18"/>
                <w:szCs w:val="18"/>
              </w:rPr>
              <w:t>335</w:t>
            </w:r>
          </w:p>
        </w:tc>
        <w:tc>
          <w:tcPr>
            <w:tcW w:w="1344" w:type="dxa"/>
          </w:tcPr>
          <w:p w:rsidR="00B263F8" w:rsidRPr="00C413E7" w:rsidRDefault="00B263F8" w:rsidP="00B956FC">
            <w:pPr>
              <w:cnfStyle w:val="000000000000"/>
              <w:rPr>
                <w:color w:val="000000"/>
                <w:sz w:val="18"/>
                <w:szCs w:val="18"/>
              </w:rPr>
            </w:pPr>
            <w:r w:rsidRPr="00C413E7">
              <w:rPr>
                <w:color w:val="000000"/>
                <w:sz w:val="18"/>
                <w:szCs w:val="18"/>
              </w:rPr>
              <w:t>154,2</w:t>
            </w:r>
          </w:p>
        </w:tc>
        <w:tc>
          <w:tcPr>
            <w:tcW w:w="1354" w:type="dxa"/>
          </w:tcPr>
          <w:p w:rsidR="00B263F8" w:rsidRPr="00C413E7" w:rsidRDefault="00B263F8" w:rsidP="00B956FC">
            <w:pPr>
              <w:cnfStyle w:val="000000000000"/>
              <w:rPr>
                <w:color w:val="000000"/>
                <w:sz w:val="18"/>
                <w:szCs w:val="18"/>
              </w:rPr>
            </w:pPr>
            <w:r w:rsidRPr="00C413E7">
              <w:rPr>
                <w:color w:val="000000"/>
                <w:sz w:val="18"/>
                <w:szCs w:val="18"/>
              </w:rPr>
              <w:t>49,1</w:t>
            </w:r>
          </w:p>
        </w:tc>
        <w:tc>
          <w:tcPr>
            <w:tcW w:w="1623" w:type="dxa"/>
          </w:tcPr>
          <w:p w:rsidR="00B263F8" w:rsidRPr="00C413E7" w:rsidRDefault="00B263F8" w:rsidP="00B956FC">
            <w:pPr>
              <w:cnfStyle w:val="000000000000"/>
              <w:rPr>
                <w:color w:val="000000"/>
                <w:sz w:val="18"/>
                <w:szCs w:val="18"/>
              </w:rPr>
            </w:pPr>
            <w:r w:rsidRPr="00C413E7">
              <w:rPr>
                <w:color w:val="000000"/>
                <w:sz w:val="18"/>
                <w:szCs w:val="18"/>
              </w:rPr>
              <w:t>55,5</w:t>
            </w:r>
          </w:p>
        </w:tc>
        <w:tc>
          <w:tcPr>
            <w:tcW w:w="1276" w:type="dxa"/>
          </w:tcPr>
          <w:p w:rsidR="00B263F8" w:rsidRPr="00C413E7" w:rsidRDefault="00B263F8" w:rsidP="00B956FC">
            <w:pPr>
              <w:cnfStyle w:val="000000000000"/>
              <w:rPr>
                <w:color w:val="000000"/>
                <w:sz w:val="18"/>
                <w:szCs w:val="18"/>
              </w:rPr>
            </w:pPr>
            <w:r w:rsidRPr="00C413E7">
              <w:rPr>
                <w:color w:val="000000"/>
                <w:sz w:val="18"/>
                <w:szCs w:val="18"/>
              </w:rPr>
              <w:t>4,9</w:t>
            </w:r>
          </w:p>
        </w:tc>
      </w:tr>
      <w:tr w:rsidR="00B263F8" w:rsidRPr="00C413E7" w:rsidTr="00B956FC">
        <w:tc>
          <w:tcPr>
            <w:cnfStyle w:val="001000000000"/>
            <w:tcW w:w="792" w:type="dxa"/>
          </w:tcPr>
          <w:p w:rsidR="00B263F8" w:rsidRPr="00C413E7" w:rsidRDefault="00B263F8" w:rsidP="00B956FC">
            <w:pPr>
              <w:rPr>
                <w:color w:val="000000"/>
                <w:sz w:val="18"/>
                <w:szCs w:val="18"/>
              </w:rPr>
            </w:pPr>
            <w:r w:rsidRPr="00C413E7">
              <w:rPr>
                <w:color w:val="000000"/>
                <w:sz w:val="18"/>
                <w:szCs w:val="18"/>
              </w:rPr>
              <w:t>2014</w:t>
            </w:r>
          </w:p>
        </w:tc>
        <w:tc>
          <w:tcPr>
            <w:tcW w:w="1330" w:type="dxa"/>
          </w:tcPr>
          <w:p w:rsidR="00B263F8" w:rsidRPr="00C413E7" w:rsidRDefault="00B263F8" w:rsidP="00B956FC">
            <w:pPr>
              <w:cnfStyle w:val="000000000000"/>
              <w:rPr>
                <w:color w:val="000000"/>
                <w:sz w:val="18"/>
                <w:szCs w:val="18"/>
              </w:rPr>
            </w:pPr>
            <w:r w:rsidRPr="00C413E7">
              <w:rPr>
                <w:color w:val="000000"/>
                <w:sz w:val="18"/>
                <w:szCs w:val="18"/>
              </w:rPr>
              <w:t>12,6</w:t>
            </w:r>
          </w:p>
        </w:tc>
        <w:tc>
          <w:tcPr>
            <w:tcW w:w="1207" w:type="dxa"/>
          </w:tcPr>
          <w:p w:rsidR="00B263F8" w:rsidRPr="00C413E7" w:rsidRDefault="00B263F8" w:rsidP="00B956FC">
            <w:pPr>
              <w:cnfStyle w:val="000000000000"/>
              <w:rPr>
                <w:color w:val="000000"/>
                <w:sz w:val="18"/>
                <w:szCs w:val="18"/>
              </w:rPr>
            </w:pPr>
            <w:r w:rsidRPr="00C413E7">
              <w:rPr>
                <w:color w:val="000000"/>
                <w:sz w:val="18"/>
                <w:szCs w:val="18"/>
              </w:rPr>
              <w:t>212</w:t>
            </w:r>
          </w:p>
        </w:tc>
        <w:tc>
          <w:tcPr>
            <w:tcW w:w="1344" w:type="dxa"/>
          </w:tcPr>
          <w:p w:rsidR="00B263F8" w:rsidRPr="00C413E7" w:rsidRDefault="00B263F8" w:rsidP="00B956FC">
            <w:pPr>
              <w:cnfStyle w:val="000000000000"/>
              <w:rPr>
                <w:color w:val="000000"/>
                <w:sz w:val="18"/>
                <w:szCs w:val="18"/>
              </w:rPr>
            </w:pPr>
            <w:r w:rsidRPr="00C413E7">
              <w:rPr>
                <w:color w:val="000000"/>
                <w:sz w:val="18"/>
                <w:szCs w:val="18"/>
              </w:rPr>
              <w:t>159,2</w:t>
            </w:r>
          </w:p>
        </w:tc>
        <w:tc>
          <w:tcPr>
            <w:tcW w:w="1354" w:type="dxa"/>
          </w:tcPr>
          <w:p w:rsidR="00B263F8" w:rsidRPr="00C413E7" w:rsidRDefault="00B263F8" w:rsidP="00B956FC">
            <w:pPr>
              <w:cnfStyle w:val="000000000000"/>
              <w:rPr>
                <w:color w:val="000000"/>
                <w:sz w:val="18"/>
                <w:szCs w:val="18"/>
              </w:rPr>
            </w:pPr>
            <w:r w:rsidRPr="00C413E7">
              <w:rPr>
                <w:color w:val="000000"/>
                <w:sz w:val="18"/>
                <w:szCs w:val="18"/>
              </w:rPr>
              <w:t>33,0</w:t>
            </w:r>
          </w:p>
        </w:tc>
        <w:tc>
          <w:tcPr>
            <w:tcW w:w="1623" w:type="dxa"/>
          </w:tcPr>
          <w:p w:rsidR="00B263F8" w:rsidRPr="00C413E7" w:rsidRDefault="00B263F8" w:rsidP="00B956FC">
            <w:pPr>
              <w:cnfStyle w:val="000000000000"/>
              <w:rPr>
                <w:color w:val="000000"/>
                <w:sz w:val="18"/>
                <w:szCs w:val="18"/>
              </w:rPr>
            </w:pPr>
            <w:r w:rsidRPr="00C413E7">
              <w:rPr>
                <w:color w:val="000000"/>
                <w:sz w:val="18"/>
                <w:szCs w:val="18"/>
              </w:rPr>
              <w:t>28,4</w:t>
            </w:r>
          </w:p>
        </w:tc>
        <w:tc>
          <w:tcPr>
            <w:tcW w:w="1276" w:type="dxa"/>
          </w:tcPr>
          <w:p w:rsidR="00B263F8" w:rsidRPr="00C413E7" w:rsidRDefault="00B263F8" w:rsidP="00B956FC">
            <w:pPr>
              <w:cnfStyle w:val="000000000000"/>
              <w:rPr>
                <w:color w:val="000000"/>
                <w:sz w:val="18"/>
                <w:szCs w:val="18"/>
              </w:rPr>
            </w:pPr>
            <w:r w:rsidRPr="00C413E7">
              <w:rPr>
                <w:color w:val="000000"/>
                <w:sz w:val="18"/>
                <w:szCs w:val="18"/>
              </w:rPr>
              <w:t>3,47</w:t>
            </w:r>
          </w:p>
        </w:tc>
      </w:tr>
    </w:tbl>
    <w:p w:rsidR="00B263F8" w:rsidRDefault="00B263F8" w:rsidP="00C413E7">
      <w:pPr>
        <w:rPr>
          <w:rFonts w:ascii="TT15Et00" w:hAnsi="TT15Et00"/>
        </w:rPr>
      </w:pPr>
      <w:r>
        <w:t xml:space="preserve">2015. aasta müügiprioriteet on kõrgete hoiukuludega objektid ja elukondlik kinnisvara. </w:t>
      </w:r>
      <w:r>
        <w:rPr>
          <w:rFonts w:ascii="TT15Et00" w:hAnsi="TT15Et00"/>
        </w:rPr>
        <w:t xml:space="preserve">2015. aasta </w:t>
      </w:r>
      <w:r>
        <w:t xml:space="preserve">müügiplaanis on </w:t>
      </w:r>
      <w:r w:rsidRPr="00C413E7">
        <w:t>146 kinnistut suletud netopinnaga suurusjärgus ca 120 000 m² alghinnas ca 9,9 miljonit eurot.</w:t>
      </w:r>
      <w:r>
        <w:rPr>
          <w:rFonts w:ascii="TT15Et00" w:hAnsi="TT15Et00"/>
        </w:rPr>
        <w:t xml:space="preserve"> </w:t>
      </w:r>
    </w:p>
    <w:p w:rsidR="00B263F8" w:rsidRPr="002D40CC" w:rsidRDefault="00B263F8" w:rsidP="002D40CC">
      <w:pPr>
        <w:rPr>
          <w:b/>
          <w:color w:val="0070C0"/>
          <w:u w:val="single"/>
        </w:rPr>
      </w:pPr>
      <w:bookmarkStart w:id="500" w:name="_Toc424055169"/>
      <w:bookmarkStart w:id="501" w:name="_Toc424061839"/>
      <w:r w:rsidRPr="002D40CC">
        <w:rPr>
          <w:b/>
          <w:color w:val="0070C0"/>
          <w:u w:val="single"/>
        </w:rPr>
        <w:t>Kinnisvara optimeerimine</w:t>
      </w:r>
      <w:bookmarkEnd w:id="500"/>
      <w:bookmarkEnd w:id="501"/>
    </w:p>
    <w:p w:rsidR="00B263F8" w:rsidRPr="000B08D5" w:rsidRDefault="00B263F8" w:rsidP="002D40CC">
      <w:pPr>
        <w:spacing w:before="120"/>
      </w:pPr>
      <w:r w:rsidRPr="000B08D5">
        <w:t xml:space="preserve">2014. aastal valmis esimene etapp Siseministeeriumi kinnisvara optimeerimiskavast. Esimese etapi ülesandeks oli saada ülevaade objektidest ning hinnata rahalisi vajadusi remontideks ning parendusinvesteeringuteks ajavahemikul 2015 – 2025. Optimeerimise eesmärgiks laiemalt on tagada pinna kasutajatele heas seisukorras, kasutaja spetsiifilistele nõuetele vastav, vajalikus asukohas ja majanduslikult mõistlike kuludega opereeritav töökeskkond. Optimeerimiskava väljatöötamise eelduseks ja sellele järgnevate tegevuste elluviimise aluseks on ministeeriumite poolt välja töötatavad </w:t>
      </w:r>
      <w:r w:rsidRPr="000B08D5">
        <w:rPr>
          <w:b/>
        </w:rPr>
        <w:t>pikaajalised valitsemisala strateegiad</w:t>
      </w:r>
      <w:r w:rsidRPr="000B08D5">
        <w:t>.</w:t>
      </w:r>
    </w:p>
    <w:p w:rsidR="00B263F8" w:rsidRPr="000B08D5" w:rsidRDefault="00B263F8" w:rsidP="00C413E7">
      <w:r w:rsidRPr="000B08D5">
        <w:t>Siseministeeriumi valitsemisalasse kuulub 495 objekti (suletud netopinna suurus 367 567 m</w:t>
      </w:r>
      <w:r w:rsidRPr="000B08D5">
        <w:rPr>
          <w:vertAlign w:val="superscript"/>
        </w:rPr>
        <w:t>2</w:t>
      </w:r>
      <w:r w:rsidRPr="000B08D5">
        <w:t>), sh lähiperspektiivi vaates kasutajale või omanikule mittevajalik vara. Optimeerimiskava väljatöötamisega analüüsiti</w:t>
      </w:r>
      <w:r w:rsidR="00F96800">
        <w:t xml:space="preserve"> </w:t>
      </w:r>
      <w:r w:rsidRPr="000B08D5">
        <w:t>286 objekti suletud netopinnaga 244 421 m</w:t>
      </w:r>
      <w:r w:rsidRPr="000B08D5">
        <w:rPr>
          <w:vertAlign w:val="superscript"/>
        </w:rPr>
        <w:t>2</w:t>
      </w:r>
      <w:r w:rsidRPr="000B08D5">
        <w:t>, millest üürilepinguga on kaetud 219 548 m</w:t>
      </w:r>
      <w:r w:rsidRPr="000B08D5">
        <w:rPr>
          <w:vertAlign w:val="superscript"/>
        </w:rPr>
        <w:t>2</w:t>
      </w:r>
      <w:r w:rsidRPr="000B08D5">
        <w:t xml:space="preserve">, arvestati ka ajaperioodil 2015 – 2025 planeeritavate uute hoonetega. </w:t>
      </w:r>
    </w:p>
    <w:p w:rsidR="00B263F8" w:rsidRPr="000B08D5" w:rsidRDefault="00B263F8" w:rsidP="00C413E7">
      <w:r w:rsidRPr="000B08D5">
        <w:t>Analüüsiti varasid, mis kuuluvad:</w:t>
      </w:r>
    </w:p>
    <w:p w:rsidR="00B263F8" w:rsidRPr="000B08D5" w:rsidRDefault="00B263F8" w:rsidP="00C413E7">
      <w:pPr>
        <w:pStyle w:val="Loend1"/>
      </w:pPr>
      <w:r w:rsidRPr="000B08D5">
        <w:t>RKAS</w:t>
      </w:r>
      <w:r>
        <w:t>-</w:t>
      </w:r>
      <w:r w:rsidRPr="000B08D5">
        <w:t>ile ja mis on koormatud üürilepinguga Siseministeeriumi või ministeeriumi valitsemisala asutuse kasuks</w:t>
      </w:r>
    </w:p>
    <w:p w:rsidR="00B263F8" w:rsidRPr="000B08D5" w:rsidRDefault="00B263F8" w:rsidP="00C413E7">
      <w:pPr>
        <w:pStyle w:val="Loend1"/>
      </w:pPr>
      <w:r w:rsidRPr="000B08D5">
        <w:t>Siseministeeriumile või ministeeriumi valitsemisala asutusele, millel kehtib korrashoiuteenuse leping RKAS</w:t>
      </w:r>
      <w:r>
        <w:t>-</w:t>
      </w:r>
      <w:r w:rsidRPr="000B08D5">
        <w:t>iga</w:t>
      </w:r>
    </w:p>
    <w:p w:rsidR="00B263F8" w:rsidRPr="000B08D5" w:rsidRDefault="00B263F8" w:rsidP="00C413E7">
      <w:pPr>
        <w:pStyle w:val="Loend1"/>
      </w:pPr>
      <w:r w:rsidRPr="000B08D5">
        <w:t>kolmandatele isikutele, mis on koormatud üürilepinguga Siseministeeriumi või ministeeriumi valitsemisala asutuse kasuks ning milledele on sõlmitud korrashoiuteenuse leping RKAS</w:t>
      </w:r>
      <w:r>
        <w:t>-</w:t>
      </w:r>
      <w:r w:rsidRPr="000B08D5">
        <w:t>iga</w:t>
      </w:r>
    </w:p>
    <w:p w:rsidR="00B263F8" w:rsidRPr="000B08D5" w:rsidRDefault="00B263F8" w:rsidP="00C413E7">
      <w:pPr>
        <w:pStyle w:val="Loend1"/>
      </w:pPr>
      <w:r w:rsidRPr="000B08D5">
        <w:t>kolmandatele isikutele ning kus vaheüürnikuna Siseministeeriumi või ministeeriumi valitsemisala asutusele on RKAS.</w:t>
      </w:r>
    </w:p>
    <w:p w:rsidR="00B263F8" w:rsidRPr="00C413E7" w:rsidRDefault="00B263F8" w:rsidP="00C413E7">
      <w:r w:rsidRPr="00C413E7">
        <w:t>Siseministeeriumi kinnisvara analüüs näitas</w:t>
      </w:r>
      <w:r w:rsidRPr="00C413E7">
        <w:rPr>
          <w:vertAlign w:val="superscript"/>
        </w:rPr>
        <w:footnoteReference w:id="17"/>
      </w:r>
      <w:r w:rsidRPr="00C413E7">
        <w:t>:</w:t>
      </w:r>
    </w:p>
    <w:p w:rsidR="00B263F8" w:rsidRPr="000B08D5" w:rsidRDefault="00B263F8" w:rsidP="005458FB">
      <w:pPr>
        <w:spacing w:after="120" w:line="276" w:lineRule="auto"/>
        <w:jc w:val="center"/>
        <w:rPr>
          <w:rFonts w:ascii="Times New Roman" w:hAnsi="Times New Roman"/>
        </w:rPr>
      </w:pPr>
      <w:r w:rsidRPr="000B08D5">
        <w:rPr>
          <w:rFonts w:ascii="Times New Roman" w:hAnsi="Times New Roman"/>
          <w:noProof/>
          <w:lang w:eastAsia="et-EE"/>
        </w:rPr>
        <w:drawing>
          <wp:inline distT="0" distB="0" distL="0" distR="0">
            <wp:extent cx="5040066" cy="2536466"/>
            <wp:effectExtent l="0" t="0" r="8255" b="0"/>
            <wp:docPr id="50" name="Sisu kohatäide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isu kohatäide 3"/>
                    <pic:cNvPicPr>
                      <a:picLocks noGrp="1"/>
                    </pic:cNvPicPr>
                  </pic:nvPicPr>
                  <pic:blipFill>
                    <a:blip r:embed="rId8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9785" cy="2536325"/>
                    </a:xfrm>
                    <a:prstGeom prst="rect">
                      <a:avLst/>
                    </a:prstGeom>
                    <a:noFill/>
                  </pic:spPr>
                </pic:pic>
              </a:graphicData>
            </a:graphic>
          </wp:inline>
        </w:drawing>
      </w:r>
    </w:p>
    <w:p w:rsidR="00B263F8" w:rsidRPr="000B08D5" w:rsidRDefault="00B263F8" w:rsidP="00C413E7">
      <w:r>
        <w:t xml:space="preserve">Seega, </w:t>
      </w:r>
      <w:r w:rsidRPr="000B08D5">
        <w:t xml:space="preserve">ajavahemikul 2015 – 2025 on rahaline vajadus Siseministeeriumi ning ministeeriumi valitsemisala asutuse kasutuses olevate olemasolevate hoonete seisukorda „hea“ või „väga hea“ viimiseks ning uute hoonete ehitamiseks ca 210 mln eurot, millest 35% on remonttööde </w:t>
      </w:r>
      <w:r w:rsidR="002D40CC">
        <w:t xml:space="preserve">rahaline vajadus. </w:t>
      </w:r>
      <w:r w:rsidRPr="000B08D5">
        <w:t>Tänase rahastamise korra juures oleks ajavahemiku 2015 – 2025 remonttööde akumuleeritud rahaline puudujääk ainuüksi Siseministeeriumi vaates ca 35 mln eurot.</w:t>
      </w:r>
    </w:p>
    <w:p w:rsidR="00B263F8" w:rsidRPr="000B08D5" w:rsidRDefault="00B263F8" w:rsidP="005458FB">
      <w:pPr>
        <w:spacing w:after="120" w:line="276" w:lineRule="auto"/>
        <w:jc w:val="center"/>
        <w:rPr>
          <w:rFonts w:ascii="Times New Roman" w:hAnsi="Times New Roman"/>
        </w:rPr>
      </w:pPr>
      <w:r w:rsidRPr="000B08D5">
        <w:rPr>
          <w:rFonts w:ascii="Times New Roman" w:hAnsi="Times New Roman"/>
          <w:noProof/>
          <w:lang w:eastAsia="et-EE"/>
        </w:rPr>
        <w:drawing>
          <wp:inline distT="0" distB="0" distL="0" distR="0">
            <wp:extent cx="5208104" cy="2520564"/>
            <wp:effectExtent l="0" t="0" r="0" b="0"/>
            <wp:docPr id="51" name="Sisu kohatäide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Sisu kohatäide 3"/>
                    <pic:cNvPicPr>
                      <a:picLocks noGrp="1"/>
                    </pic:cNvPicPr>
                  </pic:nvPicPr>
                  <pic:blipFill>
                    <a:blip r:embed="rId8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850" cy="2519957"/>
                    </a:xfrm>
                    <a:prstGeom prst="rect">
                      <a:avLst/>
                    </a:prstGeom>
                    <a:noFill/>
                  </pic:spPr>
                </pic:pic>
              </a:graphicData>
            </a:graphic>
          </wp:inline>
        </w:drawing>
      </w:r>
    </w:p>
    <w:p w:rsidR="00B263F8" w:rsidRPr="000B08D5" w:rsidRDefault="00B263F8" w:rsidP="00C413E7">
      <w:r w:rsidRPr="000B08D5">
        <w:t>2015. aastal jätkatakse Siseministeeriumi optimeerimiskava II etapiga ehk pinnakasutuse analüüsiga.  See eeldab spetsiifilist personali- ja ruumivajaduse analüüsi. II etapi töö tulemus on edaspidi suuniseks remonttööde ja investeeringute planeerimisel.</w:t>
      </w:r>
    </w:p>
    <w:p w:rsidR="00B263F8" w:rsidRPr="000B08D5" w:rsidRDefault="00B263F8" w:rsidP="00C413E7">
      <w:r w:rsidRPr="000B08D5">
        <w:t xml:space="preserve">2015. aastal alustatakse Sotsiaalministeeriumi, Keskkonnaministeeriumi ja Justiitsministeeriumi optimeerimiskava I etapi väljatöötamisega. </w:t>
      </w:r>
    </w:p>
    <w:p w:rsidR="00B263F8" w:rsidRPr="002D40CC" w:rsidRDefault="00B263F8" w:rsidP="002D40CC">
      <w:pPr>
        <w:rPr>
          <w:b/>
          <w:color w:val="0070C0"/>
          <w:u w:val="single"/>
        </w:rPr>
      </w:pPr>
      <w:bookmarkStart w:id="502" w:name="_Toc424055170"/>
      <w:bookmarkStart w:id="503" w:name="_Toc424061840"/>
      <w:r w:rsidRPr="002D40CC">
        <w:rPr>
          <w:b/>
          <w:color w:val="0070C0"/>
          <w:u w:val="single"/>
        </w:rPr>
        <w:t>Energiatõhususe ning koostöö- ja arendustegevuse roll RKAS-i strateegias</w:t>
      </w:r>
      <w:bookmarkEnd w:id="502"/>
      <w:bookmarkEnd w:id="503"/>
    </w:p>
    <w:p w:rsidR="00B263F8" w:rsidRPr="005E4D0D" w:rsidRDefault="00B263F8" w:rsidP="002D40CC">
      <w:pPr>
        <w:spacing w:before="120"/>
      </w:pPr>
      <w:r w:rsidRPr="005E4D0D">
        <w:t>RKAS</w:t>
      </w:r>
      <w:r>
        <w:t>-</w:t>
      </w:r>
      <w:r w:rsidRPr="005E4D0D">
        <w:t xml:space="preserve">i visiooniks ja strateegiliseks eesmärgiks on 2017. aastaks olla riigisektori kinnisvara kompetentsikeskuseks energiatõhususe valdkonnas. Tänaseks on eesmärgini jõudmiseks esimesed sammud tehtud. </w:t>
      </w:r>
    </w:p>
    <w:p w:rsidR="00B263F8" w:rsidRPr="005E4D0D" w:rsidRDefault="00B263F8" w:rsidP="00C413E7">
      <w:r w:rsidRPr="005E4D0D">
        <w:t>RKAS</w:t>
      </w:r>
      <w:r>
        <w:t>-</w:t>
      </w:r>
      <w:r w:rsidRPr="005E4D0D">
        <w:t>i üheks prioriteediks on pakkuda oma klientidele kvaliteetseid ja nõuetele vastava sisekliimaga üüripindasid. Portfellis oleva vara sisekliima seisundi kaardistamiseks on koostöös Tallinna Tehnikaülikooli ja Majandus- ja Kommunikatsiooniministeeriumiga valmimas 2015.a määrus ,,Sisekliima miinimumnõuded“ koos juhendmaterjaliga sisekliima klassifitseerimiseks ja hindamiseks. Metoodika valmimise järgselt asume kaardistama portfelli, et lähitulevikus oleks võimalik üürilepingutes fikseerida ka sisekliimat puudutavad kvaliteedikriteeriumid. Kaardistus on oluliseks sisendiks remont- ja rekonstrueerimistööde planeerimisel.</w:t>
      </w:r>
    </w:p>
    <w:p w:rsidR="00B263F8" w:rsidRPr="005E4D0D" w:rsidRDefault="00B263F8" w:rsidP="00C413E7">
      <w:r w:rsidRPr="005E4D0D">
        <w:t>RKAS</w:t>
      </w:r>
      <w:r>
        <w:t>-</w:t>
      </w:r>
      <w:r w:rsidRPr="005E4D0D">
        <w:t>i haldusportfelli hoonetest on energiamärgis taotletud 244 hoonele. RKAS</w:t>
      </w:r>
      <w:r>
        <w:t>-</w:t>
      </w:r>
      <w:r w:rsidRPr="005E4D0D">
        <w:t>i eesmärgiks on, et 2017. aastaks on haldusportfelli sisekliima tagamisega hoonetel energiamärgised olemas. Suurimaks takistuseks olemasolevate hoonetele energiamärgiste tellimisel ja hankimisel on tarbimisandmete ja/või hoone põhise energiaarvestusvõimaluse puudumine</w:t>
      </w:r>
      <w:r w:rsidRPr="005E4D0D">
        <w:rPr>
          <w:rStyle w:val="FootnoteReference"/>
          <w:rFonts w:ascii="Times New Roman" w:hAnsi="Times New Roman"/>
        </w:rPr>
        <w:footnoteReference w:id="18"/>
      </w:r>
      <w:r w:rsidRPr="005E4D0D">
        <w:t>.</w:t>
      </w:r>
    </w:p>
    <w:p w:rsidR="00B263F8" w:rsidRPr="005E4D0D" w:rsidRDefault="00B263F8" w:rsidP="00C413E7">
      <w:r w:rsidRPr="005E4D0D">
        <w:t>RKAS teostab kuupõhist energia- ja veekasutuse registreerimist oma haldusinfosüsteemis ning teostab kvartaalset aruandlust monitooringuandmete põhjal. RKAS on võtnud vaatluse alla ja plaanib välja töötada energiasäästukavad TOP 20 suurima tarbimisega objektidel. Vaadeldakse nii absoluutnumbritelt suure tarbimisega, kui suure eritarbimisega objekte eesmärgiga saavutada vähemalt 5%</w:t>
      </w:r>
      <w:r>
        <w:t xml:space="preserve"> energiasääst võrreldes 2012. a</w:t>
      </w:r>
      <w:r w:rsidRPr="005E4D0D">
        <w:t xml:space="preserve"> baasaastaga. Erinevate avariide ja ülekulude varajasemaks ennetamiseks lisab RKAS hoonetele, kus on kaughalduses veearvestid, ülekulu häired 2015. a esimesel poolaastal. </w:t>
      </w:r>
    </w:p>
    <w:p w:rsidR="00B263F8" w:rsidRPr="005E4D0D" w:rsidRDefault="00B263F8" w:rsidP="00C413E7">
      <w:r w:rsidRPr="005E4D0D">
        <w:t>RKAS on partneriks rahvusvahelises koostööprojektis Total Concept. Lisaks Eestile on projekti kaasatud Rootsi, Taani, Norra ja Soome. Projekti ee</w:t>
      </w:r>
      <w:r>
        <w:t>s</w:t>
      </w:r>
      <w:r w:rsidRPr="005E4D0D">
        <w:t>märk on testida ja edasi arendada totaalprojekti metoodikat, mida RKAS plaanib kasutada TOP 20 suurima energiatarbega objektide energiasäästukavade väljatöötamisel. Totaalprojekt on energiaauditeerimismetoodika, mis on mõeldud mitteeluhoonetele. Metoodika eesmärk on välja töötada energiaauditeerimise kava koos detailsete majandusarvutustega. Tööde käigus koostatakse energiasäästumeetmete pakett, mis tagab nende elluviimisel auditeeri</w:t>
      </w:r>
      <w:r>
        <w:t>ta</w:t>
      </w:r>
      <w:r w:rsidRPr="005E4D0D">
        <w:t>va hoone omanikule tema poolt etteantud tootluse. Investeering ja tootlus kaetakse energiasäästu arvelt.</w:t>
      </w:r>
    </w:p>
    <w:p w:rsidR="00B263F8" w:rsidRPr="005E4D0D" w:rsidRDefault="00B263F8" w:rsidP="00C413E7">
      <w:r w:rsidRPr="005E4D0D">
        <w:t>2014. aastal töötati koos Tallinna Tehnikaülikooliga välja rohemärgiste</w:t>
      </w:r>
      <w:r w:rsidRPr="005E4D0D">
        <w:rPr>
          <w:rStyle w:val="FootnoteReference"/>
          <w:rFonts w:ascii="Times New Roman" w:hAnsi="Times New Roman"/>
        </w:rPr>
        <w:footnoteReference w:id="19"/>
      </w:r>
      <w:r w:rsidRPr="005E4D0D">
        <w:t xml:space="preserve"> juhendmaterjal, mis arvestab Eesti tingimuste eripärasid. Rohemärgis töötati välja maailmas laialt levinud LEED</w:t>
      </w:r>
      <w:r>
        <w:t>-</w:t>
      </w:r>
      <w:r w:rsidRPr="005E4D0D">
        <w:t>i ja BREAAM</w:t>
      </w:r>
      <w:r>
        <w:t>-</w:t>
      </w:r>
      <w:r w:rsidRPr="005E4D0D">
        <w:t>i kriteeriumide põhjal. Rohemärgiste laialdasemaks levikuks oleks vajalik ka riigipoolne positsioneerimine õigusaktides, mis võimaldaks rohemärgist nõuda näiteks riigihangetes ning seeläbi parandada ja tõ</w:t>
      </w:r>
      <w:r>
        <w:t>sta hoonete keskkonnaklassi.</w:t>
      </w:r>
    </w:p>
    <w:p w:rsidR="00B263F8" w:rsidRPr="005E4D0D" w:rsidRDefault="00B263F8" w:rsidP="00C413E7">
      <w:r w:rsidRPr="005E4D0D">
        <w:t>Lisaks uutele ehitatud hoonetele viidi 2014. aastal kaughaldusesse seitse olemasolevat hoonet. Väljaehitatud kaugseire ja –juhtimisega hoonete informatsiooni ärakasutamisega on võimalik saavutada suurem majanduslik efekt vähema inimtööjõu vajadusega. Vajalikud seireandmed saab koguda tsentraalsesse RKAS</w:t>
      </w:r>
      <w:r>
        <w:t>-</w:t>
      </w:r>
      <w:r w:rsidRPr="005E4D0D">
        <w:t xml:space="preserve">i infosüsteemi. See võimaldab objektidelt saadetavate alarmide korral automaatsete töövoogude tekitamist ning kaugloetavate arvestite andmete automaatset registreerimist, mistõttu vähenevad probleemidele reageerimise ajad ja mittevastavustest tulenevad kulud. </w:t>
      </w:r>
    </w:p>
    <w:p w:rsidR="00B263F8" w:rsidRDefault="00B263F8" w:rsidP="00C413E7">
      <w:r w:rsidRPr="005E4D0D">
        <w:t xml:space="preserve">2014. aastal teostas RKAS analüüsi </w:t>
      </w:r>
      <w:r w:rsidRPr="005E4D0D">
        <w:rPr>
          <w:i/>
        </w:rPr>
        <w:t>Energy Performance Contracting</w:t>
      </w:r>
      <w:r w:rsidRPr="005E4D0D">
        <w:t xml:space="preserve"> (energiatõhususe leping, </w:t>
      </w:r>
      <w:r w:rsidRPr="005E4D0D">
        <w:rPr>
          <w:i/>
        </w:rPr>
        <w:t>EPC</w:t>
      </w:r>
      <w:r w:rsidRPr="005E4D0D">
        <w:t>) rakendatavuse osas RKAS</w:t>
      </w:r>
      <w:r>
        <w:t>-</w:t>
      </w:r>
      <w:r w:rsidRPr="005E4D0D">
        <w:t>i haldusportfelli lõikes. Energiatõhususe leping on tellija ja töövõtja (üldjuhul ESCO – energiateenusettevõte) vahel, kus töövõtja poolt teostatud investeeringud energiasäästumeetmetesse tasutakse tellija poolt reaalse saavutatud energiasäästu alusel. Energiateenusettevõte on ettevõte, mis leiab energiaprojektile rahastusallika või aitab kliendil seda leida, teenib kasumit energiasäästumeetmete rakendumisest tulenevalt säästult ning annab säästu tekkele garantii, st kui eeldatud energiasäästu plaanitud mahus ei teki, siis ESCO kannab kahjud. Tulemused näitavad, et EPC</w:t>
      </w:r>
      <w:r>
        <w:t>-</w:t>
      </w:r>
      <w:r w:rsidRPr="005E4D0D">
        <w:t>d ei ole võimalik laialdaselt kasutusele võtta, kuna sobiva suurusega hooneid riigi ja RKAS</w:t>
      </w:r>
      <w:r>
        <w:t>-</w:t>
      </w:r>
      <w:r w:rsidRPr="005E4D0D">
        <w:t>i portfellis on vähe, energiateenusettevõtete huvi on kasin ning energiasäästu tõendamismetoodika on liialt keerukas. Lisaks eelpool toodule tuleb arvestada ka riigieelarvetasakaalust tuleneva barjääriga, mis ei võimaldada finantskohustuste kandmist.</w:t>
      </w:r>
    </w:p>
    <w:p w:rsidR="00B263F8" w:rsidRPr="002D40CC" w:rsidRDefault="00B263F8" w:rsidP="002D40CC">
      <w:pPr>
        <w:rPr>
          <w:b/>
          <w:color w:val="0070C0"/>
          <w:u w:val="single"/>
        </w:rPr>
      </w:pPr>
      <w:bookmarkStart w:id="504" w:name="_Toc424055171"/>
      <w:bookmarkStart w:id="505" w:name="_Toc424061841"/>
      <w:r w:rsidRPr="002D40CC">
        <w:rPr>
          <w:b/>
          <w:color w:val="0070C0"/>
          <w:u w:val="single"/>
        </w:rPr>
        <w:t>Kinnisvara müügi ja üürimise vahendamine.</w:t>
      </w:r>
      <w:bookmarkEnd w:id="504"/>
      <w:bookmarkEnd w:id="505"/>
    </w:p>
    <w:p w:rsidR="00B263F8" w:rsidRPr="00A170DA" w:rsidRDefault="00B263F8" w:rsidP="002D40CC">
      <w:pPr>
        <w:spacing w:before="120"/>
      </w:pPr>
      <w:r w:rsidRPr="00A170DA">
        <w:t>RKAS</w:t>
      </w:r>
      <w:r>
        <w:t>-i</w:t>
      </w:r>
      <w:r w:rsidRPr="00A170DA">
        <w:t xml:space="preserve"> poolt klientidele suunatud vahendusteenus sisaldab kinnisvara müügi ja vajadusel ka ostu korraldamist. Samuti aidatakse klientidel leida turult sobiv üüripind olukorras, kui RKASi portfellis seda ei leidu. </w:t>
      </w:r>
    </w:p>
    <w:p w:rsidR="00B263F8" w:rsidRPr="005C0892" w:rsidRDefault="00B263F8" w:rsidP="005C0892">
      <w:pPr>
        <w:pStyle w:val="ListParagraph"/>
      </w:pPr>
      <w:r w:rsidRPr="005C0892">
        <w:rPr>
          <w:b/>
        </w:rPr>
        <w:t>Kinnisvara müügi korraldamisel</w:t>
      </w:r>
      <w:r w:rsidRPr="005C0892">
        <w:t xml:space="preserve"> täpsustatakse turu olukorda ja objekti müügihinda, töötatakse välja müügistrateegia, koostatakse vajalikud müügitoetusmaterjalid, korraldatakse reklaam, enampakkumine ning vajadusel ka teisi tegevusi. RKAS esindab müüjat müügiga seotud läbirääkimisel ja koordineerib müügitehingu notariaalset sõlmimist. RKAS esitab regulaarselt aruande müügitegevuse jooksvate tulemuste kohta.</w:t>
      </w:r>
      <w:r w:rsidR="00F96800">
        <w:t xml:space="preserve"> </w:t>
      </w:r>
    </w:p>
    <w:p w:rsidR="00B263F8" w:rsidRPr="005C0892" w:rsidRDefault="00B263F8" w:rsidP="005C0892">
      <w:pPr>
        <w:pStyle w:val="ListParagraph"/>
      </w:pPr>
      <w:r w:rsidRPr="005C0892">
        <w:rPr>
          <w:b/>
        </w:rPr>
        <w:t>Üüripinna leidmise korraldamisel</w:t>
      </w:r>
      <w:r w:rsidRPr="005C0892">
        <w:t xml:space="preserve"> täpsustaktase kliendi vajadused, valmistatakse ette vajalik üüripäringu dokumentatsioon, avaldatakse üüripäring ajalehtedes ja RKAS-i kodulehel. RKAS hindab saadud pakkumusi ja viib läbi objektide ülevaatused. Samuti esindab RKAS klienti üürilepingu tingimuste läbirääkimistes ja pindade kasutusse võtmiseks vajalike ehitustehniliste ettevalmistustööde korraldamises.</w:t>
      </w:r>
      <w:r w:rsidR="00F96800">
        <w:t xml:space="preserve"> </w:t>
      </w:r>
    </w:p>
    <w:p w:rsidR="00B263F8" w:rsidRPr="00A170DA" w:rsidRDefault="00B263F8" w:rsidP="005C0892">
      <w:pPr>
        <w:pStyle w:val="ListParagraph"/>
        <w:spacing w:after="0"/>
        <w:rPr>
          <w:b/>
        </w:rPr>
      </w:pPr>
      <w:r w:rsidRPr="005C0892">
        <w:rPr>
          <w:b/>
        </w:rPr>
        <w:t>Teenuse</w:t>
      </w:r>
      <w:r w:rsidRPr="005C0892">
        <w:t xml:space="preserve"> </w:t>
      </w:r>
      <w:r w:rsidRPr="00A170DA">
        <w:rPr>
          <w:b/>
        </w:rPr>
        <w:t>hind</w:t>
      </w:r>
    </w:p>
    <w:p w:rsidR="00B263F8" w:rsidRPr="00A170DA" w:rsidRDefault="00B263F8" w:rsidP="00A170DA">
      <w:pPr>
        <w:pStyle w:val="Loend1"/>
      </w:pPr>
      <w:r w:rsidRPr="00A170DA">
        <w:t>Müügi korraldamise teenustasu on 1,5-3% müügitehingu väärtusest. Täpne protsent sõltub töö mahust, müügi keerukusest, objekti suurusest, paiknemisest ja hinnast ning eeldatavast müügiperioodi pikkusest.</w:t>
      </w:r>
    </w:p>
    <w:p w:rsidR="00B263F8" w:rsidRPr="00A170DA" w:rsidRDefault="00B263F8" w:rsidP="00A170DA">
      <w:pPr>
        <w:pStyle w:val="Loend1"/>
      </w:pPr>
      <w:r w:rsidRPr="00A170DA">
        <w:t xml:space="preserve">Üüripinna leidmise korraldamisel on teenuse ühe tunni maksumus 46 eurot. </w:t>
      </w:r>
    </w:p>
    <w:p w:rsidR="00B263F8" w:rsidRPr="00A170DA" w:rsidRDefault="00B263F8" w:rsidP="00A170DA">
      <w:pPr>
        <w:pStyle w:val="Loend1"/>
      </w:pPr>
      <w:r w:rsidRPr="00A170DA">
        <w:t>Hindadele lisandub käibemaks.</w:t>
      </w:r>
    </w:p>
    <w:p w:rsidR="00B263F8" w:rsidRPr="00A170DA" w:rsidRDefault="00B263F8" w:rsidP="00A170DA">
      <w:r w:rsidRPr="00A170DA">
        <w:t>Ajaperioodil 2013-2014 teostas RKAS ühe üüripäringu Kodakondsus- ja Migratsioonibüroole teenindussaaliks sobiva pinna leidmiseks. Üüripäringu tulemusena leiti pind suurusega 913 m², mis kohandati omaniku poolt kliendi nõuetele vastavaks. Kogu protsess kestis kokku 6 kuud. Teenustasu suurus oli 5800 eurot, millele lisandus käibemaks. Turuhinnana saab tuua võrdluseks äripindade üürivahendustasu suuruse, milleks on ühe kuu üür + k</w:t>
      </w:r>
      <w:r>
        <w:t>m. Leitud pinna netoüür kuus on</w:t>
      </w:r>
      <w:r w:rsidRPr="00A170DA">
        <w:t xml:space="preserve"> 11 686 eurot. RKAS</w:t>
      </w:r>
      <w:r>
        <w:t>-</w:t>
      </w:r>
      <w:r w:rsidRPr="00A170DA">
        <w:t>i teenustasu suurus moodustas 50% ühe kuu üürist.</w:t>
      </w:r>
    </w:p>
    <w:p w:rsidR="00B263F8" w:rsidRPr="005E4D0D" w:rsidRDefault="00B263F8" w:rsidP="00B7629F">
      <w:pPr>
        <w:jc w:val="left"/>
        <w:rPr>
          <w:rFonts w:ascii="Times New Roman" w:hAnsi="Times New Roman"/>
        </w:rPr>
        <w:sectPr w:rsidR="00B263F8" w:rsidRPr="005E4D0D">
          <w:pgSz w:w="11906" w:h="16838"/>
          <w:pgMar w:top="1440" w:right="1440" w:bottom="1440" w:left="1440" w:header="708" w:footer="708" w:gutter="0"/>
          <w:cols w:space="708"/>
          <w:docGrid w:linePitch="360"/>
        </w:sectPr>
      </w:pPr>
    </w:p>
    <w:p w:rsidR="00B263F8" w:rsidRPr="00A170DA" w:rsidRDefault="00B263F8" w:rsidP="00A170DA">
      <w:pPr>
        <w:pStyle w:val="Caption"/>
      </w:pPr>
      <w:r>
        <w:t xml:space="preserve">Lisa </w:t>
      </w:r>
      <w:fldSimple w:instr=" SEQ Lisa \* ARABIC ">
        <w:r w:rsidR="00477322">
          <w:rPr>
            <w:noProof/>
          </w:rPr>
          <w:t>1</w:t>
        </w:r>
      </w:fldSimple>
      <w:r>
        <w:t>. Arendusportfelli koosseis</w:t>
      </w:r>
    </w:p>
    <w:tbl>
      <w:tblPr>
        <w:tblStyle w:val="LightGrid-Accent16"/>
        <w:tblpPr w:leftFromText="141" w:rightFromText="141" w:vertAnchor="text" w:horzAnchor="margin" w:tblpY="517"/>
        <w:tblOverlap w:val="never"/>
        <w:tblW w:w="8637" w:type="dxa"/>
        <w:tblLayout w:type="fixed"/>
        <w:tblLook w:val="04A0"/>
      </w:tblPr>
      <w:tblGrid>
        <w:gridCol w:w="4526"/>
        <w:gridCol w:w="2127"/>
        <w:gridCol w:w="1984"/>
      </w:tblGrid>
      <w:tr w:rsidR="00B263F8" w:rsidRPr="00772EDC" w:rsidTr="00B956FC">
        <w:trPr>
          <w:cnfStyle w:val="100000000000"/>
          <w:trHeight w:val="300"/>
          <w:tblHeader/>
        </w:trPr>
        <w:tc>
          <w:tcPr>
            <w:cnfStyle w:val="001000000000"/>
            <w:tcW w:w="4526" w:type="dxa"/>
            <w:shd w:val="clear" w:color="auto" w:fill="auto"/>
            <w:noWrap/>
            <w:hideMark/>
          </w:tcPr>
          <w:p w:rsidR="00B263F8" w:rsidRPr="00772EDC" w:rsidRDefault="00B263F8" w:rsidP="00B956FC">
            <w:pPr>
              <w:rPr>
                <w:rFonts w:eastAsia="Times New Roman"/>
                <w:color w:val="000000"/>
                <w:sz w:val="18"/>
                <w:szCs w:val="18"/>
                <w:lang w:eastAsia="et-EE"/>
              </w:rPr>
            </w:pPr>
            <w:r w:rsidRPr="00772EDC">
              <w:rPr>
                <w:rFonts w:eastAsia="Times New Roman"/>
                <w:color w:val="000000"/>
                <w:sz w:val="18"/>
                <w:szCs w:val="18"/>
                <w:lang w:eastAsia="et-EE"/>
              </w:rPr>
              <w:t>Objekt</w:t>
            </w:r>
          </w:p>
        </w:tc>
        <w:tc>
          <w:tcPr>
            <w:tcW w:w="2127" w:type="dxa"/>
          </w:tcPr>
          <w:p w:rsidR="00B263F8" w:rsidRPr="00772EDC" w:rsidRDefault="00B263F8" w:rsidP="00B956FC">
            <w:pPr>
              <w:jc w:val="center"/>
              <w:cnfStyle w:val="100000000000"/>
              <w:rPr>
                <w:rFonts w:eastAsia="Times New Roman"/>
                <w:color w:val="000000"/>
                <w:sz w:val="18"/>
                <w:szCs w:val="18"/>
                <w:lang w:eastAsia="et-EE"/>
              </w:rPr>
            </w:pPr>
            <w:r w:rsidRPr="00772EDC">
              <w:rPr>
                <w:rFonts w:eastAsia="Times New Roman"/>
                <w:color w:val="000000"/>
                <w:sz w:val="18"/>
                <w:szCs w:val="18"/>
                <w:lang w:eastAsia="et-EE"/>
              </w:rPr>
              <w:t>Arendatav pind suletud netopinnana (m2)</w:t>
            </w:r>
          </w:p>
        </w:tc>
        <w:tc>
          <w:tcPr>
            <w:tcW w:w="1984" w:type="dxa"/>
          </w:tcPr>
          <w:p w:rsidR="00B263F8" w:rsidRPr="00772EDC" w:rsidRDefault="00B263F8" w:rsidP="00B956FC">
            <w:pPr>
              <w:jc w:val="center"/>
              <w:cnfStyle w:val="100000000000"/>
              <w:rPr>
                <w:rFonts w:eastAsia="Times New Roman"/>
                <w:color w:val="000000"/>
                <w:sz w:val="18"/>
                <w:szCs w:val="18"/>
                <w:lang w:eastAsia="et-EE"/>
              </w:rPr>
            </w:pPr>
            <w:r w:rsidRPr="00772EDC">
              <w:rPr>
                <w:rFonts w:eastAsia="Times New Roman"/>
                <w:color w:val="000000"/>
                <w:sz w:val="18"/>
                <w:szCs w:val="18"/>
                <w:lang w:eastAsia="et-EE"/>
              </w:rPr>
              <w:t>Kasutaja (valitsemisala)</w:t>
            </w:r>
          </w:p>
        </w:tc>
      </w:tr>
      <w:tr w:rsidR="00B263F8" w:rsidRPr="00772EDC" w:rsidTr="00B956FC">
        <w:trPr>
          <w:cnfStyle w:val="000000100000"/>
          <w:trHeight w:val="300"/>
        </w:trPr>
        <w:tc>
          <w:tcPr>
            <w:cnfStyle w:val="001000000000"/>
            <w:tcW w:w="4526" w:type="dxa"/>
            <w:shd w:val="clear" w:color="auto" w:fill="auto"/>
            <w:noWrap/>
            <w:vAlign w:val="bottom"/>
            <w:hideMark/>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Kaveri, Kaagvere küla</w:t>
            </w:r>
          </w:p>
        </w:tc>
        <w:tc>
          <w:tcPr>
            <w:tcW w:w="2127" w:type="dxa"/>
            <w:vMerge w:val="restart"/>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3 875</w:t>
            </w:r>
          </w:p>
        </w:tc>
        <w:tc>
          <w:tcPr>
            <w:tcW w:w="1984" w:type="dxa"/>
            <w:vMerge w:val="restart"/>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HTM</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Kooliraja, Kaagvere küla</w:t>
            </w:r>
          </w:p>
        </w:tc>
        <w:tc>
          <w:tcPr>
            <w:tcW w:w="2127" w:type="dxa"/>
            <w:vMerge/>
          </w:tcPr>
          <w:p w:rsidR="00B263F8" w:rsidRPr="00772EDC" w:rsidRDefault="00B263F8" w:rsidP="00B956FC">
            <w:pPr>
              <w:jc w:val="center"/>
              <w:cnfStyle w:val="000000010000"/>
              <w:rPr>
                <w:rFonts w:eastAsia="Times New Roman"/>
                <w:color w:val="000000"/>
                <w:sz w:val="18"/>
                <w:szCs w:val="18"/>
                <w:lang w:eastAsia="et-EE"/>
              </w:rPr>
            </w:pPr>
          </w:p>
        </w:tc>
        <w:tc>
          <w:tcPr>
            <w:tcW w:w="1984" w:type="dxa"/>
            <w:vMerge/>
          </w:tcPr>
          <w:p w:rsidR="00B263F8" w:rsidRPr="00772EDC" w:rsidRDefault="00B263F8" w:rsidP="00B956FC">
            <w:pPr>
              <w:jc w:val="center"/>
              <w:cnfStyle w:val="000000010000"/>
              <w:rPr>
                <w:rFonts w:eastAsia="Times New Roman"/>
                <w:color w:val="000000"/>
                <w:sz w:val="18"/>
                <w:szCs w:val="18"/>
                <w:lang w:eastAsia="et-EE"/>
              </w:rPr>
            </w:pP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Mõisaaia, Kaagvere küla</w:t>
            </w:r>
          </w:p>
        </w:tc>
        <w:tc>
          <w:tcPr>
            <w:tcW w:w="2127" w:type="dxa"/>
            <w:vMerge/>
          </w:tcPr>
          <w:p w:rsidR="00B263F8" w:rsidRPr="00772EDC" w:rsidRDefault="00B263F8" w:rsidP="00B956FC">
            <w:pPr>
              <w:jc w:val="center"/>
              <w:cnfStyle w:val="000000100000"/>
              <w:rPr>
                <w:rFonts w:eastAsia="Times New Roman"/>
                <w:color w:val="000000"/>
                <w:sz w:val="18"/>
                <w:szCs w:val="18"/>
                <w:lang w:eastAsia="et-EE"/>
              </w:rPr>
            </w:pPr>
          </w:p>
        </w:tc>
        <w:tc>
          <w:tcPr>
            <w:tcW w:w="1984" w:type="dxa"/>
            <w:vMerge/>
          </w:tcPr>
          <w:p w:rsidR="00B263F8" w:rsidRPr="00772EDC" w:rsidRDefault="00B263F8" w:rsidP="00B956FC">
            <w:pPr>
              <w:jc w:val="center"/>
              <w:cnfStyle w:val="000000100000"/>
              <w:rPr>
                <w:rFonts w:eastAsia="Times New Roman"/>
                <w:color w:val="000000"/>
                <w:sz w:val="18"/>
                <w:szCs w:val="18"/>
                <w:lang w:eastAsia="et-EE"/>
              </w:rPr>
            </w:pP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Mõisaköögi tee</w:t>
            </w:r>
            <w:r w:rsidR="00F96800">
              <w:rPr>
                <w:rFonts w:eastAsia="Times New Roman"/>
                <w:b w:val="0"/>
                <w:color w:val="000000"/>
                <w:sz w:val="18"/>
                <w:szCs w:val="18"/>
                <w:lang w:eastAsia="et-EE"/>
              </w:rPr>
              <w:t xml:space="preserve"> </w:t>
            </w:r>
            <w:r w:rsidRPr="00772EDC">
              <w:rPr>
                <w:rFonts w:eastAsia="Times New Roman"/>
                <w:b w:val="0"/>
                <w:color w:val="000000"/>
                <w:sz w:val="18"/>
                <w:szCs w:val="18"/>
                <w:lang w:eastAsia="et-EE"/>
              </w:rPr>
              <w:t>L2, Kaagvere küla</w:t>
            </w:r>
          </w:p>
        </w:tc>
        <w:tc>
          <w:tcPr>
            <w:tcW w:w="2127" w:type="dxa"/>
            <w:vMerge/>
          </w:tcPr>
          <w:p w:rsidR="00B263F8" w:rsidRPr="00772EDC" w:rsidRDefault="00B263F8" w:rsidP="00B956FC">
            <w:pPr>
              <w:jc w:val="center"/>
              <w:cnfStyle w:val="000000010000"/>
              <w:rPr>
                <w:rFonts w:eastAsia="Times New Roman"/>
                <w:color w:val="000000"/>
                <w:sz w:val="18"/>
                <w:szCs w:val="18"/>
                <w:lang w:eastAsia="et-EE"/>
              </w:rPr>
            </w:pPr>
          </w:p>
        </w:tc>
        <w:tc>
          <w:tcPr>
            <w:tcW w:w="1984" w:type="dxa"/>
            <w:vMerge/>
          </w:tcPr>
          <w:p w:rsidR="00B263F8" w:rsidRPr="00772EDC" w:rsidRDefault="00B263F8" w:rsidP="00B956FC">
            <w:pPr>
              <w:jc w:val="center"/>
              <w:cnfStyle w:val="000000010000"/>
              <w:rPr>
                <w:rFonts w:eastAsia="Times New Roman"/>
                <w:color w:val="000000"/>
                <w:sz w:val="18"/>
                <w:szCs w:val="18"/>
                <w:lang w:eastAsia="et-EE"/>
              </w:rPr>
            </w:pP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Veehaarde, Kaagvere küla</w:t>
            </w:r>
          </w:p>
        </w:tc>
        <w:tc>
          <w:tcPr>
            <w:tcW w:w="2127" w:type="dxa"/>
            <w:vMerge/>
          </w:tcPr>
          <w:p w:rsidR="00B263F8" w:rsidRPr="00772EDC" w:rsidRDefault="00B263F8" w:rsidP="00B956FC">
            <w:pPr>
              <w:jc w:val="center"/>
              <w:cnfStyle w:val="000000100000"/>
              <w:rPr>
                <w:rFonts w:eastAsia="Times New Roman"/>
                <w:color w:val="000000"/>
                <w:sz w:val="18"/>
                <w:szCs w:val="18"/>
                <w:lang w:eastAsia="et-EE"/>
              </w:rPr>
            </w:pPr>
          </w:p>
        </w:tc>
        <w:tc>
          <w:tcPr>
            <w:tcW w:w="1984" w:type="dxa"/>
            <w:vMerge/>
          </w:tcPr>
          <w:p w:rsidR="00B263F8" w:rsidRPr="00772EDC" w:rsidRDefault="00B263F8" w:rsidP="00B956FC">
            <w:pPr>
              <w:jc w:val="center"/>
              <w:cnfStyle w:val="000000100000"/>
              <w:rPr>
                <w:rFonts w:eastAsia="Times New Roman"/>
                <w:color w:val="000000"/>
                <w:sz w:val="18"/>
                <w:szCs w:val="18"/>
                <w:lang w:eastAsia="et-EE"/>
              </w:rPr>
            </w:pP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Koolikalda, Kaagvere küla</w:t>
            </w:r>
          </w:p>
        </w:tc>
        <w:tc>
          <w:tcPr>
            <w:tcW w:w="2127" w:type="dxa"/>
            <w:vMerge/>
          </w:tcPr>
          <w:p w:rsidR="00B263F8" w:rsidRPr="00772EDC" w:rsidRDefault="00B263F8" w:rsidP="00B956FC">
            <w:pPr>
              <w:jc w:val="center"/>
              <w:cnfStyle w:val="000000010000"/>
              <w:rPr>
                <w:rFonts w:eastAsia="Times New Roman"/>
                <w:color w:val="000000"/>
                <w:sz w:val="18"/>
                <w:szCs w:val="18"/>
                <w:lang w:eastAsia="et-EE"/>
              </w:rPr>
            </w:pPr>
          </w:p>
        </w:tc>
        <w:tc>
          <w:tcPr>
            <w:tcW w:w="1984" w:type="dxa"/>
            <w:vMerge/>
          </w:tcPr>
          <w:p w:rsidR="00B263F8" w:rsidRPr="00772EDC" w:rsidRDefault="00B263F8" w:rsidP="00B956FC">
            <w:pPr>
              <w:jc w:val="center"/>
              <w:cnfStyle w:val="000000010000"/>
              <w:rPr>
                <w:rFonts w:eastAsia="Times New Roman"/>
                <w:color w:val="000000"/>
                <w:sz w:val="18"/>
                <w:szCs w:val="18"/>
                <w:lang w:eastAsia="et-EE"/>
              </w:rPr>
            </w:pP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Uuekooli, Kaagvere küla</w:t>
            </w:r>
          </w:p>
        </w:tc>
        <w:tc>
          <w:tcPr>
            <w:tcW w:w="2127" w:type="dxa"/>
            <w:vMerge/>
          </w:tcPr>
          <w:p w:rsidR="00B263F8" w:rsidRPr="00772EDC" w:rsidRDefault="00B263F8" w:rsidP="00B956FC">
            <w:pPr>
              <w:jc w:val="center"/>
              <w:cnfStyle w:val="000000100000"/>
              <w:rPr>
                <w:rFonts w:eastAsia="Times New Roman"/>
                <w:color w:val="000000"/>
                <w:sz w:val="18"/>
                <w:szCs w:val="18"/>
                <w:lang w:eastAsia="et-EE"/>
              </w:rPr>
            </w:pPr>
          </w:p>
        </w:tc>
        <w:tc>
          <w:tcPr>
            <w:tcW w:w="1984" w:type="dxa"/>
            <w:vMerge/>
          </w:tcPr>
          <w:p w:rsidR="00B263F8" w:rsidRPr="00772EDC" w:rsidRDefault="00B263F8" w:rsidP="00B956FC">
            <w:pPr>
              <w:jc w:val="center"/>
              <w:cnfStyle w:val="000000100000"/>
              <w:rPr>
                <w:rFonts w:eastAsia="Times New Roman"/>
                <w:color w:val="000000"/>
                <w:sz w:val="18"/>
                <w:szCs w:val="18"/>
                <w:lang w:eastAsia="et-EE"/>
              </w:rPr>
            </w:pPr>
          </w:p>
        </w:tc>
      </w:tr>
      <w:tr w:rsidR="00B263F8" w:rsidRPr="00772EDC" w:rsidTr="00B956FC">
        <w:trPr>
          <w:cnfStyle w:val="000000010000"/>
          <w:trHeight w:val="300"/>
        </w:trPr>
        <w:tc>
          <w:tcPr>
            <w:cnfStyle w:val="001000000000"/>
            <w:tcW w:w="4526" w:type="dxa"/>
            <w:shd w:val="clear" w:color="auto" w:fill="auto"/>
            <w:noWrap/>
            <w:vAlign w:val="bottom"/>
            <w:hideMark/>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Kiriku 2 ja 4, Tallinn</w:t>
            </w:r>
          </w:p>
        </w:tc>
        <w:tc>
          <w:tcPr>
            <w:tcW w:w="2127"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2 223</w:t>
            </w:r>
          </w:p>
        </w:tc>
        <w:tc>
          <w:tcPr>
            <w:tcW w:w="1984"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Riigikontroll</w:t>
            </w:r>
          </w:p>
        </w:tc>
      </w:tr>
      <w:tr w:rsidR="00B263F8" w:rsidRPr="00772EDC" w:rsidTr="00B956FC">
        <w:trPr>
          <w:cnfStyle w:val="000000100000"/>
          <w:trHeight w:val="300"/>
        </w:trPr>
        <w:tc>
          <w:tcPr>
            <w:cnfStyle w:val="001000000000"/>
            <w:tcW w:w="4526" w:type="dxa"/>
            <w:shd w:val="clear" w:color="auto" w:fill="auto"/>
            <w:noWrap/>
            <w:vAlign w:val="bottom"/>
            <w:hideMark/>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Kalaranna 28, Tallinn</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Kotzebue tn 1, Tallinn</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Lasteaia 5, Kuressaare linn</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Nooruse 1a/3, Tartu linn</w:t>
            </w:r>
          </w:p>
        </w:tc>
        <w:tc>
          <w:tcPr>
            <w:tcW w:w="2127"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3 871</w:t>
            </w:r>
          </w:p>
        </w:tc>
        <w:tc>
          <w:tcPr>
            <w:tcW w:w="1984"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HTM</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Pritsu, Hullo küla</w:t>
            </w:r>
          </w:p>
        </w:tc>
        <w:tc>
          <w:tcPr>
            <w:tcW w:w="2127"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380</w:t>
            </w:r>
          </w:p>
        </w:tc>
        <w:tc>
          <w:tcPr>
            <w:tcW w:w="1984"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SIM</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Liivalaia 2a, Tallinn, Kesklinna linnaosa</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Pärnu mnt 59, Tallinn, Kesklinna linnaosa</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Depoomaa, Mõniste küla</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Tagaküla tee 1, Väike-Maarja alevik</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Õpilaskodu, Pürksi küla /Birkas</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Järveküla tee 46, Kohtla-Järve linn</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Aiandi tn 4, Häädemeeste alevik</w:t>
            </w:r>
          </w:p>
        </w:tc>
        <w:tc>
          <w:tcPr>
            <w:tcW w:w="2127"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1 050</w:t>
            </w:r>
          </w:p>
        </w:tc>
        <w:tc>
          <w:tcPr>
            <w:tcW w:w="1984"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SIM</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Räpina mnt 20b, Võru linn</w:t>
            </w:r>
          </w:p>
        </w:tc>
        <w:tc>
          <w:tcPr>
            <w:tcW w:w="2127"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4 572</w:t>
            </w:r>
          </w:p>
        </w:tc>
        <w:tc>
          <w:tcPr>
            <w:tcW w:w="1984"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SIM</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Muuseumi tee 2, Tartu linn</w:t>
            </w:r>
          </w:p>
        </w:tc>
        <w:tc>
          <w:tcPr>
            <w:tcW w:w="2127" w:type="dxa"/>
            <w:vMerge w:val="restart"/>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33 854</w:t>
            </w:r>
          </w:p>
        </w:tc>
        <w:tc>
          <w:tcPr>
            <w:tcW w:w="1984" w:type="dxa"/>
            <w:vMerge w:val="restart"/>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KUM</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Ermi, Tila küla</w:t>
            </w:r>
          </w:p>
        </w:tc>
        <w:tc>
          <w:tcPr>
            <w:tcW w:w="2127" w:type="dxa"/>
            <w:vMerge/>
          </w:tcPr>
          <w:p w:rsidR="00B263F8" w:rsidRPr="00772EDC" w:rsidRDefault="00B263F8" w:rsidP="00B956FC">
            <w:pPr>
              <w:jc w:val="center"/>
              <w:cnfStyle w:val="000000100000"/>
              <w:rPr>
                <w:rFonts w:eastAsia="Times New Roman"/>
                <w:color w:val="000000"/>
                <w:sz w:val="18"/>
                <w:szCs w:val="18"/>
                <w:lang w:eastAsia="et-EE"/>
              </w:rPr>
            </w:pPr>
          </w:p>
        </w:tc>
        <w:tc>
          <w:tcPr>
            <w:tcW w:w="1984" w:type="dxa"/>
            <w:vMerge/>
          </w:tcPr>
          <w:p w:rsidR="00B263F8" w:rsidRPr="00772EDC" w:rsidRDefault="00B263F8" w:rsidP="00B956FC">
            <w:pPr>
              <w:jc w:val="center"/>
              <w:cnfStyle w:val="000000100000"/>
              <w:rPr>
                <w:rFonts w:eastAsia="Times New Roman"/>
                <w:color w:val="000000"/>
                <w:sz w:val="18"/>
                <w:szCs w:val="18"/>
                <w:lang w:eastAsia="et-EE"/>
              </w:rPr>
            </w:pP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Tulika 37, Tallinn, Kristiine linnaosa</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Rohuneeme tee 51A/2, Pringi küla</w:t>
            </w:r>
          </w:p>
        </w:tc>
        <w:tc>
          <w:tcPr>
            <w:tcW w:w="2127"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0</w:t>
            </w:r>
          </w:p>
        </w:tc>
        <w:tc>
          <w:tcPr>
            <w:tcW w:w="1984"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SIM</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Aia/Pargi 2/1, Pärnu linn</w:t>
            </w:r>
          </w:p>
        </w:tc>
        <w:tc>
          <w:tcPr>
            <w:tcW w:w="4111" w:type="dxa"/>
            <w:gridSpan w:val="2"/>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Vabaõhumuuseumi tee 10, Tallinn</w:t>
            </w:r>
          </w:p>
        </w:tc>
        <w:tc>
          <w:tcPr>
            <w:tcW w:w="2127"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2 000</w:t>
            </w:r>
          </w:p>
        </w:tc>
        <w:tc>
          <w:tcPr>
            <w:tcW w:w="1984" w:type="dxa"/>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Presidendi kantselei</w:t>
            </w:r>
          </w:p>
        </w:tc>
      </w:tr>
      <w:tr w:rsidR="00B263F8" w:rsidRPr="00772EDC" w:rsidTr="00B956FC">
        <w:trPr>
          <w:cnfStyle w:val="00000001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Lubja 4, Tallinn</w:t>
            </w:r>
          </w:p>
        </w:tc>
        <w:tc>
          <w:tcPr>
            <w:tcW w:w="2127"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28 200</w:t>
            </w:r>
          </w:p>
        </w:tc>
        <w:tc>
          <w:tcPr>
            <w:tcW w:w="1984"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JUM</w:t>
            </w:r>
          </w:p>
        </w:tc>
      </w:tr>
      <w:tr w:rsidR="00B263F8" w:rsidRPr="00772EDC" w:rsidTr="00B956FC">
        <w:trPr>
          <w:cnfStyle w:val="000000100000"/>
          <w:trHeight w:val="300"/>
        </w:trPr>
        <w:tc>
          <w:tcPr>
            <w:cnfStyle w:val="001000000000"/>
            <w:tcW w:w="4526" w:type="dxa"/>
            <w:shd w:val="clear" w:color="auto" w:fill="auto"/>
            <w:noWrap/>
            <w:vAlign w:val="bottom"/>
          </w:tcPr>
          <w:p w:rsidR="00B263F8" w:rsidRPr="00772EDC" w:rsidRDefault="00B263F8" w:rsidP="00B956FC">
            <w:pPr>
              <w:rPr>
                <w:rFonts w:eastAsia="Times New Roman"/>
                <w:b w:val="0"/>
                <w:color w:val="000000"/>
                <w:sz w:val="18"/>
                <w:szCs w:val="18"/>
                <w:lang w:eastAsia="et-EE"/>
              </w:rPr>
            </w:pPr>
            <w:r w:rsidRPr="00772EDC">
              <w:rPr>
                <w:rFonts w:eastAsia="Times New Roman"/>
                <w:b w:val="0"/>
                <w:color w:val="000000"/>
                <w:sz w:val="18"/>
                <w:szCs w:val="18"/>
                <w:lang w:eastAsia="et-EE"/>
              </w:rPr>
              <w:t>Vesilennuki 1, Tallinn</w:t>
            </w:r>
          </w:p>
        </w:tc>
        <w:tc>
          <w:tcPr>
            <w:tcW w:w="4111" w:type="dxa"/>
            <w:gridSpan w:val="2"/>
          </w:tcPr>
          <w:p w:rsidR="00B263F8" w:rsidRPr="00772EDC" w:rsidRDefault="00B263F8" w:rsidP="00B956FC">
            <w:pPr>
              <w:jc w:val="center"/>
              <w:cnfStyle w:val="000000100000"/>
              <w:rPr>
                <w:rFonts w:eastAsia="Times New Roman"/>
                <w:color w:val="000000"/>
                <w:sz w:val="18"/>
                <w:szCs w:val="18"/>
                <w:lang w:eastAsia="et-EE"/>
              </w:rPr>
            </w:pPr>
            <w:r w:rsidRPr="00772EDC">
              <w:rPr>
                <w:rFonts w:eastAsia="Times New Roman"/>
                <w:color w:val="000000"/>
                <w:sz w:val="18"/>
                <w:szCs w:val="18"/>
                <w:lang w:eastAsia="et-EE"/>
              </w:rPr>
              <w:t>ootel</w:t>
            </w:r>
          </w:p>
        </w:tc>
      </w:tr>
      <w:tr w:rsidR="00B263F8" w:rsidRPr="00772EDC" w:rsidTr="00B956FC">
        <w:trPr>
          <w:cnfStyle w:val="000000010000"/>
          <w:trHeight w:val="300"/>
        </w:trPr>
        <w:tc>
          <w:tcPr>
            <w:cnfStyle w:val="001000000000"/>
            <w:tcW w:w="4526" w:type="dxa"/>
            <w:shd w:val="clear" w:color="auto" w:fill="auto"/>
            <w:noWrap/>
          </w:tcPr>
          <w:p w:rsidR="00B263F8" w:rsidRPr="00772EDC" w:rsidRDefault="00B263F8" w:rsidP="00B956FC">
            <w:pPr>
              <w:jc w:val="right"/>
              <w:rPr>
                <w:rFonts w:eastAsia="Times New Roman"/>
                <w:color w:val="000000"/>
                <w:sz w:val="18"/>
                <w:szCs w:val="18"/>
                <w:lang w:eastAsia="et-EE"/>
              </w:rPr>
            </w:pPr>
            <w:r w:rsidRPr="00772EDC">
              <w:rPr>
                <w:rFonts w:eastAsia="Times New Roman"/>
                <w:b w:val="0"/>
                <w:color w:val="000000"/>
                <w:sz w:val="18"/>
                <w:szCs w:val="18"/>
                <w:lang w:eastAsia="et-EE"/>
              </w:rPr>
              <w:t xml:space="preserve">Kokku:    </w:t>
            </w:r>
          </w:p>
        </w:tc>
        <w:tc>
          <w:tcPr>
            <w:tcW w:w="2127" w:type="dxa"/>
          </w:tcPr>
          <w:p w:rsidR="00B263F8" w:rsidRPr="00772EDC" w:rsidRDefault="00B263F8" w:rsidP="00B956FC">
            <w:pPr>
              <w:jc w:val="center"/>
              <w:cnfStyle w:val="000000010000"/>
              <w:rPr>
                <w:rFonts w:eastAsia="Times New Roman"/>
                <w:color w:val="000000"/>
                <w:sz w:val="18"/>
                <w:szCs w:val="18"/>
                <w:lang w:eastAsia="et-EE"/>
              </w:rPr>
            </w:pPr>
            <w:r w:rsidRPr="00772EDC">
              <w:rPr>
                <w:rFonts w:eastAsia="Times New Roman"/>
                <w:color w:val="000000"/>
                <w:sz w:val="18"/>
                <w:szCs w:val="18"/>
                <w:lang w:eastAsia="et-EE"/>
              </w:rPr>
              <w:t>80 025</w:t>
            </w:r>
          </w:p>
        </w:tc>
        <w:tc>
          <w:tcPr>
            <w:tcW w:w="1984" w:type="dxa"/>
          </w:tcPr>
          <w:p w:rsidR="00B263F8" w:rsidRPr="00772EDC" w:rsidRDefault="00B263F8" w:rsidP="00B956FC">
            <w:pPr>
              <w:jc w:val="center"/>
              <w:cnfStyle w:val="000000010000"/>
              <w:rPr>
                <w:rFonts w:eastAsia="Times New Roman"/>
                <w:b/>
                <w:color w:val="000000"/>
                <w:sz w:val="18"/>
                <w:szCs w:val="18"/>
                <w:lang w:eastAsia="et-EE"/>
              </w:rPr>
            </w:pPr>
          </w:p>
        </w:tc>
      </w:tr>
    </w:tbl>
    <w:p w:rsidR="00B263F8" w:rsidRDefault="00B263F8" w:rsidP="00772EDC">
      <w:pPr>
        <w:jc w:val="left"/>
        <w:sectPr w:rsidR="00B263F8" w:rsidSect="00B956FC">
          <w:pgSz w:w="11906" w:h="16838"/>
          <w:pgMar w:top="1440" w:right="1440" w:bottom="1440" w:left="1440" w:header="708" w:footer="708" w:gutter="0"/>
          <w:cols w:space="708"/>
          <w:docGrid w:linePitch="360"/>
        </w:sectPr>
      </w:pPr>
    </w:p>
    <w:p w:rsidR="00B263F8" w:rsidRDefault="00B263F8" w:rsidP="00A170DA">
      <w:pPr>
        <w:pStyle w:val="Caption"/>
      </w:pPr>
      <w:r>
        <w:t xml:space="preserve">Lisa </w:t>
      </w:r>
      <w:fldSimple w:instr=" SEQ Lisa \* ARABIC ">
        <w:r w:rsidR="00477322">
          <w:rPr>
            <w:noProof/>
          </w:rPr>
          <w:t>2</w:t>
        </w:r>
      </w:fldSimple>
      <w:r>
        <w:t>. 2014. aastal müüdud varad</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91"/>
        <w:gridCol w:w="1370"/>
        <w:gridCol w:w="3288"/>
        <w:gridCol w:w="2543"/>
        <w:gridCol w:w="2126"/>
        <w:gridCol w:w="1843"/>
        <w:gridCol w:w="1707"/>
      </w:tblGrid>
      <w:tr w:rsidR="00B263F8" w:rsidRPr="005C0892" w:rsidTr="005C0892">
        <w:trPr>
          <w:trHeight w:hRule="exact" w:val="465"/>
          <w:tblHeader/>
        </w:trPr>
        <w:tc>
          <w:tcPr>
            <w:tcW w:w="1091"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Maakond</w:t>
            </w:r>
          </w:p>
        </w:tc>
        <w:tc>
          <w:tcPr>
            <w:tcW w:w="1370"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Kohalik omavalitsus</w:t>
            </w:r>
          </w:p>
        </w:tc>
        <w:tc>
          <w:tcPr>
            <w:tcW w:w="3288"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Lähiaadress</w:t>
            </w:r>
          </w:p>
        </w:tc>
        <w:tc>
          <w:tcPr>
            <w:tcW w:w="2543"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Kasutamise põhiotstarve</w:t>
            </w:r>
          </w:p>
        </w:tc>
        <w:tc>
          <w:tcPr>
            <w:tcW w:w="2126"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Suletud netopind m²</w:t>
            </w:r>
          </w:p>
        </w:tc>
        <w:tc>
          <w:tcPr>
            <w:tcW w:w="1843"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Kinnistu pind m²</w:t>
            </w:r>
          </w:p>
        </w:tc>
        <w:tc>
          <w:tcPr>
            <w:tcW w:w="1707" w:type="dxa"/>
            <w:shd w:val="clear" w:color="auto" w:fill="auto"/>
            <w:noWrap/>
            <w:vAlign w:val="center"/>
            <w:hideMark/>
          </w:tcPr>
          <w:p w:rsidR="00B263F8" w:rsidRPr="005C0892" w:rsidRDefault="00B263F8" w:rsidP="005C0892">
            <w:pPr>
              <w:spacing w:before="0"/>
              <w:jc w:val="left"/>
              <w:rPr>
                <w:rFonts w:eastAsia="Times New Roman"/>
                <w:b/>
                <w:bCs/>
                <w:color w:val="000000"/>
                <w:sz w:val="18"/>
                <w:szCs w:val="18"/>
                <w:lang w:eastAsia="et-EE"/>
              </w:rPr>
            </w:pPr>
            <w:r w:rsidRPr="005C0892">
              <w:rPr>
                <w:rFonts w:eastAsia="Times New Roman"/>
                <w:b/>
                <w:bCs/>
                <w:color w:val="000000"/>
                <w:sz w:val="18"/>
                <w:szCs w:val="18"/>
                <w:lang w:eastAsia="et-EE"/>
              </w:rPr>
              <w:t>Tehingu hind €</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Keila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Vasara 14-51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32,4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2 214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Saue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Kuuma 3-19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52,7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3 793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32400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Paldiski mnt 155-73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2 525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Nissi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Riisipere alevik, Metsa 16-1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3 209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26/sõle tn 48 - 208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7910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26/Sõle tn 48 - 212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 Sõle tn 48 - 509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Trummi 21d</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tühjad garaažid</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126,1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26/Sõle tn 48 - 307B</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8914</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115,4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11300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Kaera26/Sõle48 - 419A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7408</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 48 - 419B</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9415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Paasiku tn 14-181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65,0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4 346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38350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Kaer26/Sõle 48 -504</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Kaera26/Sõle48-403B</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8914</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Liikuri 32-12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61,7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2 917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Paekaare tn 78-46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53,1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2 429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30050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 Sõle 48 - 303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 mnt 58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tühi laohoone-kauplus</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392,3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807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332500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26/Sõle 48 - 513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25,8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14434</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Alvari 35-1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79,6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3 261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40300</w:t>
            </w:r>
          </w:p>
        </w:tc>
      </w:tr>
      <w:tr w:rsidR="00B263F8" w:rsidRPr="005C0892" w:rsidTr="005C0892">
        <w:trPr>
          <w:trHeight w:hRule="exact" w:val="340"/>
        </w:trPr>
        <w:tc>
          <w:tcPr>
            <w:tcW w:w="1091"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Harku vald</w:t>
            </w:r>
          </w:p>
        </w:tc>
        <w:tc>
          <w:tcPr>
            <w:tcW w:w="3288"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Suurupi küla Tuletorni tee 11-1</w:t>
            </w:r>
          </w:p>
        </w:tc>
        <w:tc>
          <w:tcPr>
            <w:tcW w:w="2543"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40,4</w:t>
            </w:r>
          </w:p>
        </w:tc>
        <w:tc>
          <w:tcPr>
            <w:tcW w:w="1843"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7 313</w:t>
            </w:r>
          </w:p>
        </w:tc>
        <w:tc>
          <w:tcPr>
            <w:tcW w:w="1707" w:type="dxa"/>
            <w:tcBorders>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13800</w:t>
            </w:r>
          </w:p>
        </w:tc>
      </w:tr>
      <w:tr w:rsidR="00B263F8" w:rsidRPr="005C0892" w:rsidTr="005C0892">
        <w:trPr>
          <w:trHeight w:hRule="exact" w:val="340"/>
        </w:trPr>
        <w:tc>
          <w:tcPr>
            <w:tcW w:w="1091" w:type="dxa"/>
            <w:tcBorders>
              <w:top w:val="single" w:sz="4" w:space="0" w:color="auto"/>
              <w:left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tcBorders>
              <w:top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tcBorders>
              <w:top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26/Sõle 48 - 319B</w:t>
            </w:r>
          </w:p>
        </w:tc>
        <w:tc>
          <w:tcPr>
            <w:tcW w:w="2543" w:type="dxa"/>
            <w:tcBorders>
              <w:top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tcBorders>
              <w:top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16,5</w:t>
            </w:r>
          </w:p>
        </w:tc>
        <w:tc>
          <w:tcPr>
            <w:tcW w:w="1843" w:type="dxa"/>
            <w:tcBorders>
              <w:top w:val="single" w:sz="4" w:space="0" w:color="auto"/>
              <w:bottom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tcBorders>
              <w:top w:val="single" w:sz="4" w:space="0" w:color="auto"/>
              <w:bottom w:val="single" w:sz="4" w:space="0" w:color="auto"/>
              <w:right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9415</w:t>
            </w:r>
          </w:p>
        </w:tc>
      </w:tr>
      <w:tr w:rsidR="00B263F8" w:rsidRPr="005C0892" w:rsidTr="005C0892">
        <w:trPr>
          <w:trHeight w:hRule="exact" w:val="340"/>
        </w:trPr>
        <w:tc>
          <w:tcPr>
            <w:tcW w:w="1091"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 48 311-B</w:t>
            </w:r>
          </w:p>
        </w:tc>
        <w:tc>
          <w:tcPr>
            <w:tcW w:w="2543"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16,4</w:t>
            </w:r>
          </w:p>
        </w:tc>
        <w:tc>
          <w:tcPr>
            <w:tcW w:w="1843"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tcBorders>
              <w:top w:val="single" w:sz="4" w:space="0" w:color="auto"/>
            </w:tcBorders>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8914</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Sõpruse pst 192-152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59,6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3 018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38350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 Sõle tn 48 - 301B</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8914</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Pikri tn 2-9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66,7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1 923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Kaera26/Sõle48 - 408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7910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26/Sõle 48 - 119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33,6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18448</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Vardja küla, Vardja tee 4-8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77,2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2 612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 Sõle 48 - 319A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12531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 48-307A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12659</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26/Sõle 48-309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Maardu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Keemikute tn 34-41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43,3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1 998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26777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 48 - 311A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13937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 Sõle 48-317</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31610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 Sõle 48 - 207</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30777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26/Sõle 48 - 214</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47,5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35777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Keila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Vasara 14-50</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49,7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2 214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29010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Kaera26/Sõle 48-1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9012</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Kajaka 4-21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74,1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3 492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54325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Alvari 35-11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50,0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3 261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Kaera tn 26/Sõle tn 48 - 316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19451</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Rae vald </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Soodevahe küla Suur-Sõjamäe tn 37/39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jäätmehoidla</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413,0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6 958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350000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Harku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Suurupi küla Tuletorni tee 11-5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7 313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230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40,8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210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43,8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39,2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 xml:space="preserve">korter </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5-M38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Harju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Kose-Uuemõisa alevik, Kosejõe 5-M39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74,0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2 146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370</w:t>
            </w:r>
          </w:p>
        </w:tc>
      </w:tr>
      <w:tr w:rsidR="00B263F8" w:rsidRPr="005C0892" w:rsidTr="005C0892">
        <w:trPr>
          <w:trHeight w:hRule="exact" w:val="518"/>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Narva-Jõesuu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Karja tn 34-6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55,9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1 502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Narva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Kangelaste prospekt 51-17</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65,1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3 636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Narva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Vabaduse tn 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endine politseimaja</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3 402,9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2 779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135100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Narva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Tallinna mnt 4-10</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69,4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1 640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41632</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Illuka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Jaama küla, Varjupaiga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immigrantide varjupaik</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1 831,6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21 083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66000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Narva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Kangelaste pr 51-7</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47,6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3 636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12000</w:t>
            </w:r>
          </w:p>
        </w:tc>
      </w:tr>
      <w:tr w:rsidR="00B263F8" w:rsidRPr="005C0892" w:rsidTr="005C0892">
        <w:trPr>
          <w:trHeight w:hRule="exact" w:val="408"/>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Kohtla-Järve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Outokumpu 19-140</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79,6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11 335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4500</w:t>
            </w:r>
          </w:p>
        </w:tc>
      </w:tr>
      <w:tr w:rsidR="00B263F8" w:rsidRPr="005C0892" w:rsidTr="005C0892">
        <w:trPr>
          <w:trHeight w:hRule="exact" w:val="428"/>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Kohtla-Järve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Kalevi 23-51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28,5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3 183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1800</w:t>
            </w:r>
          </w:p>
        </w:tc>
      </w:tr>
      <w:tr w:rsidR="00B263F8" w:rsidRPr="005C0892" w:rsidTr="005C0892">
        <w:trPr>
          <w:trHeight w:hRule="exact" w:val="433"/>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Kohtla-Järve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Metsapargi 18-71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3 769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Ida-Viru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Jõhvi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Hariduse tn 4-76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39,5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4 475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 - Kamari küla Kaarlimõisa 5-8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1 112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2450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Jõgevamaa</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Soomevere küla Soome</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põllumajandushoone</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982,9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11 302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Kaarlimõisa 5-5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1 112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3000</w:t>
            </w:r>
          </w:p>
        </w:tc>
      </w:tr>
      <w:tr w:rsidR="00B263F8" w:rsidRPr="005C0892" w:rsidTr="005C0892">
        <w:trPr>
          <w:trHeight w:hRule="exact" w:val="459"/>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 -Kamari küla Kaarlimõisa tee 25-9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36,6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1 126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600</w:t>
            </w:r>
          </w:p>
        </w:tc>
      </w:tr>
      <w:tr w:rsidR="00B263F8" w:rsidRPr="005C0892" w:rsidTr="005C0892">
        <w:trPr>
          <w:trHeight w:hRule="exact" w:val="423"/>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Kaarlimõisa tee 25-10</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29,9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1 126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Oti 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43,8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Oti-2</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33,1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Oti-3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47,4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484"/>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Kaarlimõisa tee 25-2</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26,6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1 126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42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Kaarlimõisa tee 25-11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28,0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1 126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250</w:t>
            </w:r>
          </w:p>
        </w:tc>
      </w:tr>
      <w:tr w:rsidR="00B263F8" w:rsidRPr="005C0892" w:rsidTr="005C0892">
        <w:trPr>
          <w:trHeight w:hRule="exact" w:val="426"/>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Jõgeva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Põltsamaa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Väike-Kamari küla Kaarlimõisa tee 25-12</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31,6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1 126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Viljandi tn 1-5</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1 735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Viljandi tn 1-6</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1 735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Koigi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Päinurme küla, Õunaaia 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kortermaja</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999,6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4 724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Paide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 tn 75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büroohoone</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684,2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1 589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tn 1-4, Särevere</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1 735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Õpetajate 6-14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73,1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3 175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Viljandi tn 1-1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39,0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1 735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Õpetajate tn 1-8</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731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Viljandi 1-3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1 735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Särevere alevik Õpetajate 5-1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42,3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690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2300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Järva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Türi vald, Särevere</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Õpetajate 1-3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731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Rakvere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Piiri tn 8a-11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2 923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Sõmeru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Vaeküla küla, Mõisavahe tee 10</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778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Rakvere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Piiri tn 8B-7</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64,4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5 929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Vihula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Vainupea küla, Paadisadama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suvila</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142,9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7 690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230000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Vihula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Pedassaare küla, Neeme</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suvila</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454,0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14 816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231987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Lääne-Viru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Sõmeru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Vaeküla küla, Mõisavahe tee 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saunahoone</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144,8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1 520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Kuldse kodu tn 1-148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66,1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29 760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30200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Peahoone tee 4-36</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28,7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2519</w:t>
            </w:r>
          </w:p>
        </w:tc>
      </w:tr>
      <w:tr w:rsidR="00B263F8" w:rsidRPr="005C0892" w:rsidTr="005C0892">
        <w:trPr>
          <w:trHeight w:hRule="exact" w:val="537"/>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Lasteaia tee 3; Peahoone tee 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hoonestatud kinnistud</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2 773,9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6 843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4777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Asuvere tee 8</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ühiselamuhoone</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4 022,0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10 396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10007</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Peahoone tee 4-3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36,0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Peahoone tee 4-13</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43,3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1085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Peahoone tee 4-32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33,1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828</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Pärnu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Saarde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Tihemetsa alevik Peahoone tee 4-34</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43,8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1095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Rapla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Raikküla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Raikküla küla Valitsejamaja kinnistu</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korterid (9 omandit)</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634,0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1 579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Rapla</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Rapla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Alu alevik Pargi tn 3-10</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69,6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17 286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18265</w:t>
            </w:r>
          </w:p>
        </w:tc>
      </w:tr>
      <w:tr w:rsidR="00B263F8" w:rsidRPr="005C0892" w:rsidTr="005C0892">
        <w:trPr>
          <w:trHeight w:hRule="exact" w:val="422"/>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Kaare tn 10-11</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42,1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2 923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15130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Kaarma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tee 2a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büroohoone</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253,9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4 779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58500</w:t>
            </w:r>
          </w:p>
        </w:tc>
      </w:tr>
      <w:tr w:rsidR="00B263F8" w:rsidRPr="005C0892" w:rsidTr="005C0892">
        <w:trPr>
          <w:trHeight w:hRule="exact" w:val="503"/>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Kaare tn 10-9</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42,1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2 923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15305</w:t>
            </w:r>
          </w:p>
        </w:tc>
      </w:tr>
      <w:tr w:rsidR="00B263F8" w:rsidRPr="005C0892" w:rsidTr="005C0892">
        <w:trPr>
          <w:trHeight w:hRule="exact" w:val="425"/>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Talve tn 5</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Korterid (2 omandit)</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204,6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1 459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46661</w:t>
            </w:r>
          </w:p>
        </w:tc>
      </w:tr>
      <w:tr w:rsidR="00B263F8" w:rsidRPr="005C0892" w:rsidTr="005C0892">
        <w:trPr>
          <w:trHeight w:hRule="exact" w:val="418"/>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Sirge 2-12</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80,7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3 922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22761</w:t>
            </w:r>
          </w:p>
        </w:tc>
      </w:tr>
      <w:tr w:rsidR="00B263F8" w:rsidRPr="005C0892" w:rsidTr="005C0892">
        <w:trPr>
          <w:trHeight w:hRule="exact" w:val="41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Arhiivi tn 5/7</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garaažid</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1 000,0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3 273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24522</w:t>
            </w:r>
          </w:p>
        </w:tc>
      </w:tr>
      <w:tr w:rsidR="00B263F8" w:rsidRPr="005C0892" w:rsidTr="005C0892">
        <w:trPr>
          <w:trHeight w:hRule="exact" w:val="43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Saare</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Kuressaare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Sirge 2-14</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51,6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3 922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14700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Ropka tn 22A-12</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76,4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4 254</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40903</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Kambja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Kammeri küla, Kammeri Kodu 7</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5 348</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Mäksa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Kaagvere küla, Mõra 11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3 956</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11000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Nõo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Tõravere alevik M3 ja M4</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mitteeluruumid</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480,4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6 157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9600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Rõõmu tee 18-15</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62,9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4 751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49125</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Kastani tn 93/95-4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56,2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1 153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41600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Ravila 75A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jäätmejaam</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762,0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6 859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62000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Tartu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Pikk 2-56</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42,7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4 537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51326</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53-17</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22400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16500</w:t>
            </w:r>
          </w:p>
        </w:tc>
      </w:tr>
      <w:tr w:rsidR="00B263F8" w:rsidRPr="005C0892" w:rsidTr="005C0892">
        <w:trPr>
          <w:trHeight w:hRule="exact" w:val="442"/>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suure-Jaani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Olustvere alevik Põllu 2-3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42,7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3 853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53-7</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21500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53-6</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17000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53-18</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21500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53-16</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72,0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23500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17500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Kauge tn 12-9</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58,0</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715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16800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Viljandi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Riia mnt 53-10</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3 287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Laane 4-13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4 165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küla Õpetajate 11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58,1</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5 749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750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Luha tn 22-8</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33,2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2 237</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10600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Väimela alevik, Pärna tee 16-1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55,3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3 700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Kubja tee 1-28</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38,8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2 865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10900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Antsla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Vana-Antsla alevik, Mõisa</w:t>
            </w:r>
          </w:p>
        </w:tc>
        <w:tc>
          <w:tcPr>
            <w:tcW w:w="25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mõisahooned ja mõisapark</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2 779,2</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71 400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65200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Väimela alevik, Väiso tee 5//Puu</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34,7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5 211</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Kubja tee 1-3</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40,4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2 865</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9000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Koreli tn 28a-27</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48,6</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2 962</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12000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Petseri 8-19</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48,9</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2 490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13500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küla, Õpetajate 6</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58,4</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5 749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680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küla, Õpetajate 2</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57,7</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5 749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700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küla, Õpetajate 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5 749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800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vald</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Urvaste küla, Õpetajate 1</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48,5</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5 749</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600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Lille tn 15-9</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37,8</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3 130</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10000</w:t>
            </w:r>
          </w:p>
        </w:tc>
      </w:tr>
      <w:tr w:rsidR="00B263F8" w:rsidRPr="005C0892" w:rsidTr="005C0892">
        <w:trPr>
          <w:trHeight w:hRule="exact" w:val="340"/>
        </w:trPr>
        <w:tc>
          <w:tcPr>
            <w:tcW w:w="1091"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w:t>
            </w:r>
          </w:p>
        </w:tc>
        <w:tc>
          <w:tcPr>
            <w:tcW w:w="1370"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Võru linn</w:t>
            </w:r>
          </w:p>
        </w:tc>
        <w:tc>
          <w:tcPr>
            <w:tcW w:w="3288"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Vilja tn 20-4</w:t>
            </w:r>
          </w:p>
        </w:tc>
        <w:tc>
          <w:tcPr>
            <w:tcW w:w="2543" w:type="dxa"/>
            <w:shd w:val="clear" w:color="auto" w:fill="auto"/>
            <w:noWrap/>
            <w:vAlign w:val="center"/>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korter</w:t>
            </w:r>
          </w:p>
        </w:tc>
        <w:tc>
          <w:tcPr>
            <w:tcW w:w="2126"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58,3</w:t>
            </w:r>
          </w:p>
        </w:tc>
        <w:tc>
          <w:tcPr>
            <w:tcW w:w="1843"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2 323</w:t>
            </w:r>
          </w:p>
        </w:tc>
        <w:tc>
          <w:tcPr>
            <w:tcW w:w="1707" w:type="dxa"/>
            <w:shd w:val="clear" w:color="auto" w:fill="auto"/>
            <w:noWrap/>
            <w:vAlign w:val="center"/>
            <w:hideMark/>
          </w:tcPr>
          <w:p w:rsidR="00B263F8" w:rsidRPr="005C0892" w:rsidRDefault="00B263F8" w:rsidP="005C0892">
            <w:pPr>
              <w:spacing w:before="0"/>
              <w:jc w:val="left"/>
              <w:rPr>
                <w:rFonts w:eastAsia="Times New Roman"/>
                <w:color w:val="000000"/>
                <w:sz w:val="18"/>
                <w:szCs w:val="18"/>
                <w:lang w:eastAsia="et-EE"/>
              </w:rPr>
            </w:pPr>
            <w:r w:rsidRPr="005C0892">
              <w:rPr>
                <w:rFonts w:eastAsia="Times New Roman"/>
                <w:color w:val="000000"/>
                <w:sz w:val="18"/>
                <w:szCs w:val="18"/>
                <w:lang w:eastAsia="et-EE"/>
              </w:rPr>
              <w:t>18000</w:t>
            </w:r>
          </w:p>
        </w:tc>
      </w:tr>
    </w:tbl>
    <w:p w:rsidR="00B263F8" w:rsidRPr="00D02150" w:rsidRDefault="00B263F8" w:rsidP="005458FB">
      <w:pPr>
        <w:rPr>
          <w:rFonts w:ascii="Times New Roman" w:hAnsi="Times New Roman"/>
        </w:rPr>
      </w:pPr>
    </w:p>
    <w:p w:rsidR="00B263F8" w:rsidRDefault="00B263F8" w:rsidP="005458FB">
      <w:pPr>
        <w:sectPr w:rsidR="00B263F8" w:rsidSect="00A170DA">
          <w:footerReference w:type="default" r:id="rId84"/>
          <w:pgSz w:w="16838" w:h="11906" w:orient="landscape"/>
          <w:pgMar w:top="1417" w:right="1417" w:bottom="1417" w:left="1417" w:header="708" w:footer="708" w:gutter="0"/>
          <w:cols w:space="708"/>
          <w:docGrid w:linePitch="360"/>
        </w:sectPr>
      </w:pPr>
    </w:p>
    <w:p w:rsidR="00907A55" w:rsidRDefault="00907A55" w:rsidP="00907A55">
      <w:pPr>
        <w:pStyle w:val="Heading2"/>
        <w:rPr>
          <w:kern w:val="32"/>
        </w:rPr>
      </w:pPr>
      <w:bookmarkStart w:id="506" w:name="_Ref427306035"/>
      <w:bookmarkStart w:id="507" w:name="_Toc433980773"/>
      <w:r>
        <w:rPr>
          <w:kern w:val="32"/>
        </w:rPr>
        <w:t xml:space="preserve">Lisa </w:t>
      </w:r>
      <w:r w:rsidR="00711216">
        <w:rPr>
          <w:kern w:val="32"/>
        </w:rPr>
        <w:t>4</w:t>
      </w:r>
      <w:r>
        <w:rPr>
          <w:kern w:val="32"/>
        </w:rPr>
        <w:t>. Andmete korrastamise tegevuskava</w:t>
      </w:r>
      <w:bookmarkEnd w:id="487"/>
      <w:bookmarkEnd w:id="488"/>
      <w:bookmarkEnd w:id="489"/>
      <w:bookmarkEnd w:id="490"/>
      <w:bookmarkEnd w:id="506"/>
      <w:bookmarkEnd w:id="507"/>
    </w:p>
    <w:p w:rsidR="00907A55" w:rsidRDefault="00907A55" w:rsidP="00907A55">
      <w:pPr>
        <w:rPr>
          <w:kern w:val="32"/>
        </w:rPr>
      </w:pPr>
      <w:r>
        <w:rPr>
          <w:kern w:val="32"/>
        </w:rPr>
        <w:t>10.04.2014 valitsuskabineti otsuse</w:t>
      </w:r>
      <w:r w:rsidR="00D56E86">
        <w:rPr>
          <w:kern w:val="32"/>
        </w:rPr>
        <w:t>le</w:t>
      </w:r>
      <w:r>
        <w:rPr>
          <w:kern w:val="32"/>
        </w:rPr>
        <w:t xml:space="preserve"> </w:t>
      </w:r>
      <w:r w:rsidR="00D56E86">
        <w:rPr>
          <w:kern w:val="32"/>
        </w:rPr>
        <w:t>vastavalt</w:t>
      </w:r>
      <w:r>
        <w:rPr>
          <w:kern w:val="32"/>
        </w:rPr>
        <w:t xml:space="preserve"> </w:t>
      </w:r>
      <w:r w:rsidR="00D56E86">
        <w:rPr>
          <w:kern w:val="32"/>
        </w:rPr>
        <w:t>esitab Rahandusministeerium</w:t>
      </w:r>
      <w:r>
        <w:rPr>
          <w:kern w:val="32"/>
        </w:rPr>
        <w:t xml:space="preserve"> käesoleva koondaruandega tegevuskava riigi </w:t>
      </w:r>
      <w:r w:rsidR="0020482B">
        <w:rPr>
          <w:kern w:val="32"/>
        </w:rPr>
        <w:t xml:space="preserve">omandis olevate </w:t>
      </w:r>
      <w:r>
        <w:rPr>
          <w:kern w:val="32"/>
        </w:rPr>
        <w:t xml:space="preserve">hoonete andmete korrastamiseks. </w:t>
      </w:r>
    </w:p>
    <w:p w:rsidR="0020482B" w:rsidRDefault="00907A55" w:rsidP="00907A55">
      <w:pPr>
        <w:rPr>
          <w:kern w:val="32"/>
        </w:rPr>
      </w:pPr>
      <w:r>
        <w:rPr>
          <w:kern w:val="32"/>
        </w:rPr>
        <w:t>Andmete korrastamine on kavas läbi viia kahes etapis. Esimeses etapis täpsustatakse hoonete pinnaandmed, teises etapis töötatakse välja terviklik hoone andmemudel ning kogutakse ülejäänud vajalikud andmed. Käesolev tegevuskava hõlmab andmete korrastamise esimese etapi töid,</w:t>
      </w:r>
      <w:r w:rsidR="003A4885">
        <w:rPr>
          <w:kern w:val="32"/>
        </w:rPr>
        <w:t xml:space="preserve"> </w:t>
      </w:r>
      <w:r>
        <w:rPr>
          <w:kern w:val="32"/>
        </w:rPr>
        <w:t>ehk</w:t>
      </w:r>
      <w:r w:rsidR="0020482B">
        <w:rPr>
          <w:kern w:val="32"/>
        </w:rPr>
        <w:t>:</w:t>
      </w:r>
    </w:p>
    <w:p w:rsidR="0020482B" w:rsidRDefault="00907A55" w:rsidP="0020482B">
      <w:pPr>
        <w:pStyle w:val="Loend1"/>
        <w:rPr>
          <w:kern w:val="32"/>
        </w:rPr>
      </w:pPr>
      <w:r>
        <w:rPr>
          <w:kern w:val="32"/>
        </w:rPr>
        <w:t xml:space="preserve"> ehitisregistris registreerimata hoonete registrisse kandmist</w:t>
      </w:r>
      <w:r w:rsidR="00D63D29">
        <w:rPr>
          <w:kern w:val="32"/>
        </w:rPr>
        <w:t xml:space="preserve"> ehitisteatise alusel</w:t>
      </w:r>
      <w:r w:rsidR="0020482B">
        <w:rPr>
          <w:kern w:val="32"/>
        </w:rPr>
        <w:t>;</w:t>
      </w:r>
    </w:p>
    <w:p w:rsidR="0020482B" w:rsidRDefault="00907A55" w:rsidP="0020482B">
      <w:pPr>
        <w:pStyle w:val="Loend1"/>
        <w:rPr>
          <w:kern w:val="32"/>
        </w:rPr>
      </w:pPr>
      <w:r>
        <w:rPr>
          <w:kern w:val="32"/>
        </w:rPr>
        <w:t xml:space="preserve"> </w:t>
      </w:r>
      <w:r w:rsidR="00D63D29">
        <w:rPr>
          <w:kern w:val="32"/>
        </w:rPr>
        <w:t>kõikide</w:t>
      </w:r>
      <w:r>
        <w:rPr>
          <w:kern w:val="32"/>
        </w:rPr>
        <w:t xml:space="preserve"> hoonete ülemõõdistamist</w:t>
      </w:r>
      <w:r w:rsidR="00D63D29">
        <w:rPr>
          <w:kern w:val="32"/>
        </w:rPr>
        <w:t xml:space="preserve"> ja mõõdistustulemuste EHR-i kandmist</w:t>
      </w:r>
      <w:r w:rsidR="0020482B">
        <w:rPr>
          <w:kern w:val="32"/>
        </w:rPr>
        <w:t>;</w:t>
      </w:r>
    </w:p>
    <w:p w:rsidR="0020482B" w:rsidRDefault="00907A55" w:rsidP="0020482B">
      <w:pPr>
        <w:pStyle w:val="Loend1"/>
        <w:rPr>
          <w:kern w:val="32"/>
        </w:rPr>
      </w:pPr>
      <w:r>
        <w:rPr>
          <w:kern w:val="32"/>
        </w:rPr>
        <w:t xml:space="preserve"> </w:t>
      </w:r>
      <w:r w:rsidR="00D63D29">
        <w:rPr>
          <w:kern w:val="32"/>
        </w:rPr>
        <w:t>üle 50 m² (suletud netopind) sisekliima tagamisega</w:t>
      </w:r>
      <w:r>
        <w:rPr>
          <w:kern w:val="32"/>
        </w:rPr>
        <w:t xml:space="preserve"> hoonetele energiamärgise väljastamist.</w:t>
      </w:r>
      <w:r w:rsidRPr="008B11EF">
        <w:rPr>
          <w:kern w:val="32"/>
        </w:rPr>
        <w:t xml:space="preserve"> </w:t>
      </w:r>
    </w:p>
    <w:p w:rsidR="00A43F80" w:rsidRDefault="00A43F80" w:rsidP="00A43F80">
      <w:pPr>
        <w:rPr>
          <w:kern w:val="32"/>
        </w:rPr>
      </w:pPr>
      <w:r>
        <w:rPr>
          <w:kern w:val="32"/>
        </w:rPr>
        <w:t xml:space="preserve">Tehnilised andmed, mis ülemõõdistamise käigus korrastatud saavad on: </w:t>
      </w:r>
    </w:p>
    <w:p w:rsidR="00A43F80" w:rsidRDefault="00A43F80" w:rsidP="00A43F80">
      <w:pPr>
        <w:pStyle w:val="Loend1"/>
        <w:rPr>
          <w:kern w:val="32"/>
        </w:rPr>
      </w:pPr>
      <w:r>
        <w:rPr>
          <w:kern w:val="32"/>
        </w:rPr>
        <w:t xml:space="preserve">ehitisealune pind; </w:t>
      </w:r>
    </w:p>
    <w:p w:rsidR="00A43F80" w:rsidRDefault="00A43F80" w:rsidP="00A43F80">
      <w:pPr>
        <w:pStyle w:val="Loend1"/>
        <w:rPr>
          <w:kern w:val="32"/>
        </w:rPr>
      </w:pPr>
      <w:r>
        <w:rPr>
          <w:kern w:val="32"/>
        </w:rPr>
        <w:t>suletud netopind;</w:t>
      </w:r>
    </w:p>
    <w:p w:rsidR="00A43F80" w:rsidRDefault="00A43F80" w:rsidP="00A43F80">
      <w:pPr>
        <w:pStyle w:val="Loend1"/>
        <w:rPr>
          <w:kern w:val="32"/>
        </w:rPr>
      </w:pPr>
      <w:r>
        <w:rPr>
          <w:kern w:val="32"/>
        </w:rPr>
        <w:t>kõrgus, pikkus;</w:t>
      </w:r>
    </w:p>
    <w:p w:rsidR="00A43F80" w:rsidRPr="00A43F80" w:rsidRDefault="00A43F80" w:rsidP="00A43F80">
      <w:pPr>
        <w:pStyle w:val="Loend1"/>
        <w:rPr>
          <w:kern w:val="32"/>
        </w:rPr>
      </w:pPr>
      <w:r>
        <w:rPr>
          <w:kern w:val="32"/>
        </w:rPr>
        <w:t>laius;</w:t>
      </w:r>
    </w:p>
    <w:p w:rsidR="00A43F80" w:rsidRDefault="00A43F80" w:rsidP="00A43F80">
      <w:pPr>
        <w:pStyle w:val="Loend1"/>
        <w:rPr>
          <w:kern w:val="32"/>
        </w:rPr>
      </w:pPr>
      <w:r>
        <w:rPr>
          <w:kern w:val="32"/>
        </w:rPr>
        <w:t xml:space="preserve">maht; </w:t>
      </w:r>
    </w:p>
    <w:p w:rsidR="00A43F80" w:rsidRDefault="00A43F80" w:rsidP="00A43F80">
      <w:pPr>
        <w:pStyle w:val="Loend1"/>
        <w:rPr>
          <w:kern w:val="32"/>
        </w:rPr>
      </w:pPr>
      <w:r>
        <w:rPr>
          <w:kern w:val="32"/>
        </w:rPr>
        <w:t xml:space="preserve">köetav pind. </w:t>
      </w:r>
    </w:p>
    <w:p w:rsidR="003A4885" w:rsidRDefault="003A4885" w:rsidP="00907A55">
      <w:pPr>
        <w:rPr>
          <w:kern w:val="32"/>
        </w:rPr>
      </w:pPr>
      <w:r>
        <w:rPr>
          <w:kern w:val="32"/>
        </w:rPr>
        <w:t>Tegevuskava II etapi ettevalmistamisega on kavas alustada 2016.aastal</w:t>
      </w:r>
    </w:p>
    <w:p w:rsidR="00DD6A87" w:rsidRDefault="00DD6A87" w:rsidP="00907A55">
      <w:pPr>
        <w:rPr>
          <w:kern w:val="32"/>
        </w:rPr>
      </w:pPr>
      <w:r>
        <w:rPr>
          <w:kern w:val="32"/>
        </w:rPr>
        <w:t>Käesoleva tegevuskava on koostanud RKAS rahandusministeeriumi poolt esitatud riigi kinnisvararegistri 02.01.2015 hoonete väljavõtte ja 2014. a suvel läbi viidud andmekorje tulemuste alusel. Tegevuskava on indikatiivne, enne andmete korrastamise alustamist on vajalik turult võtta alternatiivseid hinnapakkumisi.</w:t>
      </w:r>
    </w:p>
    <w:p w:rsidR="00094EC1" w:rsidRDefault="00094EC1" w:rsidP="00907A55">
      <w:pPr>
        <w:rPr>
          <w:kern w:val="32"/>
        </w:rPr>
      </w:pPr>
      <w:r>
        <w:rPr>
          <w:kern w:val="32"/>
        </w:rPr>
        <w:t>Tegevuskavasse kaasatud hooned:</w:t>
      </w:r>
    </w:p>
    <w:tbl>
      <w:tblPr>
        <w:tblW w:w="7518" w:type="dxa"/>
        <w:tblInd w:w="65" w:type="dxa"/>
        <w:tblCellMar>
          <w:left w:w="70" w:type="dxa"/>
          <w:right w:w="70" w:type="dxa"/>
        </w:tblCellMar>
        <w:tblLook w:val="04A0"/>
      </w:tblPr>
      <w:tblGrid>
        <w:gridCol w:w="3549"/>
        <w:gridCol w:w="1843"/>
        <w:gridCol w:w="2126"/>
      </w:tblGrid>
      <w:tr w:rsidR="00094EC1" w:rsidRPr="00094EC1" w:rsidTr="00094EC1">
        <w:trPr>
          <w:trHeight w:val="300"/>
        </w:trPr>
        <w:tc>
          <w:tcPr>
            <w:tcW w:w="3549"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094EC1" w:rsidRPr="00094EC1" w:rsidRDefault="00094EC1" w:rsidP="00094EC1">
            <w:pPr>
              <w:spacing w:before="0"/>
              <w:jc w:val="center"/>
              <w:rPr>
                <w:rFonts w:eastAsia="Times New Roman"/>
                <w:color w:val="000000"/>
                <w:lang w:eastAsia="et-EE"/>
              </w:rPr>
            </w:pPr>
            <w:r w:rsidRPr="00094EC1">
              <w:rPr>
                <w:rFonts w:eastAsia="Times New Roman"/>
                <w:color w:val="000000"/>
                <w:lang w:eastAsia="et-EE"/>
              </w:rPr>
              <w:t> </w:t>
            </w:r>
          </w:p>
        </w:tc>
        <w:tc>
          <w:tcPr>
            <w:tcW w:w="1843" w:type="dxa"/>
            <w:tcBorders>
              <w:top w:val="single" w:sz="4" w:space="0" w:color="auto"/>
              <w:left w:val="nil"/>
              <w:bottom w:val="single" w:sz="4" w:space="0" w:color="auto"/>
              <w:right w:val="single" w:sz="4" w:space="0" w:color="auto"/>
            </w:tcBorders>
            <w:shd w:val="clear" w:color="000000" w:fill="C5D9F1"/>
            <w:noWrap/>
            <w:vAlign w:val="bottom"/>
            <w:hideMark/>
          </w:tcPr>
          <w:p w:rsidR="00094EC1" w:rsidRPr="00094EC1" w:rsidRDefault="00094EC1" w:rsidP="00094EC1">
            <w:pPr>
              <w:spacing w:before="0"/>
              <w:jc w:val="center"/>
              <w:rPr>
                <w:rFonts w:eastAsia="Times New Roman"/>
                <w:b/>
                <w:bCs/>
                <w:color w:val="000000"/>
                <w:lang w:eastAsia="et-EE"/>
              </w:rPr>
            </w:pPr>
            <w:r w:rsidRPr="00094EC1">
              <w:rPr>
                <w:rFonts w:eastAsia="Times New Roman"/>
                <w:b/>
                <w:bCs/>
                <w:color w:val="000000"/>
                <w:lang w:eastAsia="et-EE"/>
              </w:rPr>
              <w:t>Hoonete arv</w:t>
            </w:r>
          </w:p>
        </w:tc>
        <w:tc>
          <w:tcPr>
            <w:tcW w:w="2126" w:type="dxa"/>
            <w:tcBorders>
              <w:top w:val="single" w:sz="4" w:space="0" w:color="auto"/>
              <w:left w:val="nil"/>
              <w:bottom w:val="single" w:sz="4" w:space="0" w:color="auto"/>
              <w:right w:val="single" w:sz="4" w:space="0" w:color="auto"/>
            </w:tcBorders>
            <w:shd w:val="clear" w:color="000000" w:fill="C5D9F1"/>
            <w:noWrap/>
            <w:vAlign w:val="bottom"/>
            <w:hideMark/>
          </w:tcPr>
          <w:p w:rsidR="00094EC1" w:rsidRPr="00094EC1" w:rsidRDefault="00094EC1" w:rsidP="00094EC1">
            <w:pPr>
              <w:spacing w:before="0"/>
              <w:jc w:val="center"/>
              <w:rPr>
                <w:rFonts w:eastAsia="Times New Roman"/>
                <w:b/>
                <w:bCs/>
                <w:color w:val="000000"/>
                <w:lang w:eastAsia="et-EE"/>
              </w:rPr>
            </w:pPr>
            <w:r w:rsidRPr="00094EC1">
              <w:rPr>
                <w:rFonts w:eastAsia="Times New Roman"/>
                <w:b/>
                <w:bCs/>
                <w:color w:val="000000"/>
                <w:lang w:eastAsia="et-EE"/>
              </w:rPr>
              <w:t xml:space="preserve">Pindala </w:t>
            </w:r>
            <w:r>
              <w:rPr>
                <w:rFonts w:eastAsia="Times New Roman"/>
                <w:b/>
                <w:bCs/>
                <w:color w:val="000000"/>
                <w:lang w:eastAsia="et-EE"/>
              </w:rPr>
              <w:t>(</w:t>
            </w:r>
            <w:r w:rsidRPr="00094EC1">
              <w:rPr>
                <w:rFonts w:eastAsia="Times New Roman"/>
                <w:b/>
                <w:bCs/>
                <w:color w:val="000000"/>
                <w:lang w:eastAsia="et-EE"/>
              </w:rPr>
              <w:t>m</w:t>
            </w:r>
            <w:r w:rsidRPr="00094EC1">
              <w:rPr>
                <w:rFonts w:ascii="Times New Roman" w:eastAsia="Times New Roman" w:hAnsi="Times New Roman"/>
                <w:b/>
                <w:bCs/>
                <w:color w:val="000000"/>
                <w:lang w:eastAsia="et-EE"/>
              </w:rPr>
              <w:t>²</w:t>
            </w:r>
            <w:r>
              <w:rPr>
                <w:rFonts w:ascii="Times New Roman" w:eastAsia="Times New Roman" w:hAnsi="Times New Roman"/>
                <w:b/>
                <w:bCs/>
                <w:color w:val="000000"/>
                <w:lang w:eastAsia="et-EE"/>
              </w:rPr>
              <w:t>)</w:t>
            </w:r>
          </w:p>
        </w:tc>
      </w:tr>
      <w:tr w:rsidR="00094EC1" w:rsidRPr="00094EC1" w:rsidTr="00094EC1">
        <w:trPr>
          <w:trHeight w:val="583"/>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094EC1" w:rsidRPr="00094EC1" w:rsidRDefault="00094EC1" w:rsidP="00094EC1">
            <w:pPr>
              <w:spacing w:before="0"/>
              <w:rPr>
                <w:rFonts w:eastAsia="Times New Roman"/>
                <w:color w:val="000000"/>
                <w:lang w:eastAsia="et-EE"/>
              </w:rPr>
            </w:pPr>
            <w:r w:rsidRPr="00094EC1">
              <w:rPr>
                <w:rFonts w:eastAsia="Times New Roman"/>
                <w:color w:val="000000"/>
                <w:lang w:eastAsia="et-EE"/>
              </w:rPr>
              <w:t xml:space="preserve">Eestis asuvaid hooneid kokku </w:t>
            </w:r>
            <w:r>
              <w:rPr>
                <w:rFonts w:eastAsia="Times New Roman"/>
                <w:color w:val="000000"/>
                <w:lang w:eastAsia="et-EE"/>
              </w:rPr>
              <w:t>(</w:t>
            </w:r>
            <w:r w:rsidRPr="00094EC1">
              <w:rPr>
                <w:rFonts w:eastAsia="Times New Roman"/>
                <w:color w:val="000000"/>
                <w:lang w:eastAsia="et-EE"/>
              </w:rPr>
              <w:t>ilma KaM-i ja RMK-ta</w:t>
            </w:r>
            <w:r>
              <w:rPr>
                <w:rFonts w:eastAsia="Times New Roman"/>
                <w:color w:val="000000"/>
                <w:lang w:eastAsia="et-EE"/>
              </w:rPr>
              <w:t>)</w:t>
            </w:r>
          </w:p>
        </w:tc>
        <w:tc>
          <w:tcPr>
            <w:tcW w:w="1843"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1 022</w:t>
            </w:r>
          </w:p>
        </w:tc>
        <w:tc>
          <w:tcPr>
            <w:tcW w:w="2126"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982 484</w:t>
            </w:r>
          </w:p>
        </w:tc>
      </w:tr>
      <w:tr w:rsidR="00094EC1" w:rsidRPr="00094EC1" w:rsidTr="00094EC1">
        <w:trPr>
          <w:trHeight w:val="300"/>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094EC1" w:rsidRPr="00094EC1" w:rsidRDefault="00094EC1" w:rsidP="00094EC1">
            <w:pPr>
              <w:spacing w:before="0"/>
              <w:rPr>
                <w:rFonts w:eastAsia="Times New Roman"/>
                <w:color w:val="000000"/>
                <w:lang w:eastAsia="et-EE"/>
              </w:rPr>
            </w:pPr>
            <w:r>
              <w:rPr>
                <w:rFonts w:eastAsia="Times New Roman"/>
                <w:color w:val="000000"/>
                <w:lang w:eastAsia="et-EE"/>
              </w:rPr>
              <w:t xml:space="preserve">   sh</w:t>
            </w:r>
            <w:r w:rsidRPr="00094EC1">
              <w:rPr>
                <w:rFonts w:eastAsia="Times New Roman"/>
                <w:color w:val="000000"/>
                <w:lang w:eastAsia="et-EE"/>
              </w:rPr>
              <w:t xml:space="preserve"> EHR-i kandmata</w:t>
            </w:r>
          </w:p>
        </w:tc>
        <w:tc>
          <w:tcPr>
            <w:tcW w:w="1843"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292</w:t>
            </w:r>
          </w:p>
        </w:tc>
        <w:tc>
          <w:tcPr>
            <w:tcW w:w="2126"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131 638</w:t>
            </w:r>
          </w:p>
        </w:tc>
      </w:tr>
      <w:tr w:rsidR="00094EC1" w:rsidRPr="00094EC1" w:rsidTr="00094EC1">
        <w:trPr>
          <w:trHeight w:val="527"/>
        </w:trPr>
        <w:tc>
          <w:tcPr>
            <w:tcW w:w="3549" w:type="dxa"/>
            <w:tcBorders>
              <w:top w:val="nil"/>
              <w:left w:val="single" w:sz="4" w:space="0" w:color="auto"/>
              <w:bottom w:val="single" w:sz="4" w:space="0" w:color="auto"/>
              <w:right w:val="single" w:sz="4" w:space="0" w:color="auto"/>
            </w:tcBorders>
            <w:shd w:val="clear" w:color="auto" w:fill="auto"/>
            <w:noWrap/>
            <w:vAlign w:val="bottom"/>
            <w:hideMark/>
          </w:tcPr>
          <w:p w:rsidR="00094EC1" w:rsidRPr="00094EC1" w:rsidRDefault="00094EC1" w:rsidP="00094EC1">
            <w:pPr>
              <w:spacing w:before="0"/>
              <w:rPr>
                <w:rFonts w:eastAsia="Times New Roman"/>
                <w:color w:val="000000"/>
                <w:lang w:eastAsia="et-EE"/>
              </w:rPr>
            </w:pPr>
            <w:r w:rsidRPr="00094EC1">
              <w:rPr>
                <w:rFonts w:eastAsia="Times New Roman"/>
                <w:color w:val="000000"/>
                <w:lang w:eastAsia="et-EE"/>
              </w:rPr>
              <w:t>sisekliima tagamisega, üle 50</w:t>
            </w:r>
            <w:r>
              <w:rPr>
                <w:rFonts w:eastAsia="Times New Roman"/>
                <w:color w:val="000000"/>
                <w:lang w:eastAsia="et-EE"/>
              </w:rPr>
              <w:t xml:space="preserve"> </w:t>
            </w:r>
            <w:r w:rsidRPr="00094EC1">
              <w:rPr>
                <w:rFonts w:eastAsia="Times New Roman"/>
                <w:color w:val="000000"/>
                <w:lang w:eastAsia="et-EE"/>
              </w:rPr>
              <w:t>m</w:t>
            </w:r>
            <w:r>
              <w:rPr>
                <w:rFonts w:eastAsia="Times New Roman"/>
                <w:color w:val="000000"/>
                <w:lang w:eastAsia="et-EE"/>
              </w:rPr>
              <w:t>²</w:t>
            </w:r>
            <w:r w:rsidRPr="00094EC1">
              <w:rPr>
                <w:rFonts w:eastAsia="Times New Roman"/>
                <w:color w:val="000000"/>
                <w:lang w:eastAsia="et-EE"/>
              </w:rPr>
              <w:t>, kasutuses olevad hooned</w:t>
            </w:r>
          </w:p>
        </w:tc>
        <w:tc>
          <w:tcPr>
            <w:tcW w:w="1843"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color w:val="000000"/>
                <w:lang w:eastAsia="et-EE"/>
              </w:rPr>
            </w:pPr>
            <w:r w:rsidRPr="00094EC1">
              <w:rPr>
                <w:rFonts w:ascii="Times New Roman" w:eastAsia="Times New Roman" w:hAnsi="Times New Roman"/>
                <w:color w:val="000000"/>
                <w:lang w:eastAsia="et-EE"/>
              </w:rPr>
              <w:t>584</w:t>
            </w:r>
          </w:p>
        </w:tc>
        <w:tc>
          <w:tcPr>
            <w:tcW w:w="2126"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color w:val="000000"/>
                <w:lang w:eastAsia="et-EE"/>
              </w:rPr>
            </w:pPr>
            <w:r w:rsidRPr="00094EC1">
              <w:rPr>
                <w:rFonts w:ascii="Times New Roman" w:eastAsia="Times New Roman" w:hAnsi="Times New Roman"/>
                <w:color w:val="000000"/>
                <w:lang w:eastAsia="et-EE"/>
              </w:rPr>
              <w:t>833 963</w:t>
            </w:r>
          </w:p>
        </w:tc>
      </w:tr>
      <w:tr w:rsidR="00094EC1" w:rsidRPr="00094EC1" w:rsidTr="00094EC1">
        <w:trPr>
          <w:trHeight w:val="300"/>
        </w:trPr>
        <w:tc>
          <w:tcPr>
            <w:tcW w:w="3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4EC1" w:rsidRPr="00094EC1" w:rsidRDefault="00094EC1" w:rsidP="00094EC1">
            <w:pPr>
              <w:spacing w:before="0"/>
              <w:rPr>
                <w:rFonts w:eastAsia="Times New Roman"/>
                <w:color w:val="000000"/>
                <w:lang w:eastAsia="et-EE"/>
              </w:rPr>
            </w:pPr>
            <w:r>
              <w:rPr>
                <w:rFonts w:eastAsia="Times New Roman"/>
                <w:color w:val="000000"/>
                <w:lang w:eastAsia="et-EE"/>
              </w:rPr>
              <w:t xml:space="preserve">   </w:t>
            </w:r>
            <w:r w:rsidR="008B2D86">
              <w:rPr>
                <w:rFonts w:eastAsia="Times New Roman"/>
                <w:color w:val="000000"/>
                <w:lang w:eastAsia="et-EE"/>
              </w:rPr>
              <w:t>sh energia</w:t>
            </w:r>
            <w:r w:rsidRPr="00094EC1">
              <w:rPr>
                <w:rFonts w:eastAsia="Times New Roman"/>
                <w:color w:val="000000"/>
                <w:lang w:eastAsia="et-EE"/>
              </w:rPr>
              <w:t>märgiseta</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490</w:t>
            </w:r>
          </w:p>
        </w:tc>
        <w:tc>
          <w:tcPr>
            <w:tcW w:w="2126" w:type="dxa"/>
            <w:tcBorders>
              <w:top w:val="nil"/>
              <w:left w:val="nil"/>
              <w:bottom w:val="single" w:sz="4" w:space="0" w:color="auto"/>
              <w:right w:val="single" w:sz="4" w:space="0" w:color="auto"/>
            </w:tcBorders>
            <w:shd w:val="clear" w:color="auto" w:fill="auto"/>
            <w:noWrap/>
            <w:vAlign w:val="bottom"/>
            <w:hideMark/>
          </w:tcPr>
          <w:p w:rsidR="00094EC1" w:rsidRPr="00094EC1" w:rsidRDefault="00094EC1" w:rsidP="00094EC1">
            <w:pPr>
              <w:spacing w:before="0"/>
              <w:jc w:val="center"/>
              <w:rPr>
                <w:rFonts w:ascii="Times New Roman" w:eastAsia="Times New Roman" w:hAnsi="Times New Roman"/>
                <w:bCs/>
                <w:color w:val="000000"/>
                <w:lang w:eastAsia="et-EE"/>
              </w:rPr>
            </w:pPr>
            <w:r w:rsidRPr="00094EC1">
              <w:rPr>
                <w:rFonts w:ascii="Times New Roman" w:eastAsia="Times New Roman" w:hAnsi="Times New Roman"/>
                <w:bCs/>
                <w:color w:val="000000"/>
                <w:lang w:eastAsia="et-EE"/>
              </w:rPr>
              <w:t>614 620</w:t>
            </w:r>
          </w:p>
        </w:tc>
      </w:tr>
    </w:tbl>
    <w:p w:rsidR="00907A55" w:rsidRDefault="0020482B" w:rsidP="00907A55">
      <w:pPr>
        <w:rPr>
          <w:kern w:val="32"/>
        </w:rPr>
      </w:pPr>
      <w:r>
        <w:rPr>
          <w:kern w:val="32"/>
        </w:rPr>
        <w:t xml:space="preserve">Tegevuskavas on arvestatud </w:t>
      </w:r>
      <w:r w:rsidR="0001180E">
        <w:rPr>
          <w:kern w:val="32"/>
        </w:rPr>
        <w:t xml:space="preserve">vaid </w:t>
      </w:r>
      <w:r>
        <w:rPr>
          <w:kern w:val="32"/>
        </w:rPr>
        <w:t xml:space="preserve">riigile </w:t>
      </w:r>
      <w:r w:rsidR="0001180E">
        <w:rPr>
          <w:kern w:val="32"/>
        </w:rPr>
        <w:t xml:space="preserve">vajalike hoonete andmete korrastamisega (kaasatud ei ole hooned, millele andmekorjes määrati kavandatavaks korraldusmudeliks 01-riigile mittevajalik). </w:t>
      </w:r>
      <w:r w:rsidR="00907A55" w:rsidRPr="00A43F80">
        <w:rPr>
          <w:b/>
          <w:kern w:val="32"/>
        </w:rPr>
        <w:t>Tegevuskavasse ei ole</w:t>
      </w:r>
      <w:r w:rsidR="007B286A" w:rsidRPr="00A43F80">
        <w:rPr>
          <w:b/>
          <w:kern w:val="32"/>
        </w:rPr>
        <w:t xml:space="preserve"> kaasatud </w:t>
      </w:r>
      <w:r w:rsidR="00770686">
        <w:rPr>
          <w:b/>
          <w:kern w:val="32"/>
        </w:rPr>
        <w:t xml:space="preserve">kinnisvarastrateegia ulatusest välja jäävaid </w:t>
      </w:r>
      <w:r w:rsidR="007B286A" w:rsidRPr="00A43F80">
        <w:rPr>
          <w:b/>
          <w:kern w:val="32"/>
        </w:rPr>
        <w:t xml:space="preserve">Kaitseministeeriumi </w:t>
      </w:r>
      <w:r w:rsidR="00770686">
        <w:rPr>
          <w:b/>
          <w:kern w:val="32"/>
        </w:rPr>
        <w:t>ega</w:t>
      </w:r>
      <w:r w:rsidR="00907A55" w:rsidRPr="00A43F80">
        <w:rPr>
          <w:b/>
          <w:kern w:val="32"/>
        </w:rPr>
        <w:t xml:space="preserve"> Riigimetsa Majandamise Keskuse hoone</w:t>
      </w:r>
      <w:r w:rsidR="00770686">
        <w:rPr>
          <w:b/>
          <w:kern w:val="32"/>
        </w:rPr>
        <w:t>i</w:t>
      </w:r>
      <w:r w:rsidR="00907A55" w:rsidRPr="00A43F80">
        <w:rPr>
          <w:b/>
          <w:kern w:val="32"/>
        </w:rPr>
        <w:t>d.</w:t>
      </w:r>
    </w:p>
    <w:p w:rsidR="007B286A" w:rsidRDefault="0020482B" w:rsidP="00907A55">
      <w:pPr>
        <w:rPr>
          <w:kern w:val="32"/>
        </w:rPr>
      </w:pPr>
      <w:r>
        <w:t>Tegevuskavas on arvestatud energiamärgise tellimisega ka</w:t>
      </w:r>
      <w:r>
        <w:rPr>
          <w:kern w:val="32"/>
        </w:rPr>
        <w:t xml:space="preserve"> </w:t>
      </w:r>
      <w:r w:rsidR="007B286A">
        <w:rPr>
          <w:kern w:val="32"/>
        </w:rPr>
        <w:t>Ehitusseadustiku § 62 lg 2 punkti</w:t>
      </w:r>
      <w:r>
        <w:rPr>
          <w:kern w:val="32"/>
        </w:rPr>
        <w:t>s 1</w:t>
      </w:r>
      <w:r>
        <w:rPr>
          <w:rStyle w:val="FootnoteReference"/>
          <w:kern w:val="32"/>
        </w:rPr>
        <w:footnoteReference w:id="20"/>
      </w:r>
      <w:r>
        <w:rPr>
          <w:kern w:val="32"/>
        </w:rPr>
        <w:t xml:space="preserve"> nimetatud üle 50 m² suurustele sisekliima tagamisega hoonetele.</w:t>
      </w:r>
      <w:r w:rsidR="0001180E">
        <w:rPr>
          <w:kern w:val="32"/>
        </w:rPr>
        <w:t xml:space="preserve"> Märkimisväärne osa riigi hoonetest asub miljööväärtuslikel aladel (nt vanalinnas), millele seaduse kohaselt energiamärgist paigaldama ei pea. Samas on riigi huvi võrrelda kõikide sisekliima tagamisega hoonete (sh miljööväärtuslikel aladel asuvate) hoonete energiatarvet.</w:t>
      </w:r>
      <w:r>
        <w:rPr>
          <w:kern w:val="32"/>
        </w:rPr>
        <w:t xml:space="preserve"> Riigil on 32</w:t>
      </w:r>
      <w:r w:rsidR="0001180E">
        <w:rPr>
          <w:kern w:val="32"/>
        </w:rPr>
        <w:t xml:space="preserve">4 energiamärgise kohustusega kuid EHR-i andmetel ilma energiamärgiseta vajalikku hoonet. Lisaks neile on 166 miljööväärtuslikul alal asuvat </w:t>
      </w:r>
      <w:r w:rsidR="00A43F80">
        <w:rPr>
          <w:kern w:val="32"/>
        </w:rPr>
        <w:t>sisekliima tagamisega üle 50 m² hoonet. Kui arvestada ühe energiamärgise maksumuseks ca 70 eurot</w:t>
      </w:r>
      <w:r w:rsidR="002D0695">
        <w:rPr>
          <w:kern w:val="32"/>
        </w:rPr>
        <w:t xml:space="preserve"> + km</w:t>
      </w:r>
      <w:r w:rsidR="00A43F80">
        <w:rPr>
          <w:kern w:val="32"/>
        </w:rPr>
        <w:t xml:space="preserve">, on lisanduv kulu </w:t>
      </w:r>
      <w:r w:rsidR="002D0695">
        <w:rPr>
          <w:kern w:val="32"/>
        </w:rPr>
        <w:t>13 944</w:t>
      </w:r>
      <w:r w:rsidR="00A43F80">
        <w:rPr>
          <w:kern w:val="32"/>
        </w:rPr>
        <w:t xml:space="preserve"> eurot</w:t>
      </w:r>
      <w:r w:rsidR="003A4885">
        <w:rPr>
          <w:kern w:val="32"/>
        </w:rPr>
        <w:t>,</w:t>
      </w:r>
      <w:r w:rsidR="00A43F80">
        <w:rPr>
          <w:kern w:val="32"/>
        </w:rPr>
        <w:t xml:space="preserve"> kogu tegevuskava maksumust arvestades marginaalne. </w:t>
      </w:r>
    </w:p>
    <w:p w:rsidR="00FF61EC" w:rsidRDefault="00FF61EC" w:rsidP="00907A55">
      <w:pPr>
        <w:rPr>
          <w:kern w:val="32"/>
        </w:rPr>
      </w:pPr>
      <w:r>
        <w:rPr>
          <w:kern w:val="32"/>
        </w:rPr>
        <w:t xml:space="preserve">Tegevuskava viiakse läbi </w:t>
      </w:r>
      <w:r w:rsidR="008B2D86">
        <w:rPr>
          <w:kern w:val="32"/>
        </w:rPr>
        <w:t>kuues</w:t>
      </w:r>
      <w:r>
        <w:rPr>
          <w:kern w:val="32"/>
        </w:rPr>
        <w:t xml:space="preserve"> etapis:</w:t>
      </w:r>
    </w:p>
    <w:p w:rsidR="00FF61EC" w:rsidRPr="00662F39" w:rsidRDefault="00FF61EC" w:rsidP="002F4A30">
      <w:pPr>
        <w:pStyle w:val="ListParagraph"/>
        <w:numPr>
          <w:ilvl w:val="0"/>
          <w:numId w:val="17"/>
        </w:numPr>
        <w:spacing w:after="0"/>
        <w:ind w:left="397"/>
      </w:pPr>
      <w:r w:rsidRPr="00D82BE0">
        <w:rPr>
          <w:b/>
        </w:rPr>
        <w:t>Eeltöö ja analüüs</w:t>
      </w:r>
      <w:r w:rsidRPr="00662F39">
        <w:t>, mis hõlmab objekti füüsilist ülevaatust tehnilise spetsialisti poolt ning objekti dokumentatsiooniga tutvumist andmete spetsialisti poolt nii objektil kui ka arhiivis. Tööde mahud on järgmised:</w:t>
      </w:r>
    </w:p>
    <w:p w:rsidR="00FF61EC" w:rsidRPr="00181120" w:rsidRDefault="00FF61EC" w:rsidP="00FF61EC">
      <w:pPr>
        <w:pStyle w:val="Loend1"/>
      </w:pPr>
      <w:r w:rsidRPr="00181120">
        <w:t xml:space="preserve">Pinnaandmete kogumine (täpne hoonete arv, asukoht, korruselisus, teadaolev suletud netopind) – </w:t>
      </w:r>
      <w:r w:rsidRPr="00181120">
        <w:rPr>
          <w:b/>
        </w:rPr>
        <w:t>1022 hoonet</w:t>
      </w:r>
      <w:r w:rsidR="00094EC1">
        <w:rPr>
          <w:b/>
        </w:rPr>
        <w:t>;</w:t>
      </w:r>
    </w:p>
    <w:p w:rsidR="00FF61EC" w:rsidRPr="00181120" w:rsidRDefault="003A4885" w:rsidP="00FF61EC">
      <w:pPr>
        <w:pStyle w:val="Loend1"/>
      </w:pPr>
      <w:r>
        <w:t>EHR-ist puudu olevate h</w:t>
      </w:r>
      <w:r w:rsidR="00FF61EC">
        <w:t xml:space="preserve">oonete </w:t>
      </w:r>
      <w:r w:rsidR="00662F39">
        <w:t xml:space="preserve">olemasoleva </w:t>
      </w:r>
      <w:r w:rsidR="00FF61EC">
        <w:t>d</w:t>
      </w:r>
      <w:r w:rsidR="00FF61EC" w:rsidRPr="00181120">
        <w:t>okumentatsiooniga tutvumine hoone kandmiseks EHR</w:t>
      </w:r>
      <w:r w:rsidR="00662F39">
        <w:t>-</w:t>
      </w:r>
      <w:r w:rsidR="00FF61EC" w:rsidRPr="00181120">
        <w:t xml:space="preserve">i – </w:t>
      </w:r>
      <w:r w:rsidR="00FF61EC" w:rsidRPr="00181120">
        <w:rPr>
          <w:b/>
        </w:rPr>
        <w:t>292 hoonet</w:t>
      </w:r>
      <w:r w:rsidR="00094EC1">
        <w:rPr>
          <w:b/>
        </w:rPr>
        <w:t>;</w:t>
      </w:r>
    </w:p>
    <w:p w:rsidR="00094EC1" w:rsidRPr="00094EC1" w:rsidRDefault="00FF61EC" w:rsidP="00FF61EC">
      <w:pPr>
        <w:pStyle w:val="Loend1"/>
      </w:pPr>
      <w:r w:rsidRPr="00181120">
        <w:t xml:space="preserve">Objekti tehniline ülevaatus </w:t>
      </w:r>
      <w:r w:rsidR="00662F39">
        <w:t xml:space="preserve">energiatarbimise </w:t>
      </w:r>
      <w:r w:rsidRPr="00181120">
        <w:t xml:space="preserve">mõõtjate ja nende seisundi </w:t>
      </w:r>
      <w:r>
        <w:t>kaardistamiseks</w:t>
      </w:r>
      <w:r w:rsidRPr="00181120">
        <w:t xml:space="preserve"> – </w:t>
      </w:r>
      <w:r w:rsidRPr="00094EC1">
        <w:rPr>
          <w:b/>
        </w:rPr>
        <w:t>584 hoonet</w:t>
      </w:r>
      <w:r w:rsidR="00094EC1">
        <w:rPr>
          <w:b/>
        </w:rPr>
        <w:t>;</w:t>
      </w:r>
    </w:p>
    <w:p w:rsidR="00FF61EC" w:rsidRPr="00BB44E8" w:rsidRDefault="00FF61EC" w:rsidP="00FF61EC">
      <w:pPr>
        <w:pStyle w:val="Loend1"/>
      </w:pPr>
      <w:r w:rsidRPr="00181120">
        <w:t xml:space="preserve">Olemasoleva energiatarbimise andmete analüüs – </w:t>
      </w:r>
      <w:r w:rsidRPr="00094EC1">
        <w:rPr>
          <w:b/>
        </w:rPr>
        <w:t>94 hoonet</w:t>
      </w:r>
      <w:r w:rsidR="003A4885" w:rsidRPr="00094EC1">
        <w:rPr>
          <w:b/>
        </w:rPr>
        <w:t xml:space="preserve"> </w:t>
      </w:r>
      <w:r w:rsidR="003A4885" w:rsidRPr="003A4885">
        <w:t>(sisekliima tagamisega üle 50 m² hooned</w:t>
      </w:r>
      <w:r w:rsidR="003A4885">
        <w:t>, millel EHR-i andmetel on energiamärgis väljastatud</w:t>
      </w:r>
      <w:r w:rsidR="003A4885" w:rsidRPr="003A4885">
        <w:t>)</w:t>
      </w:r>
      <w:r w:rsidR="00094EC1">
        <w:t>.</w:t>
      </w:r>
    </w:p>
    <w:p w:rsidR="00FF61EC" w:rsidRDefault="00FF61EC" w:rsidP="002F4A30">
      <w:pPr>
        <w:pStyle w:val="ListParagraph"/>
        <w:numPr>
          <w:ilvl w:val="0"/>
          <w:numId w:val="17"/>
        </w:numPr>
        <w:spacing w:after="0"/>
        <w:ind w:left="397"/>
      </w:pPr>
      <w:r w:rsidRPr="00D82BE0">
        <w:rPr>
          <w:b/>
        </w:rPr>
        <w:t>Pinnaandmete korrastamine</w:t>
      </w:r>
      <w:r w:rsidR="00D82BE0" w:rsidRPr="00D82BE0">
        <w:t>, mille</w:t>
      </w:r>
      <w:r>
        <w:t xml:space="preserve"> käigus tellitakse 1022 hoonele mõõdistusjoonised, mis vastavad RKAS</w:t>
      </w:r>
      <w:r w:rsidR="00D82BE0">
        <w:t>-</w:t>
      </w:r>
      <w:r>
        <w:t>i normdokumendile „RKAS</w:t>
      </w:r>
      <w:r w:rsidR="00D82BE0">
        <w:t>-</w:t>
      </w:r>
      <w:r>
        <w:t>i nõuded ehitiste pinnaandmete mõõtmiseks“. Pinnaandmete korrastamine hõlmab:</w:t>
      </w:r>
    </w:p>
    <w:p w:rsidR="00FF61EC" w:rsidRDefault="00FF61EC" w:rsidP="00607E04">
      <w:pPr>
        <w:pStyle w:val="Loend1"/>
      </w:pPr>
      <w:r w:rsidRPr="00AA0224">
        <w:t>mõõdistusjooniste tellimise</w:t>
      </w:r>
      <w:r>
        <w:t xml:space="preserve"> hangete</w:t>
      </w:r>
      <w:r w:rsidRPr="00AA0224">
        <w:t xml:space="preserve"> korraldamist, </w:t>
      </w:r>
    </w:p>
    <w:p w:rsidR="00FF61EC" w:rsidRDefault="00FF61EC" w:rsidP="00607E04">
      <w:pPr>
        <w:pStyle w:val="Loend1"/>
      </w:pPr>
      <w:r w:rsidRPr="00AA0224">
        <w:t xml:space="preserve">hoonete mõõdistamise protsessi juhtimist, </w:t>
      </w:r>
    </w:p>
    <w:p w:rsidR="00FF61EC" w:rsidRDefault="00FF61EC" w:rsidP="00607E04">
      <w:pPr>
        <w:pStyle w:val="Loend1"/>
      </w:pPr>
      <w:r w:rsidRPr="00AA0224">
        <w:t xml:space="preserve">mõõdistusjooniste nõuetele vastavuse kontrollimist, </w:t>
      </w:r>
    </w:p>
    <w:p w:rsidR="00FF61EC" w:rsidRDefault="00FF61EC" w:rsidP="00607E04">
      <w:pPr>
        <w:pStyle w:val="Loend1"/>
      </w:pPr>
      <w:r w:rsidRPr="00AA0224">
        <w:t>mõõdistusjooniste ho</w:t>
      </w:r>
      <w:r>
        <w:t>iustamist RK</w:t>
      </w:r>
      <w:r>
        <w:rPr>
          <w:caps/>
        </w:rPr>
        <w:t>AS</w:t>
      </w:r>
      <w:r>
        <w:t>i serveris.</w:t>
      </w:r>
    </w:p>
    <w:p w:rsidR="00FF61EC" w:rsidRDefault="00FF61EC" w:rsidP="00DD6A87">
      <w:r>
        <w:t>Antud etapi tulemusena on kõigil käsitletud hoonetel korrektsed mõõdistusjoonised. Mõõdistusjoonised hoiustatakse vastavas serveris ning nende edasine käsitlemine lahendatakse järgmise tegevuskavaga.</w:t>
      </w:r>
    </w:p>
    <w:p w:rsidR="00FF61EC" w:rsidRDefault="00FF61EC" w:rsidP="002F4A30">
      <w:pPr>
        <w:pStyle w:val="ListParagraph"/>
        <w:numPr>
          <w:ilvl w:val="0"/>
          <w:numId w:val="17"/>
        </w:numPr>
        <w:spacing w:after="0"/>
        <w:ind w:left="397"/>
      </w:pPr>
      <w:r w:rsidRPr="00DD6A87">
        <w:rPr>
          <w:b/>
        </w:rPr>
        <w:t>Andmete kandmine</w:t>
      </w:r>
      <w:r w:rsidR="00DD6A87" w:rsidRPr="00DD6A87">
        <w:rPr>
          <w:b/>
        </w:rPr>
        <w:t xml:space="preserve"> EHR-i</w:t>
      </w:r>
      <w:r w:rsidR="00DD6A87">
        <w:t xml:space="preserve">, milleks </w:t>
      </w:r>
      <w:r>
        <w:t>läbitakse järgmised etapid:</w:t>
      </w:r>
    </w:p>
    <w:p w:rsidR="00FF61EC" w:rsidRDefault="00FF61EC" w:rsidP="00662F39">
      <w:pPr>
        <w:pStyle w:val="Loend1"/>
      </w:pPr>
      <w:r>
        <w:t>valmistatakse ette ehitiste teatised eeltöö ja analüüsi faasis selgitatud andmete põhjal,</w:t>
      </w:r>
    </w:p>
    <w:p w:rsidR="00FF61EC" w:rsidRDefault="00FF61EC" w:rsidP="00DD6A87">
      <w:pPr>
        <w:pStyle w:val="Loend1"/>
        <w:spacing w:after="0"/>
      </w:pPr>
      <w:r>
        <w:t>esitatakse koos mõõdistamise tulemusena selgunud pinnaandmetega kohalikule omavalitsusele:</w:t>
      </w:r>
    </w:p>
    <w:p w:rsidR="00FF61EC" w:rsidRDefault="00FF61EC" w:rsidP="00607E04">
      <w:pPr>
        <w:pStyle w:val="Loend1"/>
      </w:pPr>
      <w:r>
        <w:t>ehitise teatised EHR</w:t>
      </w:r>
      <w:r w:rsidR="00DD6A87">
        <w:t>-</w:t>
      </w:r>
      <w:r>
        <w:t>ist puuduolevate ehitiste kohta;</w:t>
      </w:r>
    </w:p>
    <w:p w:rsidR="00FF61EC" w:rsidRDefault="00FF61EC" w:rsidP="00607E04">
      <w:pPr>
        <w:pStyle w:val="Loend1"/>
      </w:pPr>
      <w:r>
        <w:t>ehitiste teatised täpsustatud pinnaandmetega EHR</w:t>
      </w:r>
      <w:r w:rsidR="00DD6A87">
        <w:t>-</w:t>
      </w:r>
      <w:r>
        <w:t>is registreeritud ehitiste kohta,</w:t>
      </w:r>
    </w:p>
    <w:p w:rsidR="00FF61EC" w:rsidRDefault="00FF61EC" w:rsidP="00662F39">
      <w:pPr>
        <w:pStyle w:val="Loend1"/>
      </w:pPr>
      <w:r>
        <w:t>vajadusel hangitakse hoonetele kohaliku omavalitsuse poolt nõutud mõõdistus</w:t>
      </w:r>
      <w:r w:rsidR="00DD6A87">
        <w:t>projekt (kus on esitatud orienteeruv</w:t>
      </w:r>
      <w:r>
        <w:t xml:space="preserve"> püstitamise aeg, konstruktsioonid, tehnosüsteemid, tulepüsivusklass, tehnilised näitajad) ning</w:t>
      </w:r>
      <w:r w:rsidR="00DD6A87">
        <w:t xml:space="preserve"> maa-ala geodeetiline mõõdistus</w:t>
      </w:r>
      <w:r>
        <w:t>,</w:t>
      </w:r>
    </w:p>
    <w:p w:rsidR="00FF61EC" w:rsidRDefault="00FF61EC" w:rsidP="00662F39">
      <w:pPr>
        <w:pStyle w:val="Loend1"/>
      </w:pPr>
      <w:r>
        <w:t>korraldatakse ning jälgitakse ehitiste Ehitisregistrisse registreerimise protsessi.</w:t>
      </w:r>
    </w:p>
    <w:p w:rsidR="00FF61EC" w:rsidRPr="00B60CDA" w:rsidRDefault="00FF61EC" w:rsidP="00662F39">
      <w:r>
        <w:t>Käesolev tegevuskava on koostatud eeldusel, et ehitiste Ehitisregistrisse kandmisel piisab ehitiste lihtsustatud mõõdistusprojektist. Tegevuskavas ei ole arvestatud tegevustega, mis kaasnevad näiteks kohustusega taotleda ehitisele ehitus- või kasutusluba, samuti ka detailse projektdokumentatsiooni loomise kohustusega.</w:t>
      </w:r>
    </w:p>
    <w:p w:rsidR="00FF61EC" w:rsidRDefault="00FF61EC" w:rsidP="00662F39">
      <w:r>
        <w:t>Antud etapi tulemuseks on täna Ehitisregistrist puuduoleva 292 ehitise kandmine registrisse ning 730 Ehitisregistris registreeritud ehitise pinnaandmete korrastamine registris.</w:t>
      </w:r>
    </w:p>
    <w:p w:rsidR="00FF61EC" w:rsidRDefault="00FF61EC" w:rsidP="002F4A30">
      <w:pPr>
        <w:pStyle w:val="ListParagraph"/>
        <w:numPr>
          <w:ilvl w:val="0"/>
          <w:numId w:val="17"/>
        </w:numPr>
        <w:ind w:left="397"/>
      </w:pPr>
      <w:r w:rsidRPr="00DD6A87">
        <w:rPr>
          <w:b/>
        </w:rPr>
        <w:t>Mõõtjate ja tarbimisandmete ülevaade</w:t>
      </w:r>
      <w:r w:rsidR="00DD6A87">
        <w:t xml:space="preserve">, mille </w:t>
      </w:r>
      <w:r>
        <w:t>käigus töötatakse välja ühtne energiatarbimise andmete kogumise vorm, vajadusel ka süsteem andmete kogumiseks (või olemasoleva infosüsteemi, nt ARCHIBUS FM, kasutuselevõtmise korraldamine), korraldatakse kõigis hoonetes taadeldud mõõtjate olemasolu ning teostatakse tarbimisandmete kogumisele järelevalvet. Vara valitsejatele jääb kohustus koguda ning esitada tarbimisandmeid.</w:t>
      </w:r>
    </w:p>
    <w:p w:rsidR="00FF61EC" w:rsidRDefault="00FF61EC" w:rsidP="00662F39">
      <w:r>
        <w:t>Tulemuseks on ühtne süsteem käsitlevate hoonete energiatarbimise andmete kogumiseks ning sisend energiamärgiste väljastamiseks.</w:t>
      </w:r>
    </w:p>
    <w:p w:rsidR="008B2D86" w:rsidRDefault="00FF61EC" w:rsidP="002F4A30">
      <w:pPr>
        <w:pStyle w:val="ListParagraph"/>
        <w:numPr>
          <w:ilvl w:val="0"/>
          <w:numId w:val="17"/>
        </w:numPr>
        <w:ind w:left="397"/>
      </w:pPr>
      <w:r w:rsidRPr="00DD6A87">
        <w:rPr>
          <w:b/>
        </w:rPr>
        <w:t>Energiamärgiste väljastamine</w:t>
      </w:r>
      <w:r w:rsidR="00DD6A87">
        <w:t xml:space="preserve"> </w:t>
      </w:r>
      <w:r>
        <w:t xml:space="preserve">korraldatakse </w:t>
      </w:r>
      <w:r w:rsidR="00B73BF7">
        <w:t xml:space="preserve">hankena </w:t>
      </w:r>
      <w:r>
        <w:t>RKAS</w:t>
      </w:r>
      <w:r w:rsidR="00DD6A87">
        <w:t>-</w:t>
      </w:r>
      <w:r>
        <w:t xml:space="preserve">i poolt vastavalt mõõdistustulemusena saadud pinnaandmetele ning tarbimisandmete kogumisel saadud energiatarbimistele. Hanke järgselt </w:t>
      </w:r>
      <w:r w:rsidR="00DD6A87">
        <w:t xml:space="preserve">korraldab </w:t>
      </w:r>
      <w:r>
        <w:t xml:space="preserve">RKAS energiamärgiste väljastamiseks vajalike andmete esitamise </w:t>
      </w:r>
      <w:r w:rsidR="00DD6A87">
        <w:t>energia</w:t>
      </w:r>
      <w:r>
        <w:t>audiitorile, audiitori poolt toimub märgise väljastamine ning RKAS</w:t>
      </w:r>
      <w:r w:rsidR="00DD6A87">
        <w:t>-</w:t>
      </w:r>
      <w:r>
        <w:t>i poolt märgise kvalitatiivne kontroll ja vastuvõtmine. Pärast tööde vastuvõtmist korraldab audiitor energiamärgise kandmise Ehitisregi</w:t>
      </w:r>
      <w:r w:rsidR="00B73BF7">
        <w:t>strisse</w:t>
      </w:r>
      <w:r w:rsidR="008B2D86">
        <w:t>.</w:t>
      </w:r>
    </w:p>
    <w:p w:rsidR="00FF61EC" w:rsidRDefault="008B2D86" w:rsidP="002F4A30">
      <w:pPr>
        <w:pStyle w:val="ListParagraph"/>
        <w:numPr>
          <w:ilvl w:val="0"/>
          <w:numId w:val="17"/>
        </w:numPr>
        <w:ind w:left="397"/>
      </w:pPr>
      <w:r>
        <w:rPr>
          <w:b/>
        </w:rPr>
        <w:t>Energiamärgiste paigaldamine hoonetesse</w:t>
      </w:r>
      <w:r w:rsidR="00B73BF7">
        <w:t xml:space="preserve"> </w:t>
      </w:r>
      <w:r>
        <w:t>korraldatakse</w:t>
      </w:r>
      <w:r w:rsidR="00B73BF7">
        <w:t xml:space="preserve"> RKAS</w:t>
      </w:r>
      <w:r>
        <w:t>-i poolt hankena. Tellitakse märgise jaoks sobivad infotahvlid ning korraldatakse nende paigaldamine hoonetesse.</w:t>
      </w:r>
      <w:r w:rsidR="00F02153" w:rsidRPr="00F02153">
        <w:t xml:space="preserve"> </w:t>
      </w:r>
      <w:r w:rsidR="00F02153">
        <w:t>Märgised paigaldatakse üle 250 m</w:t>
      </w:r>
      <w:r w:rsidR="00F02153">
        <w:rPr>
          <w:rFonts w:ascii="Calibri" w:hAnsi="Calibri"/>
        </w:rPr>
        <w:t>²</w:t>
      </w:r>
      <w:r w:rsidR="00F02153">
        <w:t xml:space="preserve"> suurustele hoonetele.</w:t>
      </w:r>
    </w:p>
    <w:p w:rsidR="00FF61EC" w:rsidRPr="003E010E" w:rsidRDefault="00FF61EC" w:rsidP="00662F39">
      <w:r>
        <w:t>Tulemuseks on igal sisekliima tagamisega üle 50 m² suurusel hoonel Ehitisregistris märge energiamärgise kohta</w:t>
      </w:r>
      <w:r w:rsidR="00341C2F">
        <w:t xml:space="preserve"> ja paigaldatud </w:t>
      </w:r>
      <w:r>
        <w:t xml:space="preserve">energiamärgis </w:t>
      </w:r>
      <w:r w:rsidR="00341C2F">
        <w:t xml:space="preserve">kõikidel </w:t>
      </w:r>
      <w:r>
        <w:t>üle 250 m² suurusele hoonele.</w:t>
      </w:r>
    </w:p>
    <w:p w:rsidR="00907A55" w:rsidRDefault="00907A55" w:rsidP="00907A55">
      <w:pPr>
        <w:rPr>
          <w:kern w:val="32"/>
        </w:rPr>
      </w:pPr>
      <w:r w:rsidRPr="00770686">
        <w:rPr>
          <w:b/>
          <w:kern w:val="32"/>
        </w:rPr>
        <w:t xml:space="preserve">Tegevuskava kohaselt kulub </w:t>
      </w:r>
      <w:r w:rsidR="00A43F80" w:rsidRPr="00770686">
        <w:rPr>
          <w:b/>
          <w:kern w:val="32"/>
        </w:rPr>
        <w:t>hoonete andmete korrastamiseks 4</w:t>
      </w:r>
      <w:r w:rsidRPr="00770686">
        <w:rPr>
          <w:b/>
          <w:kern w:val="32"/>
        </w:rPr>
        <w:t xml:space="preserve"> aastat ning pro</w:t>
      </w:r>
      <w:r w:rsidR="003A4885" w:rsidRPr="00770686">
        <w:rPr>
          <w:b/>
          <w:kern w:val="32"/>
        </w:rPr>
        <w:t xml:space="preserve">jekti </w:t>
      </w:r>
      <w:r w:rsidR="00245F22" w:rsidRPr="00770686">
        <w:rPr>
          <w:b/>
          <w:kern w:val="32"/>
        </w:rPr>
        <w:t xml:space="preserve">prognoositavaks </w:t>
      </w:r>
      <w:r w:rsidR="00B73BF7">
        <w:rPr>
          <w:b/>
          <w:kern w:val="32"/>
        </w:rPr>
        <w:t>maksumuseks kujuneb</w:t>
      </w:r>
      <w:r w:rsidR="003A4885" w:rsidRPr="00770686">
        <w:rPr>
          <w:b/>
          <w:kern w:val="32"/>
        </w:rPr>
        <w:t xml:space="preserve"> </w:t>
      </w:r>
      <w:r w:rsidR="00325D46">
        <w:rPr>
          <w:b/>
          <w:kern w:val="32"/>
        </w:rPr>
        <w:t>1,48</w:t>
      </w:r>
      <w:r w:rsidR="003E47F3">
        <w:rPr>
          <w:b/>
          <w:kern w:val="32"/>
        </w:rPr>
        <w:t xml:space="preserve"> </w:t>
      </w:r>
      <w:r w:rsidRPr="00770686">
        <w:rPr>
          <w:b/>
          <w:kern w:val="32"/>
        </w:rPr>
        <w:t>miljonit eurot</w:t>
      </w:r>
      <w:r w:rsidR="003A4885">
        <w:rPr>
          <w:kern w:val="32"/>
        </w:rPr>
        <w:t xml:space="preserve"> (</w:t>
      </w:r>
      <w:r w:rsidR="003E47F3">
        <w:rPr>
          <w:kern w:val="32"/>
        </w:rPr>
        <w:t xml:space="preserve"> summad </w:t>
      </w:r>
      <w:r w:rsidR="003A4885">
        <w:rPr>
          <w:kern w:val="32"/>
        </w:rPr>
        <w:t>koos km-ga)</w:t>
      </w:r>
      <w:r w:rsidR="003E47F3">
        <w:rPr>
          <w:kern w:val="32"/>
        </w:rPr>
        <w:t>, millele võivad lisanduda võimalikud l</w:t>
      </w:r>
      <w:r w:rsidR="00325D46">
        <w:rPr>
          <w:kern w:val="32"/>
        </w:rPr>
        <w:t>isakulud ning riskid summas 1,74</w:t>
      </w:r>
      <w:r w:rsidR="003E47F3">
        <w:rPr>
          <w:kern w:val="32"/>
        </w:rPr>
        <w:t xml:space="preserve"> miljonit eurot</w:t>
      </w:r>
      <w:r w:rsidR="00325D46">
        <w:rPr>
          <w:kern w:val="32"/>
        </w:rPr>
        <w:t xml:space="preserve"> ning projekti määramatus 0,6 miljonit eurot</w:t>
      </w:r>
      <w:r>
        <w:rPr>
          <w:kern w:val="32"/>
        </w:rPr>
        <w:t xml:space="preserve">. Arvestatud on, et ühe energiamärgise hind on </w:t>
      </w:r>
      <w:r w:rsidR="00770686">
        <w:rPr>
          <w:kern w:val="32"/>
        </w:rPr>
        <w:t>84</w:t>
      </w:r>
      <w:r>
        <w:rPr>
          <w:kern w:val="32"/>
        </w:rPr>
        <w:t xml:space="preserve"> €</w:t>
      </w:r>
      <w:r w:rsidR="003E47F3">
        <w:rPr>
          <w:kern w:val="32"/>
        </w:rPr>
        <w:t xml:space="preserve"> </w:t>
      </w:r>
      <w:r>
        <w:rPr>
          <w:kern w:val="32"/>
        </w:rPr>
        <w:t>ning ühe m</w:t>
      </w:r>
      <w:r>
        <w:rPr>
          <w:rFonts w:ascii="Times New Roman" w:hAnsi="Times New Roman"/>
          <w:kern w:val="32"/>
        </w:rPr>
        <w:t>²</w:t>
      </w:r>
      <w:r>
        <w:rPr>
          <w:kern w:val="32"/>
        </w:rPr>
        <w:t xml:space="preserve"> mõõdistamine RKAS-i normidele vastava</w:t>
      </w:r>
      <w:r w:rsidR="00FF61EC">
        <w:rPr>
          <w:kern w:val="32"/>
        </w:rPr>
        <w:t>lt maksab 0,</w:t>
      </w:r>
      <w:r w:rsidR="00770686">
        <w:rPr>
          <w:kern w:val="32"/>
        </w:rPr>
        <w:t>78</w:t>
      </w:r>
      <w:r>
        <w:rPr>
          <w:kern w:val="32"/>
        </w:rPr>
        <w:t xml:space="preserve"> €. EHR-i kandmata hoonetel võib sõltuvalt kohalikust omavalitsusest vaja minna eskiisprojekti, mille maksumus koo</w:t>
      </w:r>
      <w:r w:rsidR="00770686">
        <w:rPr>
          <w:kern w:val="32"/>
        </w:rPr>
        <w:t>s vajalike mõõdistustega on ca 6</w:t>
      </w:r>
      <w:r>
        <w:rPr>
          <w:kern w:val="32"/>
        </w:rPr>
        <w:t xml:space="preserve"> €/m</w:t>
      </w:r>
      <w:r>
        <w:rPr>
          <w:rFonts w:ascii="Times New Roman" w:hAnsi="Times New Roman"/>
          <w:kern w:val="32"/>
        </w:rPr>
        <w:t>².</w:t>
      </w:r>
      <w:r>
        <w:rPr>
          <w:kern w:val="32"/>
        </w:rPr>
        <w:t xml:space="preserve"> Andmete korrastamise projekti juhtimiseks, hangete korraldamiseks, teostatud tööde kontrollimiseks ja muuks administratiivtööks on arvestatud </w:t>
      </w:r>
      <w:r w:rsidR="003E47F3">
        <w:rPr>
          <w:kern w:val="32"/>
        </w:rPr>
        <w:t>5</w:t>
      </w:r>
      <w:r w:rsidR="002D0695">
        <w:rPr>
          <w:kern w:val="32"/>
        </w:rPr>
        <w:t>6</w:t>
      </w:r>
      <w:r w:rsidR="003E47F3">
        <w:rPr>
          <w:kern w:val="32"/>
        </w:rPr>
        <w:t>0 000 €</w:t>
      </w:r>
      <w:r>
        <w:rPr>
          <w:kern w:val="32"/>
        </w:rPr>
        <w:t>.</w:t>
      </w:r>
    </w:p>
    <w:p w:rsidR="00907A55" w:rsidRDefault="00907A55" w:rsidP="00907A55">
      <w:r>
        <w:rPr>
          <w:kern w:val="32"/>
        </w:rPr>
        <w:t>Täna võib riigi portfellis olla näiteks mitme hoonega hoonestatud kinnistuid, mille kõikide hoonete elektritarvet mõõdab üks voolumõõtja. Keskselt ei ole kogutud infot, kui palju selliseid kinnistuid ja hooneid on, mille energiatarbe mõõtmine energiamärgise väljastamise jaoks vajalike andmete kogumiseks tuleb ümber korraldada. Tegevuskava rahalises mõõtmes on arvestatud vajalike mõõtjate paigaldamise kulu</w:t>
      </w:r>
      <w:r w:rsidR="00770686">
        <w:rPr>
          <w:kern w:val="32"/>
        </w:rPr>
        <w:t>ga 292 hoonel ning taatlemisega samuti 292 hoonel.</w:t>
      </w:r>
      <w:r>
        <w:rPr>
          <w:kern w:val="32"/>
        </w:rPr>
        <w:t xml:space="preserve"> </w:t>
      </w:r>
      <w:r w:rsidR="00770686">
        <w:rPr>
          <w:kern w:val="32"/>
        </w:rPr>
        <w:t>A</w:t>
      </w:r>
      <w:r>
        <w:rPr>
          <w:kern w:val="32"/>
        </w:rPr>
        <w:t xml:space="preserve">rvestatud </w:t>
      </w:r>
      <w:r w:rsidR="00770686">
        <w:rPr>
          <w:kern w:val="32"/>
        </w:rPr>
        <w:t xml:space="preserve">ei ole </w:t>
      </w:r>
      <w:r>
        <w:rPr>
          <w:kern w:val="32"/>
        </w:rPr>
        <w:t xml:space="preserve">ümberehituskuludega, mis tuleb kinnistule teha, et saada mõõta iga hoone energiatarvet eraldi. Teadmata on ka kulud, mis kaasnevad ümberkorralduste tegemisega, kuna igal üksikjuhul võib vajalik olla teostada erinevaid töid ja erinevas mahus. </w:t>
      </w:r>
      <w:r w:rsidRPr="003E47F3">
        <w:rPr>
          <w:kern w:val="32"/>
        </w:rPr>
        <w:t xml:space="preserve">RKAS on hinnanud tegevuskava elluviimise maksumuse </w:t>
      </w:r>
      <w:r w:rsidR="00245F22" w:rsidRPr="003E47F3">
        <w:rPr>
          <w:kern w:val="32"/>
        </w:rPr>
        <w:t>võimalikuks lisakuluks ja riskiks</w:t>
      </w:r>
      <w:r w:rsidRPr="003E47F3">
        <w:rPr>
          <w:kern w:val="32"/>
        </w:rPr>
        <w:t xml:space="preserve"> </w:t>
      </w:r>
      <w:r w:rsidR="003608EA">
        <w:rPr>
          <w:kern w:val="32"/>
        </w:rPr>
        <w:t>1,74</w:t>
      </w:r>
      <w:r w:rsidR="00245F22" w:rsidRPr="003E47F3">
        <w:rPr>
          <w:kern w:val="32"/>
        </w:rPr>
        <w:t xml:space="preserve"> mln</w:t>
      </w:r>
      <w:r w:rsidRPr="003E47F3">
        <w:rPr>
          <w:kern w:val="32"/>
        </w:rPr>
        <w:t xml:space="preserve"> €</w:t>
      </w:r>
      <w:r w:rsidR="00245F22" w:rsidRPr="003E47F3">
        <w:rPr>
          <w:kern w:val="32"/>
        </w:rPr>
        <w:t xml:space="preserve"> (koos km-ga)</w:t>
      </w:r>
      <w:r w:rsidRPr="003E47F3">
        <w:rPr>
          <w:kern w:val="32"/>
        </w:rPr>
        <w:t>.</w:t>
      </w:r>
    </w:p>
    <w:p w:rsidR="00770686" w:rsidRDefault="00770686" w:rsidP="00770686">
      <w:pPr>
        <w:rPr>
          <w:kern w:val="32"/>
        </w:rPr>
      </w:pPr>
      <w:r>
        <w:rPr>
          <w:kern w:val="32"/>
        </w:rPr>
        <w:t xml:space="preserve">Tegevuskava on esitatud alljärgnevas </w:t>
      </w:r>
      <w:bookmarkStart w:id="508" w:name="_Ref410826638"/>
      <w:r>
        <w:rPr>
          <w:kern w:val="32"/>
        </w:rPr>
        <w:t>failis.</w:t>
      </w:r>
      <w:bookmarkEnd w:id="508"/>
    </w:p>
    <w:bookmarkStart w:id="509" w:name="_MON_1502707019"/>
    <w:bookmarkEnd w:id="509"/>
    <w:p w:rsidR="006532D6" w:rsidRDefault="003608EA" w:rsidP="00770686">
      <w:pPr>
        <w:rPr>
          <w:kern w:val="32"/>
        </w:rPr>
      </w:pPr>
      <w:r w:rsidRPr="000B7A8C">
        <w:rPr>
          <w:kern w:val="32"/>
        </w:rPr>
        <w:object w:dxaOrig="1531" w:dyaOrig="990">
          <v:shape id="_x0000_i1030" type="#_x0000_t75" style="width:76.5pt;height:49.5pt" o:ole="">
            <v:imagedata r:id="rId85" o:title=""/>
          </v:shape>
          <o:OLEObject Type="Embed" ProgID="Excel.Sheet.12" ShapeID="_x0000_i1030" DrawAspect="Icon" ObjectID="_1511701563" r:id="rId86"/>
        </w:object>
      </w:r>
    </w:p>
    <w:p w:rsidR="00770686" w:rsidRDefault="00770686" w:rsidP="00770686">
      <w:pPr>
        <w:rPr>
          <w:kern w:val="32"/>
        </w:rPr>
      </w:pPr>
    </w:p>
    <w:p w:rsidR="00F02153" w:rsidRDefault="00F02153" w:rsidP="00770686">
      <w:pPr>
        <w:rPr>
          <w:kern w:val="32"/>
        </w:rPr>
      </w:pPr>
    </w:p>
    <w:p w:rsidR="00907A55" w:rsidRDefault="00907A55" w:rsidP="00770686">
      <w:pPr>
        <w:spacing w:before="0"/>
        <w:jc w:val="left"/>
        <w:rPr>
          <w:rFonts w:asciiTheme="majorHAnsi" w:eastAsiaTheme="majorEastAsia" w:hAnsiTheme="majorHAnsi" w:cstheme="majorBidi"/>
          <w:bCs/>
          <w:iCs/>
          <w:color w:val="0070C0"/>
          <w:sz w:val="36"/>
          <w:szCs w:val="28"/>
        </w:rPr>
      </w:pPr>
      <w:r>
        <w:br w:type="page"/>
      </w:r>
    </w:p>
    <w:p w:rsidR="00B35D2F" w:rsidRDefault="00907A55" w:rsidP="00B35D2F">
      <w:pPr>
        <w:pStyle w:val="Heading2"/>
      </w:pPr>
      <w:bookmarkStart w:id="510" w:name="_Ref427306577"/>
      <w:bookmarkStart w:id="511" w:name="_Toc433980774"/>
      <w:r>
        <w:t xml:space="preserve">Lisa </w:t>
      </w:r>
      <w:r w:rsidR="00222270">
        <w:t>5</w:t>
      </w:r>
      <w:r>
        <w:t>.</w:t>
      </w:r>
      <w:r w:rsidR="00460542">
        <w:t xml:space="preserve"> Rahastamiskava </w:t>
      </w:r>
      <w:r w:rsidR="0084071E">
        <w:t>analüüsi sisendid</w:t>
      </w:r>
      <w:bookmarkEnd w:id="510"/>
      <w:bookmarkEnd w:id="511"/>
    </w:p>
    <w:p w:rsidR="003E47F3" w:rsidRDefault="003E47F3" w:rsidP="003E47F3">
      <w:pPr>
        <w:pStyle w:val="Caption"/>
      </w:pPr>
      <w:r>
        <w:t xml:space="preserve">Tabel </w:t>
      </w:r>
      <w:fldSimple w:instr=" SEQ Tabel \* ARABIC \r 1 ">
        <w:r w:rsidR="00477322">
          <w:rPr>
            <w:noProof/>
          </w:rPr>
          <w:t>1</w:t>
        </w:r>
      </w:fldSimple>
      <w:r>
        <w:t>.Stsenaariumite 1, 3 ja 5 prioriteetsused</w:t>
      </w:r>
    </w:p>
    <w:tbl>
      <w:tblPr>
        <w:tblW w:w="8893" w:type="dxa"/>
        <w:tblInd w:w="70" w:type="dxa"/>
        <w:tblCellMar>
          <w:left w:w="70" w:type="dxa"/>
          <w:right w:w="70" w:type="dxa"/>
        </w:tblCellMar>
        <w:tblLook w:val="04A0"/>
      </w:tblPr>
      <w:tblGrid>
        <w:gridCol w:w="2856"/>
        <w:gridCol w:w="1068"/>
        <w:gridCol w:w="187"/>
        <w:gridCol w:w="567"/>
        <w:gridCol w:w="142"/>
        <w:gridCol w:w="425"/>
        <w:gridCol w:w="567"/>
        <w:gridCol w:w="425"/>
        <w:gridCol w:w="567"/>
        <w:gridCol w:w="616"/>
        <w:gridCol w:w="491"/>
        <w:gridCol w:w="491"/>
        <w:gridCol w:w="491"/>
      </w:tblGrid>
      <w:tr w:rsidR="00460542" w:rsidRPr="00703FE6" w:rsidTr="00B956FC">
        <w:trPr>
          <w:trHeight w:val="675"/>
        </w:trPr>
        <w:tc>
          <w:tcPr>
            <w:tcW w:w="2856" w:type="dxa"/>
            <w:tcBorders>
              <w:top w:val="nil"/>
              <w:left w:val="nil"/>
              <w:bottom w:val="nil"/>
              <w:right w:val="nil"/>
            </w:tcBorders>
            <w:shd w:val="clear" w:color="auto" w:fill="auto"/>
            <w:noWrap/>
            <w:vAlign w:val="bottom"/>
            <w:hideMark/>
          </w:tcPr>
          <w:p w:rsidR="00460542" w:rsidRPr="00703FE6" w:rsidRDefault="00460542" w:rsidP="00B956FC">
            <w:pPr>
              <w:jc w:val="left"/>
              <w:rPr>
                <w:color w:val="000000"/>
                <w:sz w:val="18"/>
                <w:szCs w:val="18"/>
                <w:lang w:eastAsia="et-EE"/>
              </w:rPr>
            </w:pPr>
          </w:p>
        </w:tc>
        <w:tc>
          <w:tcPr>
            <w:tcW w:w="1068" w:type="dxa"/>
            <w:tcBorders>
              <w:top w:val="nil"/>
              <w:left w:val="nil"/>
              <w:bottom w:val="single" w:sz="8" w:space="0" w:color="auto"/>
              <w:right w:val="nil"/>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Riik korraldab</w:t>
            </w:r>
          </w:p>
        </w:tc>
        <w:tc>
          <w:tcPr>
            <w:tcW w:w="896" w:type="dxa"/>
            <w:gridSpan w:val="3"/>
            <w:tcBorders>
              <w:top w:val="nil"/>
              <w:left w:val="nil"/>
              <w:bottom w:val="nil"/>
              <w:right w:val="nil"/>
            </w:tcBorders>
            <w:shd w:val="clear" w:color="auto" w:fill="auto"/>
            <w:noWrap/>
            <w:vAlign w:val="bottom"/>
            <w:hideMark/>
          </w:tcPr>
          <w:p w:rsidR="00460542" w:rsidRPr="00703FE6" w:rsidRDefault="00460542" w:rsidP="00B956FC">
            <w:pPr>
              <w:jc w:val="center"/>
              <w:rPr>
                <w:color w:val="000000"/>
                <w:sz w:val="18"/>
                <w:szCs w:val="18"/>
                <w:lang w:eastAsia="et-EE"/>
              </w:rPr>
            </w:pPr>
          </w:p>
        </w:tc>
        <w:tc>
          <w:tcPr>
            <w:tcW w:w="4073" w:type="dxa"/>
            <w:gridSpan w:val="8"/>
            <w:tcBorders>
              <w:top w:val="nil"/>
              <w:left w:val="nil"/>
              <w:bottom w:val="single" w:sz="8" w:space="0" w:color="auto"/>
              <w:right w:val="nil"/>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RKAS korraldab sh kaasates erasektorit</w:t>
            </w:r>
          </w:p>
        </w:tc>
      </w:tr>
      <w:tr w:rsidR="00460542" w:rsidRPr="00703FE6" w:rsidTr="0084071E">
        <w:trPr>
          <w:trHeight w:val="315"/>
        </w:trPr>
        <w:tc>
          <w:tcPr>
            <w:tcW w:w="2856" w:type="dxa"/>
            <w:tcBorders>
              <w:top w:val="nil"/>
              <w:left w:val="nil"/>
              <w:bottom w:val="nil"/>
              <w:right w:val="nil"/>
            </w:tcBorders>
            <w:shd w:val="clear" w:color="auto" w:fill="auto"/>
            <w:noWrap/>
            <w:vAlign w:val="bottom"/>
            <w:hideMark/>
          </w:tcPr>
          <w:p w:rsidR="00460542" w:rsidRPr="00703FE6" w:rsidRDefault="00460542" w:rsidP="00B956FC">
            <w:pPr>
              <w:jc w:val="left"/>
              <w:rPr>
                <w:color w:val="000000"/>
                <w:sz w:val="18"/>
                <w:szCs w:val="18"/>
                <w:lang w:eastAsia="et-EE"/>
              </w:rPr>
            </w:pP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 </w:t>
            </w:r>
          </w:p>
        </w:tc>
        <w:tc>
          <w:tcPr>
            <w:tcW w:w="187" w:type="dxa"/>
            <w:tcBorders>
              <w:top w:val="nil"/>
              <w:left w:val="nil"/>
              <w:bottom w:val="nil"/>
              <w:right w:val="nil"/>
            </w:tcBorders>
            <w:shd w:val="clear" w:color="auto" w:fill="auto"/>
            <w:noWrap/>
            <w:vAlign w:val="bottom"/>
            <w:hideMark/>
          </w:tcPr>
          <w:p w:rsidR="00460542" w:rsidRPr="00703FE6" w:rsidRDefault="00460542" w:rsidP="00B956FC">
            <w:pPr>
              <w:jc w:val="center"/>
              <w:rPr>
                <w:color w:val="000000"/>
                <w:sz w:val="18"/>
                <w:szCs w:val="18"/>
                <w:lang w:eastAsia="et-EE"/>
              </w:rPr>
            </w:pPr>
          </w:p>
        </w:tc>
        <w:tc>
          <w:tcPr>
            <w:tcW w:w="330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Kasutusrent (ESA)</w:t>
            </w:r>
          </w:p>
        </w:tc>
        <w:tc>
          <w:tcPr>
            <w:tcW w:w="1473" w:type="dxa"/>
            <w:gridSpan w:val="3"/>
            <w:tcBorders>
              <w:top w:val="single" w:sz="8" w:space="0" w:color="auto"/>
              <w:left w:val="nil"/>
              <w:bottom w:val="single" w:sz="8" w:space="0" w:color="auto"/>
              <w:right w:val="single" w:sz="8" w:space="0" w:color="000000"/>
            </w:tcBorders>
            <w:shd w:val="clear" w:color="auto" w:fill="auto"/>
            <w:noWrap/>
            <w:vAlign w:val="bottom"/>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Kapitalirent</w:t>
            </w:r>
          </w:p>
        </w:tc>
      </w:tr>
      <w:tr w:rsidR="00460542" w:rsidRPr="00703FE6" w:rsidTr="0084071E">
        <w:trPr>
          <w:trHeight w:val="300"/>
        </w:trPr>
        <w:tc>
          <w:tcPr>
            <w:tcW w:w="2856" w:type="dxa"/>
            <w:tcBorders>
              <w:top w:val="single" w:sz="8" w:space="0" w:color="auto"/>
              <w:left w:val="single" w:sz="8" w:space="0" w:color="auto"/>
              <w:bottom w:val="single" w:sz="4" w:space="0" w:color="auto"/>
              <w:right w:val="nil"/>
            </w:tcBorders>
            <w:shd w:val="clear" w:color="auto" w:fill="auto"/>
            <w:noWrap/>
            <w:vAlign w:val="bottom"/>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1068" w:type="dxa"/>
            <w:tcBorders>
              <w:top w:val="nil"/>
              <w:left w:val="single" w:sz="8" w:space="0" w:color="auto"/>
              <w:bottom w:val="single" w:sz="4" w:space="0" w:color="auto"/>
              <w:right w:val="single" w:sz="8" w:space="0" w:color="auto"/>
            </w:tcBorders>
            <w:shd w:val="clear" w:color="auto" w:fill="auto"/>
            <w:noWrap/>
            <w:vAlign w:val="bottom"/>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187" w:type="dxa"/>
            <w:tcBorders>
              <w:top w:val="nil"/>
              <w:left w:val="nil"/>
              <w:bottom w:val="nil"/>
              <w:right w:val="nil"/>
            </w:tcBorders>
            <w:shd w:val="clear" w:color="auto" w:fill="auto"/>
            <w:noWrap/>
            <w:vAlign w:val="bottom"/>
            <w:hideMark/>
          </w:tcPr>
          <w:p w:rsidR="00460542" w:rsidRPr="00703FE6" w:rsidRDefault="00460542" w:rsidP="00B956FC">
            <w:pPr>
              <w:jc w:val="left"/>
              <w:rPr>
                <w:color w:val="000000"/>
                <w:sz w:val="18"/>
                <w:szCs w:val="18"/>
                <w:lang w:eastAsia="et-EE"/>
              </w:rPr>
            </w:pPr>
          </w:p>
        </w:tc>
        <w:tc>
          <w:tcPr>
            <w:tcW w:w="1701" w:type="dxa"/>
            <w:gridSpan w:val="4"/>
            <w:tcBorders>
              <w:top w:val="nil"/>
              <w:left w:val="single" w:sz="8" w:space="0" w:color="auto"/>
              <w:bottom w:val="single" w:sz="4"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Mõistlik</w:t>
            </w:r>
          </w:p>
        </w:tc>
        <w:tc>
          <w:tcPr>
            <w:tcW w:w="1608" w:type="dxa"/>
            <w:gridSpan w:val="3"/>
            <w:tcBorders>
              <w:top w:val="nil"/>
              <w:left w:val="nil"/>
              <w:bottom w:val="single" w:sz="4" w:space="0" w:color="auto"/>
              <w:right w:val="single" w:sz="4"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Pigem mõistlik</w:t>
            </w:r>
          </w:p>
        </w:tc>
        <w:tc>
          <w:tcPr>
            <w:tcW w:w="491" w:type="dxa"/>
            <w:tcBorders>
              <w:top w:val="nil"/>
              <w:left w:val="nil"/>
              <w:bottom w:val="nil"/>
              <w:right w:val="nil"/>
            </w:tcBorders>
            <w:shd w:val="clear" w:color="000000" w:fill="D8D8D8"/>
            <w:noWrap/>
            <w:vAlign w:val="bottom"/>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nil"/>
              <w:left w:val="nil"/>
              <w:bottom w:val="single" w:sz="4" w:space="0" w:color="auto"/>
              <w:right w:val="nil"/>
            </w:tcBorders>
            <w:shd w:val="clear" w:color="000000" w:fill="D8D8D8"/>
            <w:noWrap/>
            <w:vAlign w:val="bottom"/>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 </w:t>
            </w:r>
          </w:p>
        </w:tc>
        <w:tc>
          <w:tcPr>
            <w:tcW w:w="491" w:type="dxa"/>
            <w:tcBorders>
              <w:top w:val="nil"/>
              <w:left w:val="nil"/>
              <w:bottom w:val="single" w:sz="4" w:space="0" w:color="auto"/>
              <w:right w:val="single" w:sz="8" w:space="0" w:color="auto"/>
            </w:tcBorders>
            <w:shd w:val="clear" w:color="000000" w:fill="D8D8D8"/>
            <w:noWrap/>
            <w:vAlign w:val="bottom"/>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 </w:t>
            </w:r>
          </w:p>
        </w:tc>
      </w:tr>
      <w:tr w:rsidR="00460542" w:rsidRPr="00703FE6" w:rsidTr="0084071E">
        <w:trPr>
          <w:trHeight w:val="315"/>
        </w:trPr>
        <w:tc>
          <w:tcPr>
            <w:tcW w:w="2856" w:type="dxa"/>
            <w:tcBorders>
              <w:top w:val="nil"/>
              <w:left w:val="single" w:sz="8" w:space="0" w:color="auto"/>
              <w:bottom w:val="single" w:sz="8" w:space="0" w:color="auto"/>
              <w:right w:val="nil"/>
            </w:tcBorders>
            <w:shd w:val="clear" w:color="auto" w:fill="auto"/>
            <w:noWrap/>
            <w:vAlign w:val="bottom"/>
            <w:hideMark/>
          </w:tcPr>
          <w:p w:rsidR="00460542" w:rsidRPr="00703FE6" w:rsidRDefault="00460542" w:rsidP="00B956FC">
            <w:pPr>
              <w:jc w:val="left"/>
              <w:rPr>
                <w:color w:val="000000"/>
                <w:sz w:val="18"/>
                <w:szCs w:val="18"/>
                <w:lang w:eastAsia="et-EE"/>
              </w:rPr>
            </w:pPr>
            <w:r w:rsidRPr="00703FE6">
              <w:rPr>
                <w:color w:val="000000"/>
                <w:sz w:val="18"/>
                <w:szCs w:val="18"/>
                <w:lang w:eastAsia="et-EE"/>
              </w:rPr>
              <w:t>Tehingu olulisus</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 </w:t>
            </w:r>
          </w:p>
        </w:tc>
        <w:tc>
          <w:tcPr>
            <w:tcW w:w="187" w:type="dxa"/>
            <w:tcBorders>
              <w:top w:val="nil"/>
              <w:left w:val="nil"/>
              <w:bottom w:val="nil"/>
              <w:right w:val="nil"/>
            </w:tcBorders>
            <w:shd w:val="clear" w:color="auto" w:fill="auto"/>
            <w:noWrap/>
            <w:vAlign w:val="bottom"/>
            <w:hideMark/>
          </w:tcPr>
          <w:p w:rsidR="00460542" w:rsidRPr="00703FE6" w:rsidRDefault="00460542" w:rsidP="00B956FC">
            <w:pPr>
              <w:jc w:val="center"/>
              <w:rPr>
                <w:b/>
                <w:bCs/>
                <w:color w:val="000000"/>
                <w:sz w:val="18"/>
                <w:szCs w:val="18"/>
                <w:lang w:eastAsia="et-EE"/>
              </w:rPr>
            </w:pPr>
          </w:p>
        </w:tc>
        <w:tc>
          <w:tcPr>
            <w:tcW w:w="567" w:type="dxa"/>
            <w:tcBorders>
              <w:top w:val="nil"/>
              <w:left w:val="single" w:sz="8" w:space="0" w:color="auto"/>
              <w:bottom w:val="single" w:sz="8"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w:t>
            </w:r>
          </w:p>
        </w:tc>
        <w:tc>
          <w:tcPr>
            <w:tcW w:w="567" w:type="dxa"/>
            <w:gridSpan w:val="2"/>
            <w:tcBorders>
              <w:top w:val="nil"/>
              <w:left w:val="nil"/>
              <w:bottom w:val="single" w:sz="8"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w:t>
            </w:r>
          </w:p>
        </w:tc>
        <w:tc>
          <w:tcPr>
            <w:tcW w:w="567" w:type="dxa"/>
            <w:tcBorders>
              <w:top w:val="nil"/>
              <w:left w:val="nil"/>
              <w:bottom w:val="single" w:sz="8"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III</w:t>
            </w:r>
          </w:p>
        </w:tc>
        <w:tc>
          <w:tcPr>
            <w:tcW w:w="425" w:type="dxa"/>
            <w:tcBorders>
              <w:top w:val="nil"/>
              <w:left w:val="nil"/>
              <w:bottom w:val="single" w:sz="8" w:space="0" w:color="auto"/>
              <w:right w:val="single" w:sz="4"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w:t>
            </w:r>
          </w:p>
        </w:tc>
        <w:tc>
          <w:tcPr>
            <w:tcW w:w="567" w:type="dxa"/>
            <w:tcBorders>
              <w:top w:val="nil"/>
              <w:left w:val="nil"/>
              <w:bottom w:val="single" w:sz="8" w:space="0" w:color="auto"/>
              <w:right w:val="single" w:sz="4"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w:t>
            </w:r>
          </w:p>
        </w:tc>
        <w:tc>
          <w:tcPr>
            <w:tcW w:w="616" w:type="dxa"/>
            <w:tcBorders>
              <w:top w:val="nil"/>
              <w:left w:val="nil"/>
              <w:bottom w:val="single" w:sz="8" w:space="0" w:color="auto"/>
              <w:right w:val="single" w:sz="4" w:space="0" w:color="auto"/>
            </w:tcBorders>
            <w:shd w:val="clear" w:color="auto" w:fill="auto"/>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III</w:t>
            </w:r>
          </w:p>
        </w:tc>
        <w:tc>
          <w:tcPr>
            <w:tcW w:w="491" w:type="dxa"/>
            <w:tcBorders>
              <w:top w:val="single" w:sz="4" w:space="0" w:color="auto"/>
              <w:left w:val="nil"/>
              <w:bottom w:val="single" w:sz="8"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w:t>
            </w:r>
          </w:p>
        </w:tc>
        <w:tc>
          <w:tcPr>
            <w:tcW w:w="491" w:type="dxa"/>
            <w:tcBorders>
              <w:top w:val="nil"/>
              <w:left w:val="nil"/>
              <w:bottom w:val="single" w:sz="8" w:space="0" w:color="auto"/>
              <w:right w:val="single" w:sz="4"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w:t>
            </w:r>
          </w:p>
        </w:tc>
        <w:tc>
          <w:tcPr>
            <w:tcW w:w="491" w:type="dxa"/>
            <w:tcBorders>
              <w:top w:val="nil"/>
              <w:left w:val="nil"/>
              <w:bottom w:val="single" w:sz="8" w:space="0" w:color="auto"/>
              <w:right w:val="single" w:sz="8" w:space="0" w:color="auto"/>
            </w:tcBorders>
            <w:shd w:val="clear" w:color="000000" w:fill="D8D8D8"/>
            <w:noWrap/>
            <w:vAlign w:val="bottom"/>
            <w:hideMark/>
          </w:tcPr>
          <w:p w:rsidR="00460542" w:rsidRPr="00703FE6" w:rsidRDefault="00460542" w:rsidP="00B956FC">
            <w:pPr>
              <w:jc w:val="center"/>
              <w:rPr>
                <w:b/>
                <w:bCs/>
                <w:color w:val="000000"/>
                <w:sz w:val="18"/>
                <w:szCs w:val="18"/>
                <w:lang w:eastAsia="et-EE"/>
              </w:rPr>
            </w:pPr>
            <w:r w:rsidRPr="00703FE6">
              <w:rPr>
                <w:b/>
                <w:bCs/>
                <w:color w:val="000000"/>
                <w:sz w:val="18"/>
                <w:szCs w:val="18"/>
                <w:lang w:eastAsia="et-EE"/>
              </w:rPr>
              <w:t>III</w:t>
            </w:r>
          </w:p>
        </w:tc>
      </w:tr>
      <w:tr w:rsidR="00460542" w:rsidRPr="00703FE6" w:rsidTr="0084071E">
        <w:trPr>
          <w:trHeight w:val="330"/>
        </w:trPr>
        <w:tc>
          <w:tcPr>
            <w:tcW w:w="2856" w:type="dxa"/>
            <w:tcBorders>
              <w:top w:val="nil"/>
              <w:left w:val="single" w:sz="8" w:space="0" w:color="auto"/>
              <w:bottom w:val="single" w:sz="8" w:space="0" w:color="auto"/>
              <w:right w:val="nil"/>
            </w:tcBorders>
            <w:shd w:val="clear" w:color="auto" w:fill="auto"/>
            <w:noWrap/>
            <w:vAlign w:val="bottom"/>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Ühiskondlikud kompleksid</w:t>
            </w:r>
          </w:p>
        </w:tc>
        <w:tc>
          <w:tcPr>
            <w:tcW w:w="1068" w:type="dxa"/>
            <w:tcBorders>
              <w:top w:val="nil"/>
              <w:left w:val="single" w:sz="8" w:space="0" w:color="auto"/>
              <w:bottom w:val="single" w:sz="8" w:space="0" w:color="auto"/>
              <w:right w:val="single" w:sz="8" w:space="0" w:color="auto"/>
            </w:tcBorders>
            <w:shd w:val="clear" w:color="auto" w:fill="auto"/>
            <w:noWrap/>
            <w:vAlign w:val="bottom"/>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 </w:t>
            </w:r>
          </w:p>
        </w:tc>
        <w:tc>
          <w:tcPr>
            <w:tcW w:w="187" w:type="dxa"/>
            <w:tcBorders>
              <w:top w:val="nil"/>
              <w:left w:val="nil"/>
              <w:bottom w:val="nil"/>
              <w:right w:val="nil"/>
            </w:tcBorders>
            <w:shd w:val="clear" w:color="auto" w:fill="auto"/>
            <w:noWrap/>
            <w:vAlign w:val="bottom"/>
            <w:hideMark/>
          </w:tcPr>
          <w:p w:rsidR="00460542" w:rsidRPr="00703FE6" w:rsidRDefault="00460542" w:rsidP="00B956FC">
            <w:pPr>
              <w:jc w:val="left"/>
              <w:rPr>
                <w:b/>
                <w:bCs/>
                <w:color w:val="000000"/>
                <w:sz w:val="18"/>
                <w:szCs w:val="18"/>
                <w:lang w:eastAsia="et-EE"/>
              </w:rPr>
            </w:pPr>
          </w:p>
        </w:tc>
        <w:tc>
          <w:tcPr>
            <w:tcW w:w="567" w:type="dxa"/>
            <w:tcBorders>
              <w:top w:val="nil"/>
              <w:left w:val="single" w:sz="8" w:space="0" w:color="auto"/>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gridSpan w:val="2"/>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25"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616"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nil"/>
              <w:left w:val="nil"/>
              <w:bottom w:val="single" w:sz="8" w:space="0" w:color="auto"/>
              <w:right w:val="single" w:sz="8"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r>
      <w:tr w:rsidR="00460542" w:rsidRPr="00703FE6" w:rsidTr="0084071E">
        <w:trPr>
          <w:trHeight w:val="477"/>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 xml:space="preserve">Üldised </w:t>
            </w:r>
            <w:r>
              <w:rPr>
                <w:color w:val="000000"/>
                <w:sz w:val="18"/>
                <w:szCs w:val="18"/>
                <w:lang w:eastAsia="et-EE"/>
              </w:rPr>
              <w:t>valitsussektor</w:t>
            </w:r>
            <w:r w:rsidRPr="00703FE6">
              <w:rPr>
                <w:color w:val="000000"/>
                <w:sz w:val="18"/>
                <w:szCs w:val="18"/>
                <w:lang w:eastAsia="et-EE"/>
              </w:rPr>
              <w:t xml:space="preserve">i teenused </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3</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83</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45</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46</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103</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125</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126</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163</w:t>
            </w:r>
          </w:p>
        </w:tc>
      </w:tr>
      <w:tr w:rsidR="00460542" w:rsidRPr="00703FE6" w:rsidTr="0084071E">
        <w:trPr>
          <w:trHeight w:val="282"/>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Riigikaitse</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4</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84</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47</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48</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104</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127</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128</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164</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Avalik kord ja julgeolek</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5</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85</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49</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50</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105</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129</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130</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165</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Majandus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2</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82</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43</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44</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102</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123</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124</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162</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Keskkonnakaitse</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8</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88</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55</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56</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108</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135</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136</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168</w:t>
            </w:r>
          </w:p>
        </w:tc>
      </w:tr>
      <w:tr w:rsidR="00460542" w:rsidRPr="00703FE6" w:rsidTr="0084071E">
        <w:trPr>
          <w:trHeight w:val="328"/>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Elamu- ja kommunaalmajandus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9</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18</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89</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57</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58</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109</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137</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138</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169</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 xml:space="preserve">Tervishoid </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6</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86</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51</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52</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106</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131</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132</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166</w:t>
            </w:r>
          </w:p>
        </w:tc>
      </w:tr>
      <w:tr w:rsidR="00460542" w:rsidRPr="00703FE6" w:rsidTr="0084071E">
        <w:trPr>
          <w:trHeight w:val="345"/>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Vaba aeg, kultuur, religioon</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10</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19</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20</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90</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59</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60</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110</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139</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140</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170</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Haridus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7</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87</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53</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54</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107</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133</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134</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167</w:t>
            </w:r>
          </w:p>
        </w:tc>
      </w:tr>
      <w:tr w:rsidR="00460542" w:rsidRPr="00703FE6" w:rsidTr="0084071E">
        <w:trPr>
          <w:trHeight w:val="315"/>
        </w:trPr>
        <w:tc>
          <w:tcPr>
            <w:tcW w:w="2856" w:type="dxa"/>
            <w:tcBorders>
              <w:top w:val="nil"/>
              <w:left w:val="single" w:sz="8" w:space="0" w:color="auto"/>
              <w:bottom w:val="single" w:sz="8"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Sotsiaalne kaitse</w:t>
            </w:r>
          </w:p>
        </w:tc>
        <w:tc>
          <w:tcPr>
            <w:tcW w:w="1068" w:type="dxa"/>
            <w:tcBorders>
              <w:top w:val="nil"/>
              <w:left w:val="single" w:sz="8" w:space="0" w:color="auto"/>
              <w:bottom w:val="single" w:sz="8"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w:t>
            </w:r>
          </w:p>
        </w:tc>
        <w:tc>
          <w:tcPr>
            <w:tcW w:w="567" w:type="dxa"/>
            <w:gridSpan w:val="2"/>
            <w:tcBorders>
              <w:top w:val="nil"/>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w:t>
            </w:r>
          </w:p>
        </w:tc>
        <w:tc>
          <w:tcPr>
            <w:tcW w:w="567"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81</w:t>
            </w:r>
          </w:p>
        </w:tc>
        <w:tc>
          <w:tcPr>
            <w:tcW w:w="425"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41</w:t>
            </w:r>
          </w:p>
        </w:tc>
        <w:tc>
          <w:tcPr>
            <w:tcW w:w="567"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42</w:t>
            </w:r>
          </w:p>
        </w:tc>
        <w:tc>
          <w:tcPr>
            <w:tcW w:w="616" w:type="dxa"/>
            <w:tcBorders>
              <w:top w:val="single" w:sz="4" w:space="0" w:color="auto"/>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101</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121</w:t>
            </w:r>
          </w:p>
        </w:tc>
        <w:tc>
          <w:tcPr>
            <w:tcW w:w="491" w:type="dxa"/>
            <w:tcBorders>
              <w:top w:val="single" w:sz="4" w:space="0" w:color="auto"/>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122</w:t>
            </w:r>
          </w:p>
        </w:tc>
        <w:tc>
          <w:tcPr>
            <w:tcW w:w="491" w:type="dxa"/>
            <w:tcBorders>
              <w:top w:val="single" w:sz="4" w:space="0" w:color="auto"/>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161</w:t>
            </w:r>
          </w:p>
        </w:tc>
      </w:tr>
      <w:tr w:rsidR="00460542" w:rsidRPr="00703FE6" w:rsidTr="0084071E">
        <w:trPr>
          <w:trHeight w:val="315"/>
        </w:trPr>
        <w:tc>
          <w:tcPr>
            <w:tcW w:w="2856" w:type="dxa"/>
            <w:tcBorders>
              <w:top w:val="nil"/>
              <w:left w:val="single" w:sz="8" w:space="0" w:color="auto"/>
              <w:bottom w:val="single" w:sz="8" w:space="0" w:color="auto"/>
              <w:right w:val="nil"/>
            </w:tcBorders>
            <w:shd w:val="clear" w:color="auto" w:fill="auto"/>
            <w:hideMark/>
          </w:tcPr>
          <w:p w:rsidR="00460542" w:rsidRPr="00703FE6" w:rsidRDefault="00460542" w:rsidP="00B956FC">
            <w:pPr>
              <w:jc w:val="left"/>
              <w:rPr>
                <w:b/>
                <w:bCs/>
                <w:color w:val="000000"/>
                <w:sz w:val="18"/>
                <w:szCs w:val="18"/>
                <w:lang w:eastAsia="et-EE"/>
              </w:rPr>
            </w:pPr>
            <w:r w:rsidRPr="00703FE6">
              <w:rPr>
                <w:b/>
                <w:bCs/>
                <w:color w:val="000000"/>
                <w:sz w:val="18"/>
                <w:szCs w:val="18"/>
                <w:lang w:eastAsia="et-EE"/>
              </w:rPr>
              <w:t>Büroo kompleksid</w:t>
            </w:r>
          </w:p>
        </w:tc>
        <w:tc>
          <w:tcPr>
            <w:tcW w:w="1068" w:type="dxa"/>
            <w:tcBorders>
              <w:top w:val="nil"/>
              <w:left w:val="single" w:sz="8" w:space="0" w:color="auto"/>
              <w:bottom w:val="single" w:sz="8" w:space="0" w:color="auto"/>
              <w:right w:val="single" w:sz="8" w:space="0" w:color="auto"/>
            </w:tcBorders>
            <w:shd w:val="clear" w:color="auto" w:fill="auto"/>
            <w:hideMark/>
          </w:tcPr>
          <w:p w:rsidR="00460542" w:rsidRPr="00703FE6" w:rsidRDefault="00460542" w:rsidP="00B956FC">
            <w:pPr>
              <w:jc w:val="center"/>
              <w:rPr>
                <w:b/>
                <w:bCs/>
                <w:color w:val="000000"/>
                <w:sz w:val="18"/>
                <w:szCs w:val="18"/>
                <w:lang w:eastAsia="et-EE"/>
              </w:rPr>
            </w:pPr>
          </w:p>
        </w:tc>
        <w:tc>
          <w:tcPr>
            <w:tcW w:w="187" w:type="dxa"/>
            <w:tcBorders>
              <w:top w:val="nil"/>
              <w:left w:val="nil"/>
              <w:bottom w:val="nil"/>
              <w:right w:val="nil"/>
            </w:tcBorders>
            <w:shd w:val="clear" w:color="auto" w:fill="auto"/>
            <w:hideMark/>
          </w:tcPr>
          <w:p w:rsidR="00460542" w:rsidRPr="00703FE6" w:rsidRDefault="00460542" w:rsidP="00B956FC">
            <w:pPr>
              <w:jc w:val="left"/>
              <w:rPr>
                <w:b/>
                <w:bCs/>
                <w:color w:val="000000"/>
                <w:sz w:val="18"/>
                <w:szCs w:val="18"/>
                <w:lang w:eastAsia="et-EE"/>
              </w:rPr>
            </w:pPr>
          </w:p>
        </w:tc>
        <w:tc>
          <w:tcPr>
            <w:tcW w:w="567" w:type="dxa"/>
            <w:tcBorders>
              <w:top w:val="single" w:sz="8" w:space="0" w:color="auto"/>
              <w:left w:val="single" w:sz="8" w:space="0" w:color="auto"/>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gridSpan w:val="2"/>
            <w:tcBorders>
              <w:top w:val="single" w:sz="8" w:space="0" w:color="auto"/>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tcBorders>
              <w:top w:val="single" w:sz="8" w:space="0" w:color="auto"/>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25" w:type="dxa"/>
            <w:tcBorders>
              <w:top w:val="single" w:sz="8" w:space="0" w:color="auto"/>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567" w:type="dxa"/>
            <w:tcBorders>
              <w:top w:val="single" w:sz="8" w:space="0" w:color="auto"/>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616" w:type="dxa"/>
            <w:tcBorders>
              <w:top w:val="single" w:sz="8" w:space="0" w:color="auto"/>
              <w:left w:val="nil"/>
              <w:bottom w:val="single" w:sz="8" w:space="0" w:color="auto"/>
              <w:right w:val="single" w:sz="4" w:space="0" w:color="auto"/>
            </w:tcBorders>
            <w:shd w:val="clear" w:color="auto" w:fill="auto"/>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single" w:sz="8" w:space="0" w:color="auto"/>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single" w:sz="8" w:space="0" w:color="auto"/>
              <w:left w:val="nil"/>
              <w:bottom w:val="single" w:sz="8" w:space="0" w:color="auto"/>
              <w:right w:val="single" w:sz="4"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c>
          <w:tcPr>
            <w:tcW w:w="491" w:type="dxa"/>
            <w:tcBorders>
              <w:top w:val="single" w:sz="8" w:space="0" w:color="auto"/>
              <w:left w:val="nil"/>
              <w:bottom w:val="single" w:sz="8" w:space="0" w:color="auto"/>
              <w:right w:val="single" w:sz="8" w:space="0" w:color="auto"/>
            </w:tcBorders>
            <w:shd w:val="clear" w:color="000000" w:fill="D8D8D8"/>
            <w:noWrap/>
            <w:hideMark/>
          </w:tcPr>
          <w:p w:rsidR="00460542" w:rsidRPr="00703FE6" w:rsidRDefault="00460542" w:rsidP="00B956FC">
            <w:pPr>
              <w:jc w:val="left"/>
              <w:rPr>
                <w:color w:val="000000"/>
                <w:sz w:val="18"/>
                <w:szCs w:val="18"/>
                <w:lang w:eastAsia="et-EE"/>
              </w:rPr>
            </w:pPr>
            <w:r w:rsidRPr="00703FE6">
              <w:rPr>
                <w:color w:val="000000"/>
                <w:sz w:val="18"/>
                <w:szCs w:val="18"/>
                <w:lang w:eastAsia="et-EE"/>
              </w:rPr>
              <w:t> </w:t>
            </w:r>
          </w:p>
        </w:tc>
      </w:tr>
      <w:tr w:rsidR="00460542" w:rsidRPr="00703FE6" w:rsidTr="0084071E">
        <w:trPr>
          <w:trHeight w:val="474"/>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 xml:space="preserve">Üldised valitsemissektori teenused </w:t>
            </w:r>
          </w:p>
        </w:tc>
        <w:tc>
          <w:tcPr>
            <w:tcW w:w="1068" w:type="dxa"/>
            <w:tcBorders>
              <w:top w:val="single" w:sz="4" w:space="0" w:color="auto"/>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13</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25</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26</w:t>
            </w:r>
          </w:p>
        </w:tc>
        <w:tc>
          <w:tcPr>
            <w:tcW w:w="567" w:type="dxa"/>
            <w:tcBorders>
              <w:top w:val="nil"/>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93</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65</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66</w:t>
            </w:r>
          </w:p>
        </w:tc>
        <w:tc>
          <w:tcPr>
            <w:tcW w:w="616" w:type="dxa"/>
            <w:tcBorders>
              <w:top w:val="nil"/>
              <w:left w:val="nil"/>
              <w:bottom w:val="nil"/>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113</w:t>
            </w:r>
          </w:p>
        </w:tc>
        <w:tc>
          <w:tcPr>
            <w:tcW w:w="491" w:type="dxa"/>
            <w:tcBorders>
              <w:top w:val="nil"/>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145</w:t>
            </w:r>
          </w:p>
        </w:tc>
        <w:tc>
          <w:tcPr>
            <w:tcW w:w="491" w:type="dxa"/>
            <w:tcBorders>
              <w:top w:val="nil"/>
              <w:left w:val="nil"/>
              <w:bottom w:val="nil"/>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146</w:t>
            </w:r>
          </w:p>
        </w:tc>
        <w:tc>
          <w:tcPr>
            <w:tcW w:w="491" w:type="dxa"/>
            <w:tcBorders>
              <w:top w:val="nil"/>
              <w:left w:val="nil"/>
              <w:bottom w:val="nil"/>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173</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Riigikaitse</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14</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27</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28</w:t>
            </w:r>
          </w:p>
        </w:tc>
        <w:tc>
          <w:tcPr>
            <w:tcW w:w="567" w:type="dxa"/>
            <w:tcBorders>
              <w:top w:val="single" w:sz="4" w:space="0" w:color="auto"/>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94</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67</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68</w:t>
            </w:r>
          </w:p>
        </w:tc>
        <w:tc>
          <w:tcPr>
            <w:tcW w:w="616" w:type="dxa"/>
            <w:tcBorders>
              <w:top w:val="single" w:sz="4" w:space="0" w:color="auto"/>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114</w:t>
            </w:r>
          </w:p>
        </w:tc>
        <w:tc>
          <w:tcPr>
            <w:tcW w:w="491" w:type="dxa"/>
            <w:tcBorders>
              <w:top w:val="single" w:sz="4" w:space="0" w:color="auto"/>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147</w:t>
            </w:r>
          </w:p>
        </w:tc>
        <w:tc>
          <w:tcPr>
            <w:tcW w:w="491" w:type="dxa"/>
            <w:tcBorders>
              <w:top w:val="single" w:sz="4" w:space="0" w:color="auto"/>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148</w:t>
            </w:r>
          </w:p>
        </w:tc>
        <w:tc>
          <w:tcPr>
            <w:tcW w:w="491" w:type="dxa"/>
            <w:tcBorders>
              <w:top w:val="single" w:sz="4" w:space="0" w:color="auto"/>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174</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Avalik kord ja julgeolek</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15</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29</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30</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95</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69</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70</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115</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149</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150</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175</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Majandus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12</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23</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24</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92</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63</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64</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112</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143</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144</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172</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Keskkonnakaitse</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18</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35</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36</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98</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75</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76</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118</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155</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156</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178</w:t>
            </w:r>
          </w:p>
        </w:tc>
      </w:tr>
      <w:tr w:rsidR="00460542" w:rsidRPr="00703FE6" w:rsidTr="0084071E">
        <w:trPr>
          <w:trHeight w:val="296"/>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Elamu- ja kommunaalmajandus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19</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37</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38</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99</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77</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78</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119</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157</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158</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179</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 xml:space="preserve">Tervishoid </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16</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31</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32</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96</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71</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72</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116</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151</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152</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176</w:t>
            </w:r>
          </w:p>
        </w:tc>
      </w:tr>
      <w:tr w:rsidR="00460542" w:rsidRPr="00703FE6" w:rsidTr="0084071E">
        <w:trPr>
          <w:trHeight w:val="36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Vaba aeg, kultuur, religioon</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20</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39</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40</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100</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79</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80</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120</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159</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160</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180</w:t>
            </w:r>
          </w:p>
        </w:tc>
      </w:tr>
      <w:tr w:rsidR="00460542" w:rsidRPr="00703FE6" w:rsidTr="0084071E">
        <w:trPr>
          <w:trHeight w:val="300"/>
        </w:trPr>
        <w:tc>
          <w:tcPr>
            <w:tcW w:w="2856" w:type="dxa"/>
            <w:tcBorders>
              <w:top w:val="nil"/>
              <w:left w:val="single" w:sz="8" w:space="0" w:color="auto"/>
              <w:bottom w:val="single" w:sz="4"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Haridus</w:t>
            </w:r>
          </w:p>
        </w:tc>
        <w:tc>
          <w:tcPr>
            <w:tcW w:w="1068" w:type="dxa"/>
            <w:tcBorders>
              <w:top w:val="nil"/>
              <w:left w:val="single" w:sz="8" w:space="0" w:color="auto"/>
              <w:bottom w:val="single" w:sz="4"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17</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33</w:t>
            </w:r>
          </w:p>
        </w:tc>
        <w:tc>
          <w:tcPr>
            <w:tcW w:w="567" w:type="dxa"/>
            <w:gridSpan w:val="2"/>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34</w:t>
            </w:r>
          </w:p>
        </w:tc>
        <w:tc>
          <w:tcPr>
            <w:tcW w:w="567"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97</w:t>
            </w:r>
          </w:p>
        </w:tc>
        <w:tc>
          <w:tcPr>
            <w:tcW w:w="425"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73</w:t>
            </w:r>
          </w:p>
        </w:tc>
        <w:tc>
          <w:tcPr>
            <w:tcW w:w="567"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74</w:t>
            </w:r>
          </w:p>
        </w:tc>
        <w:tc>
          <w:tcPr>
            <w:tcW w:w="616" w:type="dxa"/>
            <w:tcBorders>
              <w:top w:val="nil"/>
              <w:left w:val="nil"/>
              <w:bottom w:val="single" w:sz="4"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117</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153</w:t>
            </w:r>
          </w:p>
        </w:tc>
        <w:tc>
          <w:tcPr>
            <w:tcW w:w="491" w:type="dxa"/>
            <w:tcBorders>
              <w:top w:val="nil"/>
              <w:left w:val="nil"/>
              <w:bottom w:val="single" w:sz="4"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154</w:t>
            </w:r>
          </w:p>
        </w:tc>
        <w:tc>
          <w:tcPr>
            <w:tcW w:w="491" w:type="dxa"/>
            <w:tcBorders>
              <w:top w:val="nil"/>
              <w:left w:val="nil"/>
              <w:bottom w:val="single" w:sz="4"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177</w:t>
            </w:r>
          </w:p>
        </w:tc>
      </w:tr>
      <w:tr w:rsidR="00460542" w:rsidRPr="00703FE6" w:rsidTr="0084071E">
        <w:trPr>
          <w:trHeight w:val="315"/>
        </w:trPr>
        <w:tc>
          <w:tcPr>
            <w:tcW w:w="2856" w:type="dxa"/>
            <w:tcBorders>
              <w:top w:val="nil"/>
              <w:left w:val="single" w:sz="8" w:space="0" w:color="auto"/>
              <w:bottom w:val="single" w:sz="8" w:space="0" w:color="auto"/>
              <w:right w:val="nil"/>
            </w:tcBorders>
            <w:shd w:val="clear" w:color="auto" w:fill="auto"/>
            <w:hideMark/>
          </w:tcPr>
          <w:p w:rsidR="00460542" w:rsidRPr="00703FE6" w:rsidRDefault="00460542" w:rsidP="00B956FC">
            <w:pPr>
              <w:jc w:val="left"/>
              <w:rPr>
                <w:color w:val="000000"/>
                <w:sz w:val="18"/>
                <w:szCs w:val="18"/>
                <w:lang w:eastAsia="et-EE"/>
              </w:rPr>
            </w:pPr>
            <w:r w:rsidRPr="00703FE6">
              <w:rPr>
                <w:color w:val="000000"/>
                <w:sz w:val="18"/>
                <w:szCs w:val="18"/>
                <w:lang w:eastAsia="et-EE"/>
              </w:rPr>
              <w:t>Sotsiaalne kaitse</w:t>
            </w:r>
          </w:p>
        </w:tc>
        <w:tc>
          <w:tcPr>
            <w:tcW w:w="1068" w:type="dxa"/>
            <w:tcBorders>
              <w:top w:val="nil"/>
              <w:left w:val="single" w:sz="8" w:space="0" w:color="auto"/>
              <w:bottom w:val="single" w:sz="8" w:space="0" w:color="auto"/>
              <w:right w:val="single" w:sz="8" w:space="0" w:color="auto"/>
            </w:tcBorders>
            <w:shd w:val="clear" w:color="auto" w:fill="auto"/>
            <w:hideMark/>
          </w:tcPr>
          <w:p w:rsidR="00460542" w:rsidRPr="00703FE6" w:rsidRDefault="00460542" w:rsidP="00B956FC">
            <w:pPr>
              <w:jc w:val="center"/>
              <w:rPr>
                <w:color w:val="000000"/>
                <w:sz w:val="18"/>
                <w:szCs w:val="18"/>
                <w:lang w:eastAsia="et-EE"/>
              </w:rPr>
            </w:pPr>
            <w:r w:rsidRPr="00703FE6">
              <w:rPr>
                <w:color w:val="000000"/>
                <w:sz w:val="18"/>
                <w:szCs w:val="18"/>
                <w:lang w:eastAsia="et-EE"/>
              </w:rPr>
              <w:t>11</w:t>
            </w:r>
          </w:p>
        </w:tc>
        <w:tc>
          <w:tcPr>
            <w:tcW w:w="187" w:type="dxa"/>
            <w:tcBorders>
              <w:top w:val="nil"/>
              <w:left w:val="nil"/>
              <w:bottom w:val="nil"/>
              <w:right w:val="nil"/>
            </w:tcBorders>
            <w:shd w:val="clear" w:color="auto" w:fill="auto"/>
            <w:hideMark/>
          </w:tcPr>
          <w:p w:rsidR="00460542" w:rsidRPr="00703FE6" w:rsidRDefault="00460542" w:rsidP="00B956FC">
            <w:pPr>
              <w:jc w:val="left"/>
              <w:rPr>
                <w:color w:val="000000"/>
                <w:sz w:val="18"/>
                <w:szCs w:val="18"/>
                <w:lang w:eastAsia="et-EE"/>
              </w:rPr>
            </w:pPr>
          </w:p>
        </w:tc>
        <w:tc>
          <w:tcPr>
            <w:tcW w:w="567" w:type="dxa"/>
            <w:tcBorders>
              <w:top w:val="nil"/>
              <w:left w:val="single" w:sz="8" w:space="0" w:color="auto"/>
              <w:bottom w:val="single" w:sz="8"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21</w:t>
            </w:r>
          </w:p>
        </w:tc>
        <w:tc>
          <w:tcPr>
            <w:tcW w:w="567" w:type="dxa"/>
            <w:gridSpan w:val="2"/>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22</w:t>
            </w:r>
          </w:p>
        </w:tc>
        <w:tc>
          <w:tcPr>
            <w:tcW w:w="567"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91</w:t>
            </w:r>
          </w:p>
        </w:tc>
        <w:tc>
          <w:tcPr>
            <w:tcW w:w="425"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61</w:t>
            </w:r>
          </w:p>
        </w:tc>
        <w:tc>
          <w:tcPr>
            <w:tcW w:w="567"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62</w:t>
            </w:r>
          </w:p>
        </w:tc>
        <w:tc>
          <w:tcPr>
            <w:tcW w:w="616" w:type="dxa"/>
            <w:tcBorders>
              <w:top w:val="nil"/>
              <w:left w:val="nil"/>
              <w:bottom w:val="single" w:sz="8" w:space="0" w:color="auto"/>
              <w:right w:val="single" w:sz="4" w:space="0" w:color="auto"/>
            </w:tcBorders>
            <w:shd w:val="clear" w:color="auto" w:fill="auto"/>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111</w:t>
            </w:r>
          </w:p>
        </w:tc>
        <w:tc>
          <w:tcPr>
            <w:tcW w:w="491"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141</w:t>
            </w:r>
          </w:p>
        </w:tc>
        <w:tc>
          <w:tcPr>
            <w:tcW w:w="491" w:type="dxa"/>
            <w:tcBorders>
              <w:top w:val="nil"/>
              <w:left w:val="nil"/>
              <w:bottom w:val="single" w:sz="8" w:space="0" w:color="auto"/>
              <w:right w:val="single" w:sz="4"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142</w:t>
            </w:r>
          </w:p>
        </w:tc>
        <w:tc>
          <w:tcPr>
            <w:tcW w:w="491" w:type="dxa"/>
            <w:tcBorders>
              <w:top w:val="nil"/>
              <w:left w:val="nil"/>
              <w:bottom w:val="single" w:sz="8" w:space="0" w:color="auto"/>
              <w:right w:val="single" w:sz="8" w:space="0" w:color="auto"/>
            </w:tcBorders>
            <w:shd w:val="clear" w:color="000000" w:fill="D8D8D8"/>
            <w:noWrap/>
            <w:hideMark/>
          </w:tcPr>
          <w:p w:rsidR="00460542" w:rsidRPr="00703FE6" w:rsidRDefault="00460542" w:rsidP="00B956FC">
            <w:pPr>
              <w:jc w:val="right"/>
              <w:rPr>
                <w:color w:val="000000"/>
                <w:sz w:val="18"/>
                <w:szCs w:val="18"/>
                <w:lang w:eastAsia="et-EE"/>
              </w:rPr>
            </w:pPr>
            <w:r w:rsidRPr="00703FE6">
              <w:rPr>
                <w:color w:val="000000"/>
                <w:sz w:val="18"/>
                <w:szCs w:val="18"/>
                <w:lang w:eastAsia="et-EE"/>
              </w:rPr>
              <w:t>171</w:t>
            </w:r>
          </w:p>
        </w:tc>
      </w:tr>
    </w:tbl>
    <w:p w:rsidR="00B35D2F" w:rsidRDefault="00B35D2F" w:rsidP="00B35D2F"/>
    <w:p w:rsidR="003E47F3" w:rsidRDefault="003E47F3" w:rsidP="003E47F3">
      <w:pPr>
        <w:pStyle w:val="Caption"/>
      </w:pPr>
      <w:r>
        <w:t xml:space="preserve">Tabel </w:t>
      </w:r>
      <w:fldSimple w:instr=" SEQ Tabel \* ARABIC ">
        <w:r w:rsidR="00477322">
          <w:rPr>
            <w:noProof/>
          </w:rPr>
          <w:t>2</w:t>
        </w:r>
      </w:fldSimple>
      <w:r>
        <w:t>. Stsenaariumite 2, 4 ja 6 prioriteetsused</w:t>
      </w:r>
    </w:p>
    <w:tbl>
      <w:tblPr>
        <w:tblW w:w="9142" w:type="dxa"/>
        <w:tblInd w:w="70" w:type="dxa"/>
        <w:tblCellMar>
          <w:left w:w="70" w:type="dxa"/>
          <w:right w:w="70" w:type="dxa"/>
        </w:tblCellMar>
        <w:tblLook w:val="04A0"/>
      </w:tblPr>
      <w:tblGrid>
        <w:gridCol w:w="2241"/>
        <w:gridCol w:w="1081"/>
        <w:gridCol w:w="338"/>
        <w:gridCol w:w="451"/>
        <w:gridCol w:w="531"/>
        <w:gridCol w:w="472"/>
        <w:gridCol w:w="362"/>
        <w:gridCol w:w="362"/>
        <w:gridCol w:w="472"/>
        <w:gridCol w:w="472"/>
        <w:gridCol w:w="472"/>
        <w:gridCol w:w="472"/>
        <w:gridCol w:w="472"/>
        <w:gridCol w:w="472"/>
        <w:gridCol w:w="472"/>
      </w:tblGrid>
      <w:tr w:rsidR="00B35D2F" w:rsidRPr="00703FE6" w:rsidTr="004F1ED0">
        <w:trPr>
          <w:trHeight w:val="675"/>
        </w:trPr>
        <w:tc>
          <w:tcPr>
            <w:tcW w:w="2241" w:type="dxa"/>
            <w:tcBorders>
              <w:top w:val="nil"/>
              <w:left w:val="nil"/>
              <w:bottom w:val="nil"/>
              <w:right w:val="nil"/>
            </w:tcBorders>
            <w:shd w:val="clear" w:color="auto" w:fill="auto"/>
            <w:noWrap/>
            <w:vAlign w:val="bottom"/>
            <w:hideMark/>
          </w:tcPr>
          <w:p w:rsidR="00B35D2F" w:rsidRPr="00703FE6" w:rsidRDefault="00B35D2F" w:rsidP="004F1ED0">
            <w:pPr>
              <w:jc w:val="left"/>
              <w:rPr>
                <w:color w:val="000000"/>
                <w:sz w:val="18"/>
                <w:szCs w:val="18"/>
                <w:lang w:eastAsia="et-EE"/>
              </w:rPr>
            </w:pPr>
          </w:p>
        </w:tc>
        <w:tc>
          <w:tcPr>
            <w:tcW w:w="1081" w:type="dxa"/>
            <w:tcBorders>
              <w:top w:val="nil"/>
              <w:left w:val="nil"/>
              <w:bottom w:val="single" w:sz="8" w:space="0" w:color="auto"/>
              <w:right w:val="nil"/>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Riik korraldab</w:t>
            </w:r>
          </w:p>
        </w:tc>
        <w:tc>
          <w:tcPr>
            <w:tcW w:w="338" w:type="dxa"/>
            <w:tcBorders>
              <w:top w:val="nil"/>
              <w:left w:val="nil"/>
              <w:bottom w:val="nil"/>
              <w:right w:val="nil"/>
            </w:tcBorders>
            <w:shd w:val="clear" w:color="auto" w:fill="auto"/>
            <w:noWrap/>
            <w:vAlign w:val="bottom"/>
            <w:hideMark/>
          </w:tcPr>
          <w:p w:rsidR="00B35D2F" w:rsidRPr="00703FE6" w:rsidRDefault="00B35D2F" w:rsidP="004F1ED0">
            <w:pPr>
              <w:jc w:val="center"/>
              <w:rPr>
                <w:color w:val="000000"/>
                <w:sz w:val="18"/>
                <w:szCs w:val="18"/>
                <w:lang w:eastAsia="et-EE"/>
              </w:rPr>
            </w:pPr>
          </w:p>
        </w:tc>
        <w:tc>
          <w:tcPr>
            <w:tcW w:w="5482" w:type="dxa"/>
            <w:gridSpan w:val="12"/>
            <w:tcBorders>
              <w:top w:val="nil"/>
              <w:left w:val="nil"/>
              <w:bottom w:val="single" w:sz="8" w:space="0" w:color="auto"/>
              <w:right w:val="nil"/>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RKAS korraldab sh kaasates erasektorit</w:t>
            </w:r>
          </w:p>
        </w:tc>
      </w:tr>
      <w:tr w:rsidR="00B35D2F" w:rsidRPr="00703FE6" w:rsidTr="004F1ED0">
        <w:trPr>
          <w:trHeight w:val="315"/>
        </w:trPr>
        <w:tc>
          <w:tcPr>
            <w:tcW w:w="2241" w:type="dxa"/>
            <w:tcBorders>
              <w:top w:val="nil"/>
              <w:left w:val="nil"/>
              <w:bottom w:val="nil"/>
              <w:right w:val="nil"/>
            </w:tcBorders>
            <w:shd w:val="clear" w:color="auto" w:fill="auto"/>
            <w:noWrap/>
            <w:vAlign w:val="bottom"/>
            <w:hideMark/>
          </w:tcPr>
          <w:p w:rsidR="00B35D2F" w:rsidRPr="00703FE6" w:rsidRDefault="00B35D2F" w:rsidP="004F1ED0">
            <w:pPr>
              <w:jc w:val="left"/>
              <w:rPr>
                <w:color w:val="000000"/>
                <w:sz w:val="18"/>
                <w:szCs w:val="18"/>
                <w:lang w:eastAsia="et-EE"/>
              </w:rPr>
            </w:pPr>
          </w:p>
        </w:tc>
        <w:tc>
          <w:tcPr>
            <w:tcW w:w="1081" w:type="dxa"/>
            <w:tcBorders>
              <w:top w:val="nil"/>
              <w:left w:val="single" w:sz="8" w:space="0" w:color="auto"/>
              <w:bottom w:val="single" w:sz="8" w:space="0" w:color="auto"/>
              <w:right w:val="single" w:sz="4"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 </w:t>
            </w:r>
          </w:p>
        </w:tc>
        <w:tc>
          <w:tcPr>
            <w:tcW w:w="338" w:type="dxa"/>
            <w:tcBorders>
              <w:top w:val="nil"/>
              <w:left w:val="single" w:sz="4" w:space="0" w:color="auto"/>
              <w:bottom w:val="nil"/>
              <w:right w:val="nil"/>
            </w:tcBorders>
            <w:shd w:val="clear" w:color="auto" w:fill="auto"/>
            <w:noWrap/>
            <w:vAlign w:val="bottom"/>
            <w:hideMark/>
          </w:tcPr>
          <w:p w:rsidR="00B35D2F" w:rsidRPr="00703FE6" w:rsidRDefault="00B35D2F" w:rsidP="004F1ED0">
            <w:pPr>
              <w:jc w:val="center"/>
              <w:rPr>
                <w:color w:val="000000"/>
                <w:sz w:val="18"/>
                <w:szCs w:val="18"/>
                <w:lang w:eastAsia="et-EE"/>
              </w:rPr>
            </w:pPr>
          </w:p>
        </w:tc>
        <w:tc>
          <w:tcPr>
            <w:tcW w:w="1454"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PPP (ESA)</w:t>
            </w:r>
          </w:p>
        </w:tc>
        <w:tc>
          <w:tcPr>
            <w:tcW w:w="2612" w:type="dxa"/>
            <w:gridSpan w:val="6"/>
            <w:tcBorders>
              <w:top w:val="single" w:sz="8" w:space="0" w:color="auto"/>
              <w:left w:val="nil"/>
              <w:bottom w:val="single" w:sz="8" w:space="0" w:color="auto"/>
              <w:right w:val="single" w:sz="8" w:space="0" w:color="000000"/>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Kasutusrent (ESA)</w:t>
            </w:r>
          </w:p>
        </w:tc>
        <w:tc>
          <w:tcPr>
            <w:tcW w:w="1416" w:type="dxa"/>
            <w:gridSpan w:val="3"/>
            <w:tcBorders>
              <w:top w:val="single" w:sz="8" w:space="0" w:color="auto"/>
              <w:left w:val="nil"/>
              <w:bottom w:val="single" w:sz="8" w:space="0" w:color="auto"/>
              <w:right w:val="single" w:sz="8" w:space="0" w:color="000000"/>
            </w:tcBorders>
            <w:shd w:val="clear" w:color="auto" w:fill="auto"/>
            <w:noWrap/>
            <w:vAlign w:val="bottom"/>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Kapitalirent</w:t>
            </w:r>
          </w:p>
        </w:tc>
      </w:tr>
      <w:tr w:rsidR="00B35D2F" w:rsidRPr="00703FE6" w:rsidTr="004F1ED0">
        <w:trPr>
          <w:trHeight w:val="300"/>
        </w:trPr>
        <w:tc>
          <w:tcPr>
            <w:tcW w:w="224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5D2F" w:rsidRPr="00703FE6" w:rsidRDefault="00B35D2F" w:rsidP="004F1ED0">
            <w:pPr>
              <w:jc w:val="left"/>
              <w:rPr>
                <w:color w:val="000000"/>
                <w:sz w:val="18"/>
                <w:szCs w:val="18"/>
                <w:lang w:eastAsia="et-EE"/>
              </w:rPr>
            </w:pPr>
            <w:r w:rsidRPr="00703FE6">
              <w:rPr>
                <w:color w:val="000000"/>
                <w:sz w:val="18"/>
                <w:szCs w:val="18"/>
                <w:lang w:eastAsia="et-EE"/>
              </w:rPr>
              <w:t>Tehingu finantsmõistlikkus</w:t>
            </w:r>
          </w:p>
        </w:tc>
        <w:tc>
          <w:tcPr>
            <w:tcW w:w="1081" w:type="dxa"/>
            <w:tcBorders>
              <w:top w:val="nil"/>
              <w:left w:val="nil"/>
              <w:bottom w:val="single" w:sz="4" w:space="0" w:color="auto"/>
              <w:right w:val="single" w:sz="4" w:space="0" w:color="auto"/>
            </w:tcBorders>
            <w:shd w:val="clear" w:color="auto" w:fill="auto"/>
            <w:noWrap/>
            <w:vAlign w:val="bottom"/>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338" w:type="dxa"/>
            <w:tcBorders>
              <w:top w:val="nil"/>
              <w:left w:val="nil"/>
              <w:bottom w:val="nil"/>
              <w:right w:val="nil"/>
            </w:tcBorders>
            <w:shd w:val="clear" w:color="auto" w:fill="auto"/>
            <w:noWrap/>
            <w:vAlign w:val="bottom"/>
            <w:hideMark/>
          </w:tcPr>
          <w:p w:rsidR="00B35D2F" w:rsidRPr="00703FE6" w:rsidRDefault="00B35D2F" w:rsidP="004F1ED0">
            <w:pPr>
              <w:jc w:val="left"/>
              <w:rPr>
                <w:color w:val="000000"/>
                <w:sz w:val="18"/>
                <w:szCs w:val="18"/>
                <w:lang w:eastAsia="et-EE"/>
              </w:rPr>
            </w:pPr>
          </w:p>
        </w:tc>
        <w:tc>
          <w:tcPr>
            <w:tcW w:w="1454" w:type="dxa"/>
            <w:gridSpan w:val="3"/>
            <w:tcBorders>
              <w:top w:val="single" w:sz="8" w:space="0" w:color="auto"/>
              <w:left w:val="single" w:sz="8" w:space="0" w:color="auto"/>
              <w:bottom w:val="single" w:sz="4" w:space="0" w:color="auto"/>
              <w:right w:val="single" w:sz="8" w:space="0" w:color="000000"/>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 </w:t>
            </w:r>
          </w:p>
        </w:tc>
        <w:tc>
          <w:tcPr>
            <w:tcW w:w="1196" w:type="dxa"/>
            <w:gridSpan w:val="3"/>
            <w:tcBorders>
              <w:top w:val="single" w:sz="8" w:space="0" w:color="auto"/>
              <w:left w:val="nil"/>
              <w:bottom w:val="single" w:sz="4" w:space="0" w:color="auto"/>
              <w:right w:val="single" w:sz="4"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Mõistlik</w:t>
            </w:r>
          </w:p>
        </w:tc>
        <w:tc>
          <w:tcPr>
            <w:tcW w:w="1416" w:type="dxa"/>
            <w:gridSpan w:val="3"/>
            <w:tcBorders>
              <w:top w:val="single" w:sz="8" w:space="0" w:color="auto"/>
              <w:left w:val="nil"/>
              <w:bottom w:val="single" w:sz="4" w:space="0" w:color="auto"/>
              <w:right w:val="single" w:sz="8" w:space="0" w:color="000000"/>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Pigem mõistlik</w:t>
            </w:r>
          </w:p>
        </w:tc>
        <w:tc>
          <w:tcPr>
            <w:tcW w:w="472" w:type="dxa"/>
            <w:tcBorders>
              <w:top w:val="nil"/>
              <w:left w:val="nil"/>
              <w:bottom w:val="nil"/>
              <w:right w:val="nil"/>
            </w:tcBorders>
            <w:shd w:val="clear" w:color="000000" w:fill="FFFFFF"/>
            <w:noWrap/>
            <w:vAlign w:val="bottom"/>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single" w:sz="4" w:space="0" w:color="auto"/>
              <w:right w:val="nil"/>
            </w:tcBorders>
            <w:shd w:val="clear" w:color="000000" w:fill="FFFFFF"/>
            <w:noWrap/>
            <w:vAlign w:val="bottom"/>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 </w:t>
            </w:r>
          </w:p>
        </w:tc>
        <w:tc>
          <w:tcPr>
            <w:tcW w:w="472" w:type="dxa"/>
            <w:tcBorders>
              <w:top w:val="nil"/>
              <w:left w:val="nil"/>
              <w:bottom w:val="single" w:sz="4" w:space="0" w:color="auto"/>
              <w:right w:val="single" w:sz="8" w:space="0" w:color="auto"/>
            </w:tcBorders>
            <w:shd w:val="clear" w:color="000000" w:fill="FFFFFF"/>
            <w:noWrap/>
            <w:vAlign w:val="bottom"/>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 </w:t>
            </w:r>
          </w:p>
        </w:tc>
      </w:tr>
      <w:tr w:rsidR="00B35D2F" w:rsidRPr="00703FE6" w:rsidTr="00D649E0">
        <w:trPr>
          <w:trHeight w:val="315"/>
        </w:trPr>
        <w:tc>
          <w:tcPr>
            <w:tcW w:w="2241" w:type="dxa"/>
            <w:tcBorders>
              <w:top w:val="nil"/>
              <w:left w:val="single" w:sz="8" w:space="0" w:color="auto"/>
              <w:bottom w:val="single" w:sz="8" w:space="0" w:color="auto"/>
              <w:right w:val="single" w:sz="4" w:space="0" w:color="auto"/>
            </w:tcBorders>
            <w:shd w:val="clear" w:color="auto" w:fill="auto"/>
            <w:noWrap/>
            <w:vAlign w:val="bottom"/>
            <w:hideMark/>
          </w:tcPr>
          <w:p w:rsidR="00B35D2F" w:rsidRPr="00703FE6" w:rsidRDefault="00B35D2F" w:rsidP="004F1ED0">
            <w:pPr>
              <w:jc w:val="left"/>
              <w:rPr>
                <w:color w:val="000000"/>
                <w:sz w:val="18"/>
                <w:szCs w:val="18"/>
                <w:lang w:eastAsia="et-EE"/>
              </w:rPr>
            </w:pPr>
            <w:r w:rsidRPr="00703FE6">
              <w:rPr>
                <w:color w:val="000000"/>
                <w:sz w:val="18"/>
                <w:szCs w:val="18"/>
                <w:lang w:eastAsia="et-EE"/>
              </w:rPr>
              <w:t>Tehingu olulisus</w:t>
            </w:r>
          </w:p>
        </w:tc>
        <w:tc>
          <w:tcPr>
            <w:tcW w:w="1081" w:type="dxa"/>
            <w:tcBorders>
              <w:top w:val="nil"/>
              <w:left w:val="nil"/>
              <w:bottom w:val="single" w:sz="8" w:space="0" w:color="auto"/>
              <w:right w:val="single" w:sz="4"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 </w:t>
            </w:r>
          </w:p>
        </w:tc>
        <w:tc>
          <w:tcPr>
            <w:tcW w:w="338" w:type="dxa"/>
            <w:tcBorders>
              <w:top w:val="nil"/>
              <w:left w:val="nil"/>
              <w:bottom w:val="nil"/>
              <w:right w:val="nil"/>
            </w:tcBorders>
            <w:shd w:val="clear" w:color="auto" w:fill="auto"/>
            <w:noWrap/>
            <w:vAlign w:val="bottom"/>
            <w:hideMark/>
          </w:tcPr>
          <w:p w:rsidR="00B35D2F" w:rsidRPr="00703FE6" w:rsidRDefault="00B35D2F" w:rsidP="004F1ED0">
            <w:pPr>
              <w:jc w:val="center"/>
              <w:rPr>
                <w:b/>
                <w:bCs/>
                <w:color w:val="000000"/>
                <w:sz w:val="18"/>
                <w:szCs w:val="18"/>
                <w:lang w:eastAsia="et-EE"/>
              </w:rPr>
            </w:pPr>
          </w:p>
        </w:tc>
        <w:tc>
          <w:tcPr>
            <w:tcW w:w="451" w:type="dxa"/>
            <w:tcBorders>
              <w:top w:val="nil"/>
              <w:left w:val="single" w:sz="8" w:space="0" w:color="auto"/>
              <w:bottom w:val="single" w:sz="8" w:space="0" w:color="auto"/>
              <w:right w:val="single" w:sz="4"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w:t>
            </w:r>
          </w:p>
        </w:tc>
        <w:tc>
          <w:tcPr>
            <w:tcW w:w="531" w:type="dxa"/>
            <w:tcBorders>
              <w:top w:val="nil"/>
              <w:left w:val="nil"/>
              <w:bottom w:val="single" w:sz="8" w:space="0" w:color="auto"/>
              <w:right w:val="single" w:sz="4"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w:t>
            </w:r>
          </w:p>
        </w:tc>
        <w:tc>
          <w:tcPr>
            <w:tcW w:w="472" w:type="dxa"/>
            <w:tcBorders>
              <w:top w:val="nil"/>
              <w:left w:val="nil"/>
              <w:bottom w:val="single" w:sz="8" w:space="0" w:color="auto"/>
              <w:right w:val="single" w:sz="8"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III</w:t>
            </w:r>
          </w:p>
        </w:tc>
        <w:tc>
          <w:tcPr>
            <w:tcW w:w="362" w:type="dxa"/>
            <w:tcBorders>
              <w:top w:val="nil"/>
              <w:left w:val="nil"/>
              <w:bottom w:val="single" w:sz="8" w:space="0" w:color="auto"/>
              <w:right w:val="single" w:sz="4"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w:t>
            </w:r>
          </w:p>
        </w:tc>
        <w:tc>
          <w:tcPr>
            <w:tcW w:w="362" w:type="dxa"/>
            <w:tcBorders>
              <w:top w:val="nil"/>
              <w:left w:val="nil"/>
              <w:bottom w:val="single" w:sz="8" w:space="0" w:color="auto"/>
              <w:right w:val="single" w:sz="4"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w:t>
            </w:r>
          </w:p>
        </w:tc>
        <w:tc>
          <w:tcPr>
            <w:tcW w:w="472" w:type="dxa"/>
            <w:tcBorders>
              <w:top w:val="nil"/>
              <w:left w:val="nil"/>
              <w:bottom w:val="single" w:sz="8" w:space="0" w:color="auto"/>
              <w:right w:val="single" w:sz="8" w:space="0" w:color="auto"/>
            </w:tcBorders>
            <w:shd w:val="clear" w:color="auto" w:fill="auto"/>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III</w:t>
            </w:r>
          </w:p>
        </w:tc>
        <w:tc>
          <w:tcPr>
            <w:tcW w:w="472" w:type="dxa"/>
            <w:tcBorders>
              <w:top w:val="nil"/>
              <w:left w:val="nil"/>
              <w:bottom w:val="single" w:sz="8" w:space="0" w:color="auto"/>
              <w:right w:val="single" w:sz="4"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w:t>
            </w:r>
          </w:p>
        </w:tc>
        <w:tc>
          <w:tcPr>
            <w:tcW w:w="472" w:type="dxa"/>
            <w:tcBorders>
              <w:top w:val="nil"/>
              <w:left w:val="nil"/>
              <w:bottom w:val="single" w:sz="8" w:space="0" w:color="auto"/>
              <w:right w:val="single" w:sz="4"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w:t>
            </w:r>
          </w:p>
        </w:tc>
        <w:tc>
          <w:tcPr>
            <w:tcW w:w="472" w:type="dxa"/>
            <w:tcBorders>
              <w:top w:val="nil"/>
              <w:left w:val="nil"/>
              <w:bottom w:val="single" w:sz="8" w:space="0" w:color="auto"/>
              <w:right w:val="single" w:sz="8" w:space="0" w:color="auto"/>
            </w:tcBorders>
            <w:shd w:val="clear" w:color="000000" w:fill="D8D8D8"/>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III</w:t>
            </w:r>
          </w:p>
        </w:tc>
        <w:tc>
          <w:tcPr>
            <w:tcW w:w="472" w:type="dxa"/>
            <w:tcBorders>
              <w:top w:val="single" w:sz="4" w:space="0" w:color="auto"/>
              <w:left w:val="nil"/>
              <w:bottom w:val="single" w:sz="8" w:space="0" w:color="auto"/>
              <w:right w:val="single" w:sz="4" w:space="0" w:color="auto"/>
            </w:tcBorders>
            <w:shd w:val="clear" w:color="000000" w:fill="FFFFFF"/>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w:t>
            </w:r>
          </w:p>
        </w:tc>
        <w:tc>
          <w:tcPr>
            <w:tcW w:w="472" w:type="dxa"/>
            <w:tcBorders>
              <w:top w:val="nil"/>
              <w:left w:val="nil"/>
              <w:bottom w:val="single" w:sz="8" w:space="0" w:color="auto"/>
              <w:right w:val="single" w:sz="4" w:space="0" w:color="auto"/>
            </w:tcBorders>
            <w:shd w:val="clear" w:color="000000" w:fill="FFFFFF"/>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w:t>
            </w:r>
          </w:p>
        </w:tc>
        <w:tc>
          <w:tcPr>
            <w:tcW w:w="472" w:type="dxa"/>
            <w:tcBorders>
              <w:top w:val="nil"/>
              <w:left w:val="nil"/>
              <w:bottom w:val="single" w:sz="8" w:space="0" w:color="auto"/>
              <w:right w:val="single" w:sz="8" w:space="0" w:color="auto"/>
            </w:tcBorders>
            <w:shd w:val="clear" w:color="000000" w:fill="FFFFFF"/>
            <w:noWrap/>
            <w:vAlign w:val="bottom"/>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III</w:t>
            </w:r>
          </w:p>
        </w:tc>
      </w:tr>
      <w:tr w:rsidR="00B35D2F" w:rsidRPr="00703FE6" w:rsidTr="00D649E0">
        <w:trPr>
          <w:trHeight w:val="315"/>
        </w:trPr>
        <w:tc>
          <w:tcPr>
            <w:tcW w:w="2241" w:type="dxa"/>
            <w:tcBorders>
              <w:top w:val="nil"/>
              <w:left w:val="single" w:sz="8" w:space="0" w:color="auto"/>
              <w:bottom w:val="single" w:sz="8" w:space="0" w:color="auto"/>
              <w:right w:val="single" w:sz="4" w:space="0" w:color="auto"/>
            </w:tcBorders>
            <w:shd w:val="clear" w:color="auto" w:fill="auto"/>
            <w:noWrap/>
            <w:vAlign w:val="bottom"/>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Ühiskondlikud kompleksid</w:t>
            </w:r>
          </w:p>
        </w:tc>
        <w:tc>
          <w:tcPr>
            <w:tcW w:w="1081" w:type="dxa"/>
            <w:tcBorders>
              <w:top w:val="nil"/>
              <w:left w:val="nil"/>
              <w:bottom w:val="single" w:sz="8" w:space="0" w:color="auto"/>
              <w:right w:val="single" w:sz="4" w:space="0" w:color="auto"/>
            </w:tcBorders>
            <w:shd w:val="clear" w:color="auto" w:fill="auto"/>
            <w:noWrap/>
            <w:vAlign w:val="bottom"/>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 </w:t>
            </w:r>
          </w:p>
        </w:tc>
        <w:tc>
          <w:tcPr>
            <w:tcW w:w="338" w:type="dxa"/>
            <w:tcBorders>
              <w:top w:val="nil"/>
              <w:left w:val="nil"/>
              <w:bottom w:val="nil"/>
              <w:right w:val="nil"/>
            </w:tcBorders>
            <w:shd w:val="clear" w:color="auto" w:fill="auto"/>
            <w:noWrap/>
            <w:vAlign w:val="bottom"/>
            <w:hideMark/>
          </w:tcPr>
          <w:p w:rsidR="00B35D2F" w:rsidRPr="00703FE6" w:rsidRDefault="00B35D2F" w:rsidP="004F1ED0">
            <w:pPr>
              <w:jc w:val="left"/>
              <w:rPr>
                <w:b/>
                <w:bCs/>
                <w:color w:val="000000"/>
                <w:sz w:val="18"/>
                <w:szCs w:val="18"/>
                <w:lang w:eastAsia="et-EE"/>
              </w:rPr>
            </w:pPr>
          </w:p>
        </w:tc>
        <w:tc>
          <w:tcPr>
            <w:tcW w:w="451" w:type="dxa"/>
            <w:tcBorders>
              <w:top w:val="nil"/>
              <w:left w:val="single" w:sz="8" w:space="0" w:color="auto"/>
              <w:bottom w:val="nil"/>
              <w:right w:val="single" w:sz="4"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531" w:type="dxa"/>
            <w:tcBorders>
              <w:top w:val="nil"/>
              <w:left w:val="nil"/>
              <w:bottom w:val="nil"/>
              <w:right w:val="single" w:sz="4"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nil"/>
              <w:right w:val="single" w:sz="8"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362" w:type="dxa"/>
            <w:tcBorders>
              <w:top w:val="nil"/>
              <w:left w:val="nil"/>
              <w:bottom w:val="nil"/>
              <w:right w:val="single" w:sz="4" w:space="0" w:color="auto"/>
            </w:tcBorders>
            <w:shd w:val="clear" w:color="auto" w:fill="auto"/>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362" w:type="dxa"/>
            <w:tcBorders>
              <w:top w:val="nil"/>
              <w:left w:val="nil"/>
              <w:bottom w:val="nil"/>
              <w:right w:val="single" w:sz="4" w:space="0" w:color="auto"/>
            </w:tcBorders>
            <w:shd w:val="clear" w:color="auto" w:fill="auto"/>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nil"/>
              <w:right w:val="single" w:sz="8" w:space="0" w:color="auto"/>
            </w:tcBorders>
            <w:shd w:val="clear" w:color="auto" w:fill="auto"/>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nil"/>
              <w:right w:val="single" w:sz="4" w:space="0" w:color="auto"/>
            </w:tcBorders>
            <w:shd w:val="clear" w:color="000000" w:fill="FFFFFF"/>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nil"/>
              <w:right w:val="single" w:sz="4" w:space="0" w:color="auto"/>
            </w:tcBorders>
            <w:shd w:val="clear" w:color="000000" w:fill="FFFFFF"/>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c>
          <w:tcPr>
            <w:tcW w:w="472" w:type="dxa"/>
            <w:tcBorders>
              <w:top w:val="nil"/>
              <w:left w:val="nil"/>
              <w:bottom w:val="nil"/>
              <w:right w:val="single" w:sz="8" w:space="0" w:color="auto"/>
            </w:tcBorders>
            <w:shd w:val="clear" w:color="000000" w:fill="FFFFFF"/>
            <w:noWrap/>
            <w:hideMark/>
          </w:tcPr>
          <w:p w:rsidR="00B35D2F" w:rsidRPr="00703FE6" w:rsidRDefault="00B35D2F" w:rsidP="004F1ED0">
            <w:pPr>
              <w:jc w:val="left"/>
              <w:rPr>
                <w:color w:val="000000"/>
                <w:sz w:val="18"/>
                <w:szCs w:val="18"/>
                <w:lang w:eastAsia="et-EE"/>
              </w:rPr>
            </w:pPr>
            <w:r w:rsidRPr="00703FE6">
              <w:rPr>
                <w:color w:val="000000"/>
                <w:sz w:val="18"/>
                <w:szCs w:val="18"/>
                <w:lang w:eastAsia="et-EE"/>
              </w:rPr>
              <w:t> </w:t>
            </w:r>
          </w:p>
        </w:tc>
      </w:tr>
      <w:tr w:rsidR="00B35D2F" w:rsidRPr="00703FE6" w:rsidTr="00D649E0">
        <w:trPr>
          <w:trHeight w:val="392"/>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 xml:space="preserve">Üldised </w:t>
            </w:r>
            <w:r>
              <w:rPr>
                <w:color w:val="000000"/>
                <w:sz w:val="18"/>
                <w:szCs w:val="18"/>
                <w:lang w:eastAsia="et-EE"/>
              </w:rPr>
              <w:t>valitsussektor</w:t>
            </w:r>
            <w:r w:rsidRPr="00703FE6">
              <w:rPr>
                <w:color w:val="000000"/>
                <w:sz w:val="18"/>
                <w:szCs w:val="18"/>
                <w:lang w:eastAsia="et-EE"/>
              </w:rPr>
              <w:t xml:space="preserve">i teenused </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single" w:sz="8" w:space="0" w:color="auto"/>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w:t>
            </w:r>
          </w:p>
        </w:tc>
        <w:tc>
          <w:tcPr>
            <w:tcW w:w="531" w:type="dxa"/>
            <w:tcBorders>
              <w:top w:val="single" w:sz="8" w:space="0" w:color="auto"/>
              <w:left w:val="nil"/>
              <w:bottom w:val="nil"/>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w:t>
            </w:r>
          </w:p>
        </w:tc>
        <w:tc>
          <w:tcPr>
            <w:tcW w:w="472" w:type="dxa"/>
            <w:tcBorders>
              <w:top w:val="single" w:sz="8" w:space="0" w:color="auto"/>
              <w:left w:val="nil"/>
              <w:bottom w:val="nil"/>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123</w:t>
            </w:r>
          </w:p>
        </w:tc>
        <w:tc>
          <w:tcPr>
            <w:tcW w:w="362" w:type="dxa"/>
            <w:tcBorders>
              <w:top w:val="single" w:sz="8" w:space="0" w:color="auto"/>
              <w:left w:val="nil"/>
              <w:bottom w:val="nil"/>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45</w:t>
            </w:r>
          </w:p>
        </w:tc>
        <w:tc>
          <w:tcPr>
            <w:tcW w:w="362" w:type="dxa"/>
            <w:tcBorders>
              <w:top w:val="single" w:sz="8" w:space="0" w:color="auto"/>
              <w:left w:val="nil"/>
              <w:bottom w:val="nil"/>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46</w:t>
            </w:r>
          </w:p>
        </w:tc>
        <w:tc>
          <w:tcPr>
            <w:tcW w:w="472" w:type="dxa"/>
            <w:tcBorders>
              <w:top w:val="single" w:sz="8" w:space="0" w:color="auto"/>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143</w:t>
            </w:r>
          </w:p>
        </w:tc>
        <w:tc>
          <w:tcPr>
            <w:tcW w:w="472" w:type="dxa"/>
            <w:tcBorders>
              <w:top w:val="single" w:sz="4" w:space="0" w:color="auto"/>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85</w:t>
            </w:r>
          </w:p>
        </w:tc>
        <w:tc>
          <w:tcPr>
            <w:tcW w:w="472" w:type="dxa"/>
            <w:tcBorders>
              <w:top w:val="single" w:sz="4" w:space="0" w:color="auto"/>
              <w:left w:val="single" w:sz="4"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86</w:t>
            </w:r>
          </w:p>
        </w:tc>
        <w:tc>
          <w:tcPr>
            <w:tcW w:w="472" w:type="dxa"/>
            <w:tcBorders>
              <w:top w:val="single" w:sz="4" w:space="0" w:color="auto"/>
              <w:left w:val="single" w:sz="4"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163</w:t>
            </w:r>
          </w:p>
        </w:tc>
        <w:tc>
          <w:tcPr>
            <w:tcW w:w="472" w:type="dxa"/>
            <w:tcBorders>
              <w:top w:val="single" w:sz="8" w:space="0" w:color="auto"/>
              <w:left w:val="single" w:sz="4" w:space="0" w:color="auto"/>
              <w:bottom w:val="nil"/>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185</w:t>
            </w:r>
          </w:p>
        </w:tc>
        <w:tc>
          <w:tcPr>
            <w:tcW w:w="472" w:type="dxa"/>
            <w:tcBorders>
              <w:top w:val="single" w:sz="8" w:space="0" w:color="auto"/>
              <w:left w:val="nil"/>
              <w:bottom w:val="nil"/>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186</w:t>
            </w:r>
          </w:p>
        </w:tc>
        <w:tc>
          <w:tcPr>
            <w:tcW w:w="472" w:type="dxa"/>
            <w:tcBorders>
              <w:top w:val="single" w:sz="8" w:space="0" w:color="auto"/>
              <w:left w:val="nil"/>
              <w:bottom w:val="nil"/>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223</w:t>
            </w:r>
          </w:p>
        </w:tc>
      </w:tr>
      <w:tr w:rsidR="00B35D2F" w:rsidRPr="00703FE6" w:rsidTr="00D649E0">
        <w:trPr>
          <w:trHeight w:val="326"/>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Riigikaitse</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w:t>
            </w:r>
          </w:p>
        </w:tc>
        <w:tc>
          <w:tcPr>
            <w:tcW w:w="531" w:type="dxa"/>
            <w:tcBorders>
              <w:top w:val="single" w:sz="4" w:space="0" w:color="auto"/>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w:t>
            </w:r>
          </w:p>
        </w:tc>
        <w:tc>
          <w:tcPr>
            <w:tcW w:w="472" w:type="dxa"/>
            <w:tcBorders>
              <w:top w:val="single" w:sz="4" w:space="0" w:color="auto"/>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124</w:t>
            </w:r>
          </w:p>
        </w:tc>
        <w:tc>
          <w:tcPr>
            <w:tcW w:w="362" w:type="dxa"/>
            <w:tcBorders>
              <w:top w:val="single" w:sz="4" w:space="0" w:color="auto"/>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47</w:t>
            </w:r>
          </w:p>
        </w:tc>
        <w:tc>
          <w:tcPr>
            <w:tcW w:w="362" w:type="dxa"/>
            <w:tcBorders>
              <w:top w:val="single" w:sz="4" w:space="0" w:color="auto"/>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48</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144</w:t>
            </w:r>
          </w:p>
        </w:tc>
        <w:tc>
          <w:tcPr>
            <w:tcW w:w="472" w:type="dxa"/>
            <w:tcBorders>
              <w:top w:val="single" w:sz="4" w:space="0" w:color="auto"/>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87</w:t>
            </w:r>
          </w:p>
        </w:tc>
        <w:tc>
          <w:tcPr>
            <w:tcW w:w="472" w:type="dxa"/>
            <w:tcBorders>
              <w:top w:val="single" w:sz="4" w:space="0" w:color="auto"/>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88</w:t>
            </w:r>
          </w:p>
        </w:tc>
        <w:tc>
          <w:tcPr>
            <w:tcW w:w="472" w:type="dxa"/>
            <w:tcBorders>
              <w:top w:val="single" w:sz="4" w:space="0" w:color="auto"/>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164</w:t>
            </w:r>
          </w:p>
        </w:tc>
        <w:tc>
          <w:tcPr>
            <w:tcW w:w="472" w:type="dxa"/>
            <w:tcBorders>
              <w:top w:val="single" w:sz="4" w:space="0" w:color="auto"/>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187</w:t>
            </w:r>
          </w:p>
        </w:tc>
        <w:tc>
          <w:tcPr>
            <w:tcW w:w="472" w:type="dxa"/>
            <w:tcBorders>
              <w:top w:val="single" w:sz="4" w:space="0" w:color="auto"/>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188</w:t>
            </w:r>
          </w:p>
        </w:tc>
        <w:tc>
          <w:tcPr>
            <w:tcW w:w="472" w:type="dxa"/>
            <w:tcBorders>
              <w:top w:val="single" w:sz="4" w:space="0" w:color="auto"/>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224</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Avalik kord ja julgeolek</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125</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50</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145</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165</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190</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225</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Majandus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122</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43</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44</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142</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83</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162</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183</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184</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222</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Keskkonnakaitse</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128</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55</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56</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148</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95</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168</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195</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196</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228</w:t>
            </w:r>
          </w:p>
        </w:tc>
      </w:tr>
      <w:tr w:rsidR="00B35D2F" w:rsidRPr="00703FE6" w:rsidTr="00D649E0">
        <w:trPr>
          <w:trHeight w:val="485"/>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Elamu- ja kommunaalmajandus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57</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58</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97</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197</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198</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229</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 xml:space="preserve">Tervishoid </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126</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51</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52</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146</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91</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92</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166</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191</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192</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226</w:t>
            </w:r>
          </w:p>
        </w:tc>
      </w:tr>
      <w:tr w:rsidR="00B35D2F" w:rsidRPr="00703FE6" w:rsidTr="00D649E0">
        <w:trPr>
          <w:trHeight w:val="345"/>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Vaba aeg, kultuur, religioon</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130</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60</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150</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170</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200</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230</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Haridus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127</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53</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54</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147</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93</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94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167</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193</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194</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227</w:t>
            </w:r>
          </w:p>
        </w:tc>
      </w:tr>
      <w:tr w:rsidR="00B35D2F" w:rsidRPr="00703FE6" w:rsidTr="00D649E0">
        <w:trPr>
          <w:trHeight w:val="315"/>
        </w:trPr>
        <w:tc>
          <w:tcPr>
            <w:tcW w:w="2241" w:type="dxa"/>
            <w:tcBorders>
              <w:top w:val="nil"/>
              <w:left w:val="single" w:sz="8" w:space="0" w:color="auto"/>
              <w:bottom w:val="single" w:sz="8"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Sotsiaalne kaitse</w:t>
            </w:r>
          </w:p>
        </w:tc>
        <w:tc>
          <w:tcPr>
            <w:tcW w:w="1081" w:type="dxa"/>
            <w:tcBorders>
              <w:top w:val="nil"/>
              <w:left w:val="nil"/>
              <w:bottom w:val="single" w:sz="8"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nil"/>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w:t>
            </w:r>
          </w:p>
        </w:tc>
        <w:tc>
          <w:tcPr>
            <w:tcW w:w="531" w:type="dxa"/>
            <w:tcBorders>
              <w:top w:val="nil"/>
              <w:left w:val="nil"/>
              <w:bottom w:val="nil"/>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w:t>
            </w:r>
          </w:p>
        </w:tc>
        <w:tc>
          <w:tcPr>
            <w:tcW w:w="472" w:type="dxa"/>
            <w:tcBorders>
              <w:top w:val="nil"/>
              <w:left w:val="nil"/>
              <w:bottom w:val="nil"/>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121</w:t>
            </w:r>
          </w:p>
        </w:tc>
        <w:tc>
          <w:tcPr>
            <w:tcW w:w="362" w:type="dxa"/>
            <w:tcBorders>
              <w:top w:val="nil"/>
              <w:left w:val="nil"/>
              <w:bottom w:val="nil"/>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41</w:t>
            </w:r>
          </w:p>
        </w:tc>
        <w:tc>
          <w:tcPr>
            <w:tcW w:w="362" w:type="dxa"/>
            <w:tcBorders>
              <w:top w:val="nil"/>
              <w:left w:val="nil"/>
              <w:bottom w:val="nil"/>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42</w:t>
            </w:r>
          </w:p>
        </w:tc>
        <w:tc>
          <w:tcPr>
            <w:tcW w:w="472" w:type="dxa"/>
            <w:tcBorders>
              <w:top w:val="nil"/>
              <w:left w:val="nil"/>
              <w:bottom w:val="nil"/>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141</w:t>
            </w:r>
          </w:p>
        </w:tc>
        <w:tc>
          <w:tcPr>
            <w:tcW w:w="472" w:type="dxa"/>
            <w:tcBorders>
              <w:top w:val="nil"/>
              <w:left w:val="nil"/>
              <w:bottom w:val="nil"/>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81</w:t>
            </w:r>
          </w:p>
        </w:tc>
        <w:tc>
          <w:tcPr>
            <w:tcW w:w="472" w:type="dxa"/>
            <w:tcBorders>
              <w:top w:val="nil"/>
              <w:left w:val="nil"/>
              <w:bottom w:val="nil"/>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82</w:t>
            </w:r>
          </w:p>
        </w:tc>
        <w:tc>
          <w:tcPr>
            <w:tcW w:w="472" w:type="dxa"/>
            <w:tcBorders>
              <w:top w:val="nil"/>
              <w:left w:val="nil"/>
              <w:bottom w:val="nil"/>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161</w:t>
            </w:r>
          </w:p>
        </w:tc>
        <w:tc>
          <w:tcPr>
            <w:tcW w:w="472" w:type="dxa"/>
            <w:tcBorders>
              <w:top w:val="nil"/>
              <w:left w:val="nil"/>
              <w:bottom w:val="nil"/>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181</w:t>
            </w:r>
          </w:p>
        </w:tc>
        <w:tc>
          <w:tcPr>
            <w:tcW w:w="472" w:type="dxa"/>
            <w:tcBorders>
              <w:top w:val="nil"/>
              <w:left w:val="nil"/>
              <w:bottom w:val="nil"/>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182</w:t>
            </w:r>
          </w:p>
        </w:tc>
        <w:tc>
          <w:tcPr>
            <w:tcW w:w="472" w:type="dxa"/>
            <w:tcBorders>
              <w:top w:val="nil"/>
              <w:left w:val="nil"/>
              <w:bottom w:val="nil"/>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221</w:t>
            </w:r>
          </w:p>
        </w:tc>
      </w:tr>
      <w:tr w:rsidR="00B35D2F" w:rsidRPr="00703FE6" w:rsidTr="00D649E0">
        <w:trPr>
          <w:trHeight w:val="315"/>
        </w:trPr>
        <w:tc>
          <w:tcPr>
            <w:tcW w:w="2241" w:type="dxa"/>
            <w:tcBorders>
              <w:top w:val="nil"/>
              <w:left w:val="single" w:sz="8" w:space="0" w:color="auto"/>
              <w:bottom w:val="single" w:sz="8" w:space="0" w:color="auto"/>
              <w:right w:val="single" w:sz="4" w:space="0" w:color="auto"/>
            </w:tcBorders>
            <w:shd w:val="clear" w:color="auto" w:fill="auto"/>
            <w:hideMark/>
          </w:tcPr>
          <w:p w:rsidR="00B35D2F" w:rsidRPr="00703FE6" w:rsidRDefault="00B35D2F" w:rsidP="004F1ED0">
            <w:pPr>
              <w:jc w:val="left"/>
              <w:rPr>
                <w:b/>
                <w:bCs/>
                <w:color w:val="000000"/>
                <w:sz w:val="18"/>
                <w:szCs w:val="18"/>
                <w:lang w:eastAsia="et-EE"/>
              </w:rPr>
            </w:pPr>
            <w:r w:rsidRPr="00703FE6">
              <w:rPr>
                <w:b/>
                <w:bCs/>
                <w:color w:val="000000"/>
                <w:sz w:val="18"/>
                <w:szCs w:val="18"/>
                <w:lang w:eastAsia="et-EE"/>
              </w:rPr>
              <w:t>Büroo kompleksid</w:t>
            </w:r>
          </w:p>
        </w:tc>
        <w:tc>
          <w:tcPr>
            <w:tcW w:w="1081" w:type="dxa"/>
            <w:tcBorders>
              <w:top w:val="nil"/>
              <w:left w:val="nil"/>
              <w:bottom w:val="single" w:sz="8" w:space="0" w:color="auto"/>
              <w:right w:val="single" w:sz="4" w:space="0" w:color="auto"/>
            </w:tcBorders>
            <w:shd w:val="clear" w:color="auto" w:fill="auto"/>
            <w:hideMark/>
          </w:tcPr>
          <w:p w:rsidR="00B35D2F" w:rsidRPr="00703FE6" w:rsidRDefault="00B35D2F" w:rsidP="004F1ED0">
            <w:pPr>
              <w:jc w:val="center"/>
              <w:rPr>
                <w:b/>
                <w:bCs/>
                <w:color w:val="000000"/>
                <w:sz w:val="18"/>
                <w:szCs w:val="18"/>
                <w:lang w:eastAsia="et-EE"/>
              </w:rPr>
            </w:pPr>
            <w:r w:rsidRPr="00703FE6">
              <w:rPr>
                <w:b/>
                <w:bCs/>
                <w:color w:val="000000"/>
                <w:sz w:val="18"/>
                <w:szCs w:val="18"/>
                <w:lang w:eastAsia="et-EE"/>
              </w:rPr>
              <w:t> </w:t>
            </w:r>
          </w:p>
        </w:tc>
        <w:tc>
          <w:tcPr>
            <w:tcW w:w="338" w:type="dxa"/>
            <w:tcBorders>
              <w:top w:val="nil"/>
              <w:left w:val="nil"/>
              <w:bottom w:val="nil"/>
              <w:right w:val="nil"/>
            </w:tcBorders>
            <w:shd w:val="clear" w:color="auto" w:fill="auto"/>
            <w:hideMark/>
          </w:tcPr>
          <w:p w:rsidR="00B35D2F" w:rsidRPr="00703FE6" w:rsidRDefault="00B35D2F" w:rsidP="004F1ED0">
            <w:pPr>
              <w:jc w:val="left"/>
              <w:rPr>
                <w:b/>
                <w:bCs/>
                <w:color w:val="000000"/>
                <w:sz w:val="18"/>
                <w:szCs w:val="18"/>
                <w:lang w:eastAsia="et-EE"/>
              </w:rPr>
            </w:pPr>
          </w:p>
        </w:tc>
        <w:tc>
          <w:tcPr>
            <w:tcW w:w="451" w:type="dxa"/>
            <w:tcBorders>
              <w:top w:val="single" w:sz="8" w:space="0" w:color="auto"/>
              <w:left w:val="single" w:sz="8" w:space="0" w:color="auto"/>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531" w:type="dxa"/>
            <w:tcBorders>
              <w:top w:val="single" w:sz="8" w:space="0" w:color="auto"/>
              <w:left w:val="nil"/>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362" w:type="dxa"/>
            <w:tcBorders>
              <w:top w:val="single" w:sz="8" w:space="0" w:color="auto"/>
              <w:left w:val="nil"/>
              <w:bottom w:val="single" w:sz="8"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362" w:type="dxa"/>
            <w:tcBorders>
              <w:top w:val="single" w:sz="8" w:space="0" w:color="auto"/>
              <w:left w:val="nil"/>
              <w:bottom w:val="single" w:sz="8"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c>
          <w:tcPr>
            <w:tcW w:w="472" w:type="dxa"/>
            <w:tcBorders>
              <w:top w:val="single" w:sz="8" w:space="0" w:color="auto"/>
              <w:left w:val="nil"/>
              <w:bottom w:val="single" w:sz="8"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 </w:t>
            </w:r>
          </w:p>
        </w:tc>
      </w:tr>
      <w:tr w:rsidR="00B35D2F" w:rsidRPr="00703FE6" w:rsidTr="00D649E0">
        <w:trPr>
          <w:trHeight w:val="6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 xml:space="preserve">Üldised </w:t>
            </w:r>
            <w:r>
              <w:rPr>
                <w:color w:val="000000"/>
                <w:sz w:val="18"/>
                <w:szCs w:val="18"/>
                <w:lang w:eastAsia="et-EE"/>
              </w:rPr>
              <w:t>valitsussektor</w:t>
            </w:r>
            <w:r w:rsidRPr="00703FE6">
              <w:rPr>
                <w:color w:val="000000"/>
                <w:sz w:val="18"/>
                <w:szCs w:val="18"/>
                <w:lang w:eastAsia="et-EE"/>
              </w:rPr>
              <w:t xml:space="preserve">i teenused </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25</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133</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65</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66</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153</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105</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173</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205</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206</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233</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Riigikaitse</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27</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134</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67</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68</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154</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107</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174</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207</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208</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234</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Avalik kord ja julgeolek</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29</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135</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70</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155</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175</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210</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235</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Majandus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132</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63</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64</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152</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103</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172</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203</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204</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232</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Keskkonnakaitse</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35</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138</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75</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76</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158</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115</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116</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178</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215</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216</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238</w:t>
            </w:r>
          </w:p>
        </w:tc>
      </w:tr>
      <w:tr w:rsidR="00B35D2F" w:rsidRPr="00703FE6" w:rsidTr="00D649E0">
        <w:trPr>
          <w:trHeight w:val="46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Elamu- ja kommunaalmajandus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19</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37</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77</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78</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117</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118</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217</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218</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239</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 xml:space="preserve">Tervishoid </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31</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32</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136</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71</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72</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156</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111</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112</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176</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211</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212</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236</w:t>
            </w:r>
          </w:p>
        </w:tc>
      </w:tr>
      <w:tr w:rsidR="00B35D2F" w:rsidRPr="00703FE6" w:rsidTr="00D649E0">
        <w:trPr>
          <w:trHeight w:val="36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Vaba aeg, kultuur, religioon</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39</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40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140</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79</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80</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160</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119</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120</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180</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219</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220</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240</w:t>
            </w:r>
          </w:p>
        </w:tc>
      </w:tr>
      <w:tr w:rsidR="00B35D2F" w:rsidRPr="00703FE6" w:rsidTr="00D649E0">
        <w:trPr>
          <w:trHeight w:val="300"/>
        </w:trPr>
        <w:tc>
          <w:tcPr>
            <w:tcW w:w="2241" w:type="dxa"/>
            <w:tcBorders>
              <w:top w:val="nil"/>
              <w:left w:val="single" w:sz="8" w:space="0" w:color="auto"/>
              <w:bottom w:val="single" w:sz="4"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Haridus</w:t>
            </w:r>
          </w:p>
        </w:tc>
        <w:tc>
          <w:tcPr>
            <w:tcW w:w="1081" w:type="dxa"/>
            <w:tcBorders>
              <w:top w:val="nil"/>
              <w:left w:val="nil"/>
              <w:bottom w:val="single" w:sz="4"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33</w:t>
            </w:r>
          </w:p>
        </w:tc>
        <w:tc>
          <w:tcPr>
            <w:tcW w:w="531"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34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137</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73</w:t>
            </w:r>
          </w:p>
        </w:tc>
        <w:tc>
          <w:tcPr>
            <w:tcW w:w="36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74</w:t>
            </w:r>
          </w:p>
        </w:tc>
        <w:tc>
          <w:tcPr>
            <w:tcW w:w="472" w:type="dxa"/>
            <w:tcBorders>
              <w:top w:val="nil"/>
              <w:left w:val="nil"/>
              <w:bottom w:val="single" w:sz="4"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157</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113</w:t>
            </w:r>
          </w:p>
        </w:tc>
        <w:tc>
          <w:tcPr>
            <w:tcW w:w="472" w:type="dxa"/>
            <w:tcBorders>
              <w:top w:val="nil"/>
              <w:left w:val="nil"/>
              <w:bottom w:val="single" w:sz="4"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114</w:t>
            </w:r>
          </w:p>
        </w:tc>
        <w:tc>
          <w:tcPr>
            <w:tcW w:w="472" w:type="dxa"/>
            <w:tcBorders>
              <w:top w:val="nil"/>
              <w:left w:val="nil"/>
              <w:bottom w:val="single" w:sz="4"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177</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213</w:t>
            </w:r>
          </w:p>
        </w:tc>
        <w:tc>
          <w:tcPr>
            <w:tcW w:w="472" w:type="dxa"/>
            <w:tcBorders>
              <w:top w:val="nil"/>
              <w:left w:val="nil"/>
              <w:bottom w:val="single" w:sz="4"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214</w:t>
            </w:r>
          </w:p>
        </w:tc>
        <w:tc>
          <w:tcPr>
            <w:tcW w:w="472" w:type="dxa"/>
            <w:tcBorders>
              <w:top w:val="nil"/>
              <w:left w:val="nil"/>
              <w:bottom w:val="single" w:sz="4"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237</w:t>
            </w:r>
          </w:p>
        </w:tc>
      </w:tr>
      <w:tr w:rsidR="00B35D2F" w:rsidRPr="00703FE6" w:rsidTr="00D649E0">
        <w:trPr>
          <w:trHeight w:val="315"/>
        </w:trPr>
        <w:tc>
          <w:tcPr>
            <w:tcW w:w="2241" w:type="dxa"/>
            <w:tcBorders>
              <w:top w:val="nil"/>
              <w:left w:val="single" w:sz="8" w:space="0" w:color="auto"/>
              <w:bottom w:val="single" w:sz="8" w:space="0" w:color="auto"/>
              <w:right w:val="single" w:sz="4" w:space="0" w:color="auto"/>
            </w:tcBorders>
            <w:shd w:val="clear" w:color="auto" w:fill="auto"/>
            <w:hideMark/>
          </w:tcPr>
          <w:p w:rsidR="00B35D2F" w:rsidRPr="00703FE6" w:rsidRDefault="00B35D2F" w:rsidP="004F1ED0">
            <w:pPr>
              <w:jc w:val="left"/>
              <w:rPr>
                <w:color w:val="000000"/>
                <w:sz w:val="18"/>
                <w:szCs w:val="18"/>
                <w:lang w:eastAsia="et-EE"/>
              </w:rPr>
            </w:pPr>
            <w:r w:rsidRPr="00703FE6">
              <w:rPr>
                <w:color w:val="000000"/>
                <w:sz w:val="18"/>
                <w:szCs w:val="18"/>
                <w:lang w:eastAsia="et-EE"/>
              </w:rPr>
              <w:t>Sotsiaalne kaitse</w:t>
            </w:r>
          </w:p>
        </w:tc>
        <w:tc>
          <w:tcPr>
            <w:tcW w:w="1081" w:type="dxa"/>
            <w:tcBorders>
              <w:top w:val="nil"/>
              <w:left w:val="nil"/>
              <w:bottom w:val="single" w:sz="8" w:space="0" w:color="auto"/>
              <w:right w:val="single" w:sz="4" w:space="0" w:color="auto"/>
            </w:tcBorders>
            <w:shd w:val="clear" w:color="auto" w:fill="auto"/>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11</w:t>
            </w:r>
          </w:p>
        </w:tc>
        <w:tc>
          <w:tcPr>
            <w:tcW w:w="338" w:type="dxa"/>
            <w:tcBorders>
              <w:top w:val="nil"/>
              <w:left w:val="nil"/>
              <w:bottom w:val="nil"/>
              <w:right w:val="nil"/>
            </w:tcBorders>
            <w:shd w:val="clear" w:color="auto" w:fill="auto"/>
            <w:hideMark/>
          </w:tcPr>
          <w:p w:rsidR="00B35D2F" w:rsidRPr="00703FE6" w:rsidRDefault="00B35D2F" w:rsidP="004F1ED0">
            <w:pPr>
              <w:jc w:val="left"/>
              <w:rPr>
                <w:color w:val="000000"/>
                <w:sz w:val="18"/>
                <w:szCs w:val="18"/>
                <w:lang w:eastAsia="et-EE"/>
              </w:rPr>
            </w:pPr>
          </w:p>
        </w:tc>
        <w:tc>
          <w:tcPr>
            <w:tcW w:w="451" w:type="dxa"/>
            <w:tcBorders>
              <w:top w:val="nil"/>
              <w:left w:val="single" w:sz="8" w:space="0" w:color="auto"/>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21</w:t>
            </w:r>
          </w:p>
        </w:tc>
        <w:tc>
          <w:tcPr>
            <w:tcW w:w="531" w:type="dxa"/>
            <w:tcBorders>
              <w:top w:val="nil"/>
              <w:left w:val="nil"/>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22</w:t>
            </w:r>
          </w:p>
        </w:tc>
        <w:tc>
          <w:tcPr>
            <w:tcW w:w="472" w:type="dxa"/>
            <w:tcBorders>
              <w:top w:val="nil"/>
              <w:left w:val="nil"/>
              <w:bottom w:val="single" w:sz="8"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131</w:t>
            </w:r>
          </w:p>
        </w:tc>
        <w:tc>
          <w:tcPr>
            <w:tcW w:w="362" w:type="dxa"/>
            <w:tcBorders>
              <w:top w:val="nil"/>
              <w:left w:val="nil"/>
              <w:bottom w:val="single" w:sz="8"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61</w:t>
            </w:r>
          </w:p>
        </w:tc>
        <w:tc>
          <w:tcPr>
            <w:tcW w:w="362" w:type="dxa"/>
            <w:tcBorders>
              <w:top w:val="nil"/>
              <w:left w:val="nil"/>
              <w:bottom w:val="single" w:sz="8" w:space="0" w:color="auto"/>
              <w:right w:val="single" w:sz="4" w:space="0" w:color="auto"/>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62</w:t>
            </w:r>
          </w:p>
        </w:tc>
        <w:tc>
          <w:tcPr>
            <w:tcW w:w="472" w:type="dxa"/>
            <w:tcBorders>
              <w:top w:val="nil"/>
              <w:left w:val="nil"/>
              <w:bottom w:val="single" w:sz="8" w:space="0" w:color="auto"/>
              <w:right w:val="nil"/>
            </w:tcBorders>
            <w:shd w:val="clear" w:color="auto" w:fill="auto"/>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151</w:t>
            </w:r>
          </w:p>
        </w:tc>
        <w:tc>
          <w:tcPr>
            <w:tcW w:w="472" w:type="dxa"/>
            <w:tcBorders>
              <w:top w:val="nil"/>
              <w:left w:val="single" w:sz="4" w:space="0" w:color="auto"/>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101</w:t>
            </w:r>
          </w:p>
        </w:tc>
        <w:tc>
          <w:tcPr>
            <w:tcW w:w="472" w:type="dxa"/>
            <w:tcBorders>
              <w:top w:val="nil"/>
              <w:left w:val="nil"/>
              <w:bottom w:val="single" w:sz="8" w:space="0" w:color="auto"/>
              <w:right w:val="single" w:sz="4"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102</w:t>
            </w:r>
          </w:p>
        </w:tc>
        <w:tc>
          <w:tcPr>
            <w:tcW w:w="472" w:type="dxa"/>
            <w:tcBorders>
              <w:top w:val="nil"/>
              <w:left w:val="nil"/>
              <w:bottom w:val="single" w:sz="8" w:space="0" w:color="auto"/>
              <w:right w:val="single" w:sz="8" w:space="0" w:color="auto"/>
            </w:tcBorders>
            <w:shd w:val="clear" w:color="000000" w:fill="D8D8D8"/>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171</w:t>
            </w:r>
          </w:p>
        </w:tc>
        <w:tc>
          <w:tcPr>
            <w:tcW w:w="472" w:type="dxa"/>
            <w:tcBorders>
              <w:top w:val="nil"/>
              <w:left w:val="nil"/>
              <w:bottom w:val="single" w:sz="8"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201</w:t>
            </w:r>
          </w:p>
        </w:tc>
        <w:tc>
          <w:tcPr>
            <w:tcW w:w="472" w:type="dxa"/>
            <w:tcBorders>
              <w:top w:val="nil"/>
              <w:left w:val="nil"/>
              <w:bottom w:val="single" w:sz="8" w:space="0" w:color="auto"/>
              <w:right w:val="single" w:sz="4"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202</w:t>
            </w:r>
          </w:p>
        </w:tc>
        <w:tc>
          <w:tcPr>
            <w:tcW w:w="472" w:type="dxa"/>
            <w:tcBorders>
              <w:top w:val="nil"/>
              <w:left w:val="nil"/>
              <w:bottom w:val="single" w:sz="8" w:space="0" w:color="auto"/>
              <w:right w:val="single" w:sz="8" w:space="0" w:color="auto"/>
            </w:tcBorders>
            <w:shd w:val="clear" w:color="000000" w:fill="FFFFFF"/>
            <w:noWrap/>
            <w:hideMark/>
          </w:tcPr>
          <w:p w:rsidR="00B35D2F" w:rsidRPr="00703FE6" w:rsidRDefault="00B35D2F" w:rsidP="004F1ED0">
            <w:pPr>
              <w:jc w:val="center"/>
              <w:rPr>
                <w:color w:val="000000"/>
                <w:sz w:val="18"/>
                <w:szCs w:val="18"/>
                <w:lang w:eastAsia="et-EE"/>
              </w:rPr>
            </w:pPr>
            <w:r w:rsidRPr="00703FE6">
              <w:rPr>
                <w:color w:val="000000"/>
                <w:sz w:val="18"/>
                <w:szCs w:val="18"/>
                <w:lang w:eastAsia="et-EE"/>
              </w:rPr>
              <w:t>231</w:t>
            </w:r>
          </w:p>
        </w:tc>
      </w:tr>
    </w:tbl>
    <w:p w:rsidR="00B35D2F" w:rsidRPr="00703FE6" w:rsidRDefault="00B35D2F" w:rsidP="00B35D2F">
      <w:pPr>
        <w:rPr>
          <w:sz w:val="18"/>
          <w:szCs w:val="18"/>
        </w:rPr>
      </w:pPr>
    </w:p>
    <w:p w:rsidR="00CB27A6" w:rsidRDefault="00CB27A6" w:rsidP="00B35D2F">
      <w:pPr>
        <w:sectPr w:rsidR="00CB27A6" w:rsidSect="00BE1D76">
          <w:pgSz w:w="11906" w:h="16838"/>
          <w:pgMar w:top="1417" w:right="1417" w:bottom="1417" w:left="1417" w:header="708" w:footer="708" w:gutter="0"/>
          <w:cols w:space="708"/>
          <w:docGrid w:linePitch="360"/>
        </w:sectPr>
      </w:pPr>
    </w:p>
    <w:p w:rsidR="003E47F3" w:rsidRDefault="003E47F3" w:rsidP="003E47F3">
      <w:pPr>
        <w:pStyle w:val="Caption"/>
      </w:pPr>
      <w:bookmarkStart w:id="512" w:name="_Ref427306928"/>
      <w:r>
        <w:t xml:space="preserve">Tabel </w:t>
      </w:r>
      <w:fldSimple w:instr=" SEQ Tabel \* ARABIC ">
        <w:r w:rsidR="00477322">
          <w:rPr>
            <w:noProof/>
          </w:rPr>
          <w:t>3</w:t>
        </w:r>
      </w:fldSimple>
      <w:bookmarkEnd w:id="512"/>
      <w:r>
        <w:t>. Sisendid stsenaariumites</w:t>
      </w:r>
    </w:p>
    <w:tbl>
      <w:tblPr>
        <w:tblW w:w="1366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60"/>
        <w:gridCol w:w="2380"/>
        <w:gridCol w:w="1980"/>
        <w:gridCol w:w="1980"/>
        <w:gridCol w:w="1980"/>
        <w:gridCol w:w="2140"/>
        <w:gridCol w:w="1540"/>
      </w:tblGrid>
      <w:tr w:rsidR="00CB27A6" w:rsidRPr="00CB27A6" w:rsidTr="0084071E">
        <w:trPr>
          <w:trHeight w:val="300"/>
        </w:trPr>
        <w:tc>
          <w:tcPr>
            <w:tcW w:w="1660" w:type="dxa"/>
            <w:shd w:val="clear" w:color="auto" w:fill="auto"/>
            <w:noWrap/>
            <w:vAlign w:val="bottom"/>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 </w:t>
            </w:r>
          </w:p>
        </w:tc>
        <w:tc>
          <w:tcPr>
            <w:tcW w:w="2380" w:type="dxa"/>
            <w:shd w:val="clear" w:color="auto" w:fill="auto"/>
            <w:noWrap/>
            <w:vAlign w:val="bottom"/>
            <w:hideMark/>
          </w:tcPr>
          <w:p w:rsidR="00CB27A6" w:rsidRPr="00CB27A6" w:rsidRDefault="00CB27A6" w:rsidP="00CB27A6">
            <w:pPr>
              <w:spacing w:before="0"/>
              <w:jc w:val="center"/>
              <w:rPr>
                <w:rFonts w:eastAsia="Times New Roman"/>
                <w:b/>
                <w:bCs/>
                <w:color w:val="000000"/>
                <w:sz w:val="20"/>
                <w:szCs w:val="20"/>
                <w:lang w:eastAsia="et-EE"/>
              </w:rPr>
            </w:pPr>
            <w:r w:rsidRPr="00CB27A6">
              <w:rPr>
                <w:rFonts w:eastAsia="Times New Roman"/>
                <w:b/>
                <w:bCs/>
                <w:color w:val="000000"/>
                <w:sz w:val="20"/>
                <w:szCs w:val="20"/>
                <w:lang w:eastAsia="et-EE"/>
              </w:rPr>
              <w:t>Riigi portfell</w:t>
            </w:r>
          </w:p>
        </w:tc>
        <w:tc>
          <w:tcPr>
            <w:tcW w:w="8080" w:type="dxa"/>
            <w:gridSpan w:val="4"/>
            <w:shd w:val="clear" w:color="auto" w:fill="auto"/>
            <w:noWrap/>
            <w:vAlign w:val="bottom"/>
            <w:hideMark/>
          </w:tcPr>
          <w:p w:rsidR="00CB27A6" w:rsidRPr="00CB27A6" w:rsidRDefault="00CB27A6" w:rsidP="00CB27A6">
            <w:pPr>
              <w:spacing w:before="0"/>
              <w:jc w:val="center"/>
              <w:rPr>
                <w:rFonts w:eastAsia="Times New Roman"/>
                <w:b/>
                <w:bCs/>
                <w:color w:val="000000"/>
                <w:sz w:val="20"/>
                <w:szCs w:val="20"/>
                <w:lang w:eastAsia="et-EE"/>
              </w:rPr>
            </w:pPr>
            <w:r w:rsidRPr="00CB27A6">
              <w:rPr>
                <w:rFonts w:eastAsia="Times New Roman"/>
                <w:b/>
                <w:bCs/>
                <w:color w:val="000000"/>
                <w:sz w:val="20"/>
                <w:szCs w:val="20"/>
                <w:lang w:eastAsia="et-EE"/>
              </w:rPr>
              <w:t>RKASi portfell</w:t>
            </w:r>
          </w:p>
        </w:tc>
        <w:tc>
          <w:tcPr>
            <w:tcW w:w="1540" w:type="dxa"/>
            <w:vMerge w:val="restart"/>
            <w:shd w:val="clear" w:color="auto" w:fill="auto"/>
            <w:hideMark/>
          </w:tcPr>
          <w:p w:rsidR="00CB27A6" w:rsidRPr="00CB27A6" w:rsidRDefault="00CB27A6" w:rsidP="00CB27A6">
            <w:pPr>
              <w:spacing w:before="0"/>
              <w:jc w:val="center"/>
              <w:rPr>
                <w:rFonts w:eastAsia="Times New Roman"/>
                <w:b/>
                <w:bCs/>
                <w:color w:val="000000"/>
                <w:sz w:val="20"/>
                <w:szCs w:val="20"/>
                <w:lang w:eastAsia="et-EE"/>
              </w:rPr>
            </w:pPr>
            <w:r w:rsidRPr="00CB27A6">
              <w:rPr>
                <w:rFonts w:eastAsia="Times New Roman"/>
                <w:b/>
                <w:bCs/>
                <w:color w:val="000000"/>
                <w:sz w:val="20"/>
                <w:szCs w:val="20"/>
                <w:lang w:eastAsia="et-EE"/>
              </w:rPr>
              <w:t>Mittevajalik portfell</w:t>
            </w:r>
          </w:p>
        </w:tc>
      </w:tr>
      <w:tr w:rsidR="00CB27A6" w:rsidRPr="00CB27A6" w:rsidTr="0084071E">
        <w:trPr>
          <w:trHeight w:val="510"/>
        </w:trPr>
        <w:tc>
          <w:tcPr>
            <w:tcW w:w="1660" w:type="dxa"/>
            <w:shd w:val="clear" w:color="auto" w:fill="auto"/>
            <w:noWrap/>
            <w:vAlign w:val="bottom"/>
            <w:hideMark/>
          </w:tcPr>
          <w:p w:rsidR="00CB27A6" w:rsidRPr="00CB27A6" w:rsidRDefault="00CB27A6" w:rsidP="00CB27A6">
            <w:pPr>
              <w:spacing w:before="0"/>
              <w:jc w:val="left"/>
              <w:rPr>
                <w:rFonts w:eastAsia="Times New Roman"/>
                <w:b/>
                <w:bCs/>
                <w:color w:val="000000"/>
                <w:sz w:val="20"/>
                <w:szCs w:val="20"/>
                <w:lang w:eastAsia="et-EE"/>
              </w:rPr>
            </w:pPr>
            <w:r w:rsidRPr="00CB27A6">
              <w:rPr>
                <w:rFonts w:eastAsia="Times New Roman"/>
                <w:b/>
                <w:bCs/>
                <w:color w:val="000000"/>
                <w:sz w:val="20"/>
                <w:szCs w:val="20"/>
                <w:lang w:eastAsia="et-EE"/>
              </w:rPr>
              <w:t>Sisendid</w:t>
            </w:r>
          </w:p>
        </w:tc>
        <w:tc>
          <w:tcPr>
            <w:tcW w:w="2380" w:type="dxa"/>
            <w:shd w:val="clear" w:color="auto" w:fill="auto"/>
            <w:vAlign w:val="bottom"/>
            <w:hideMark/>
          </w:tcPr>
          <w:p w:rsidR="00CB27A6" w:rsidRPr="00CB27A6" w:rsidRDefault="00CB27A6" w:rsidP="00CB27A6">
            <w:pPr>
              <w:spacing w:before="0"/>
              <w:jc w:val="center"/>
              <w:rPr>
                <w:rFonts w:eastAsia="Times New Roman"/>
                <w:color w:val="000000"/>
                <w:sz w:val="20"/>
                <w:szCs w:val="20"/>
                <w:lang w:eastAsia="et-EE"/>
              </w:rPr>
            </w:pPr>
            <w:r w:rsidRPr="00CB27A6">
              <w:rPr>
                <w:rFonts w:eastAsia="Times New Roman"/>
                <w:color w:val="000000"/>
                <w:sz w:val="20"/>
                <w:szCs w:val="20"/>
                <w:lang w:eastAsia="et-EE"/>
              </w:rPr>
              <w:t>Investeeringu portfell</w:t>
            </w:r>
          </w:p>
        </w:tc>
        <w:tc>
          <w:tcPr>
            <w:tcW w:w="1980" w:type="dxa"/>
            <w:shd w:val="clear" w:color="auto" w:fill="auto"/>
            <w:vAlign w:val="bottom"/>
            <w:hideMark/>
          </w:tcPr>
          <w:p w:rsidR="00CB27A6" w:rsidRPr="00CB27A6" w:rsidRDefault="00CB27A6" w:rsidP="00CB27A6">
            <w:pPr>
              <w:spacing w:before="0"/>
              <w:jc w:val="center"/>
              <w:rPr>
                <w:rFonts w:eastAsia="Times New Roman"/>
                <w:color w:val="000000"/>
                <w:sz w:val="20"/>
                <w:szCs w:val="20"/>
                <w:lang w:eastAsia="et-EE"/>
              </w:rPr>
            </w:pPr>
            <w:r w:rsidRPr="00CB27A6">
              <w:rPr>
                <w:rFonts w:eastAsia="Times New Roman"/>
                <w:color w:val="000000"/>
                <w:sz w:val="20"/>
                <w:szCs w:val="20"/>
                <w:lang w:eastAsia="et-EE"/>
              </w:rPr>
              <w:t xml:space="preserve">Kasutusrendi portfell </w:t>
            </w:r>
          </w:p>
        </w:tc>
        <w:tc>
          <w:tcPr>
            <w:tcW w:w="1980" w:type="dxa"/>
            <w:shd w:val="clear" w:color="auto" w:fill="auto"/>
            <w:vAlign w:val="bottom"/>
            <w:hideMark/>
          </w:tcPr>
          <w:p w:rsidR="00CB27A6" w:rsidRPr="00CB27A6" w:rsidRDefault="00CB27A6" w:rsidP="00CB27A6">
            <w:pPr>
              <w:spacing w:before="0"/>
              <w:jc w:val="center"/>
              <w:rPr>
                <w:rFonts w:eastAsia="Times New Roman"/>
                <w:color w:val="000000"/>
                <w:sz w:val="20"/>
                <w:szCs w:val="20"/>
                <w:lang w:eastAsia="et-EE"/>
              </w:rPr>
            </w:pPr>
            <w:r w:rsidRPr="00CB27A6">
              <w:rPr>
                <w:rFonts w:eastAsia="Times New Roman"/>
                <w:color w:val="000000"/>
                <w:sz w:val="20"/>
                <w:szCs w:val="20"/>
                <w:lang w:eastAsia="et-EE"/>
              </w:rPr>
              <w:t>Kapitalirendi portfell</w:t>
            </w:r>
          </w:p>
        </w:tc>
        <w:tc>
          <w:tcPr>
            <w:tcW w:w="1980" w:type="dxa"/>
            <w:shd w:val="clear" w:color="auto" w:fill="auto"/>
            <w:vAlign w:val="bottom"/>
            <w:hideMark/>
          </w:tcPr>
          <w:p w:rsidR="00CB27A6" w:rsidRPr="00CB27A6" w:rsidRDefault="00CB27A6" w:rsidP="00CB27A6">
            <w:pPr>
              <w:spacing w:before="0"/>
              <w:jc w:val="center"/>
              <w:rPr>
                <w:rFonts w:eastAsia="Times New Roman"/>
                <w:color w:val="000000"/>
                <w:sz w:val="20"/>
                <w:szCs w:val="20"/>
                <w:lang w:eastAsia="et-EE"/>
              </w:rPr>
            </w:pPr>
            <w:r w:rsidRPr="00CB27A6">
              <w:rPr>
                <w:rFonts w:eastAsia="Times New Roman"/>
                <w:color w:val="000000"/>
                <w:sz w:val="20"/>
                <w:szCs w:val="20"/>
                <w:lang w:eastAsia="et-EE"/>
              </w:rPr>
              <w:t>Investeeringu portfell</w:t>
            </w:r>
          </w:p>
        </w:tc>
        <w:tc>
          <w:tcPr>
            <w:tcW w:w="2140" w:type="dxa"/>
            <w:shd w:val="clear" w:color="auto" w:fill="auto"/>
            <w:vAlign w:val="bottom"/>
            <w:hideMark/>
          </w:tcPr>
          <w:p w:rsidR="00CB27A6" w:rsidRPr="00CB27A6" w:rsidRDefault="00CB27A6" w:rsidP="00CB27A6">
            <w:pPr>
              <w:spacing w:before="0"/>
              <w:jc w:val="center"/>
              <w:rPr>
                <w:rFonts w:eastAsia="Times New Roman"/>
                <w:color w:val="000000"/>
                <w:sz w:val="20"/>
                <w:szCs w:val="20"/>
                <w:lang w:eastAsia="et-EE"/>
              </w:rPr>
            </w:pPr>
            <w:r w:rsidRPr="00CB27A6">
              <w:rPr>
                <w:rFonts w:eastAsia="Times New Roman"/>
                <w:color w:val="000000"/>
                <w:sz w:val="20"/>
                <w:szCs w:val="20"/>
                <w:lang w:eastAsia="et-EE"/>
              </w:rPr>
              <w:t>PPP portfell</w:t>
            </w:r>
          </w:p>
        </w:tc>
        <w:tc>
          <w:tcPr>
            <w:tcW w:w="1540" w:type="dxa"/>
            <w:vMerge/>
            <w:vAlign w:val="center"/>
            <w:hideMark/>
          </w:tcPr>
          <w:p w:rsidR="00CB27A6" w:rsidRPr="00CB27A6" w:rsidRDefault="00CB27A6" w:rsidP="00CB27A6">
            <w:pPr>
              <w:spacing w:before="0"/>
              <w:jc w:val="left"/>
              <w:rPr>
                <w:rFonts w:eastAsia="Times New Roman"/>
                <w:b/>
                <w:bCs/>
                <w:color w:val="000000"/>
                <w:sz w:val="20"/>
                <w:szCs w:val="20"/>
                <w:lang w:eastAsia="et-EE"/>
              </w:rPr>
            </w:pPr>
          </w:p>
        </w:tc>
      </w:tr>
      <w:tr w:rsidR="00CB27A6" w:rsidRPr="00CB27A6" w:rsidTr="0084071E">
        <w:trPr>
          <w:trHeight w:val="2880"/>
        </w:trPr>
        <w:tc>
          <w:tcPr>
            <w:tcW w:w="1660" w:type="dxa"/>
            <w:shd w:val="clear" w:color="auto" w:fill="auto"/>
            <w:noWrap/>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Müügitulu</w:t>
            </w:r>
          </w:p>
        </w:tc>
        <w:tc>
          <w:tcPr>
            <w:tcW w:w="23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Müügitulu puudub kuna riik ei müü kasutamiseks vajalikku vara.</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Müügitulu ainult turuvaralt. Turuvaraks on </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büroo-, lao-, tootmis- või elukondlik pind mis asub üldtunnustatud tõmbekeskustes. Väärtuseks on turuhind (seisuga 08.14).</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võõrandata, kuna kapitalirenti kohaldatakse ainult mitteturuvaradele.</w:t>
            </w:r>
          </w:p>
        </w:tc>
        <w:tc>
          <w:tcPr>
            <w:tcW w:w="198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võõrandata.</w:t>
            </w:r>
          </w:p>
        </w:tc>
        <w:tc>
          <w:tcPr>
            <w:tcW w:w="21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Võõrandatakse</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tasuta selleks, et kapitalikomponent ja sellest tulenev koormus eelarvele on null. Iga makstav summa on sisuliselt laenu võtmine, mis makstakse tagasi kõrgema intressiga, kui riik ise laenu võtaks.</w:t>
            </w:r>
          </w:p>
        </w:tc>
        <w:tc>
          <w:tcPr>
            <w:tcW w:w="15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Müügitulu</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turuvaralt. Turuvaraks on</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 xml:space="preserve"> büroo-, lao-, tootmis- või elukondlik pind mis asub üldtunnustatud tõmbekeskustes. Väärtuseks on turuhind (seisuga 08.14).</w:t>
            </w:r>
          </w:p>
        </w:tc>
      </w:tr>
      <w:tr w:rsidR="00CB27A6" w:rsidRPr="00CB27A6" w:rsidTr="0084071E">
        <w:trPr>
          <w:trHeight w:val="1035"/>
        </w:trPr>
        <w:tc>
          <w:tcPr>
            <w:tcW w:w="1660" w:type="dxa"/>
            <w:shd w:val="clear" w:color="auto" w:fill="auto"/>
            <w:noWrap/>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Tegevuskulu</w:t>
            </w:r>
          </w:p>
        </w:tc>
        <w:tc>
          <w:tcPr>
            <w:tcW w:w="12000" w:type="dxa"/>
            <w:gridSpan w:val="6"/>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Tegevuskulud ei sõltu hoone omandist (RKAS, riik või erasektor), tehingust, vanusest ega seisukorrast. Kulud sõltuvad hoone funktsionaalsusest (büroopinnad, lao- ja tootmispinnad, elamispinnad, ühiskondlikud hooned, abihooned). Kuludes sisalduvad haldus, tehnohooldus, omanikukohustused, heakord, tarbimisteenused (sh elekter, küte, vesi, prügi jne). Sõltuvalt hoone funktsionaalsusest on kulud vahemikus 34-55 euri /m² kohta aastas. Kõik kulud on siin ja edaspidi koos km-ga.</w:t>
            </w:r>
          </w:p>
        </w:tc>
      </w:tr>
      <w:tr w:rsidR="00CB27A6" w:rsidRPr="00CB27A6" w:rsidTr="0084071E">
        <w:trPr>
          <w:trHeight w:val="2070"/>
        </w:trPr>
        <w:tc>
          <w:tcPr>
            <w:tcW w:w="1660" w:type="dxa"/>
            <w:shd w:val="clear" w:color="auto" w:fill="auto"/>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Investeeringu mahu leidmise alused</w:t>
            </w:r>
          </w:p>
        </w:tc>
        <w:tc>
          <w:tcPr>
            <w:tcW w:w="12000" w:type="dxa"/>
            <w:gridSpan w:val="6"/>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Hoonele tehtava investeeringu maht leiti arvestades ehitusmaksumust ja saavutatavat seisundit. Ehitusmaksumuse leidmisel oli aluseks</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ehituslik funktsionaalsus (9 liiki) millede ruutmeetri uusehitise maksumus oli sõltuvalt funktsionaalsusest vahemikus 720-1680 €.</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Teades uusehitise maksumust tuletati olemasolevat seisundit (kulumisastme % sõltuvalt seisundist) ja soovitavat seisundit ning sellega kaasnevat hoone seisundi tõstmise ehitusmaksumust (proportsioon uusehitise maksumusest) arvestades lõplik investeeringu vajadus. Lisaks arvestati investeeringute ja tehingute</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modelleerimisel</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prioriteetsust. Prioriteetsuse tegurid olid RESi raames kokkulepitud prioriteetsed valdkonnad, hoone suunatus ametkonnale (büroohooned) või ühiskonnale (koolid jne), tehingu</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finantsmõistlikkus, tehingu liik (PPP, kasutusrent, omafinantseering),</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tehingu olulisus (sh tehingu lihtsus ja maht). Loetletud tegureid arvestades, koostati igale stsenaariumile investeeringu/ tehingu tegemise prioriteetsustabelid (vt Lisa 1 Prioriteetsustabelid).</w:t>
            </w:r>
          </w:p>
        </w:tc>
      </w:tr>
      <w:tr w:rsidR="00CB27A6" w:rsidRPr="00CB27A6" w:rsidTr="0084071E">
        <w:trPr>
          <w:trHeight w:val="2475"/>
        </w:trPr>
        <w:tc>
          <w:tcPr>
            <w:tcW w:w="1660" w:type="dxa"/>
            <w:shd w:val="clear" w:color="auto" w:fill="auto"/>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Investeeringute rakendamine</w:t>
            </w:r>
          </w:p>
        </w:tc>
        <w:tc>
          <w:tcPr>
            <w:tcW w:w="23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Kapitaalremondist-kap.remondini mudelis tehakse investeeringuid ainult kap.remondi aja saabumisel, kui selleks on olemas vahendeid. Kap.remondi välbaks on arvestatud 25 aastat. Investeeringud tehakse riigieelarvelistest vahenditest.</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Kasutusrendi tehing toimub ESA10 tingimustel. Investeeringu teostab erasektor. Investeering ei mõjuta riigieelarvet ega valitsussektori tasakaalu.</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Investeeringu teostab erasektor. Investeering mõjutab</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riigieelarvet ja valitsussektori tasakaalu.</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Investeeringud tehakse riigieelarvelistest vahenditest või omafinantseeringust.</w:t>
            </w:r>
          </w:p>
        </w:tc>
        <w:tc>
          <w:tcPr>
            <w:tcW w:w="21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PPP tehing tehakse ESA 10 tingimustel ja kajastub kasutusrendina. Investeeringu teostab erasektor. Investeering ei mõjuta riigieelarvet ega valitsussektori tasakaalu.</w:t>
            </w:r>
          </w:p>
        </w:tc>
        <w:tc>
          <w:tcPr>
            <w:tcW w:w="154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teostata.</w:t>
            </w:r>
          </w:p>
        </w:tc>
      </w:tr>
      <w:tr w:rsidR="00CB27A6" w:rsidRPr="00CB27A6" w:rsidTr="0084071E">
        <w:trPr>
          <w:trHeight w:val="1065"/>
        </w:trPr>
        <w:tc>
          <w:tcPr>
            <w:tcW w:w="1660" w:type="dxa"/>
            <w:shd w:val="clear" w:color="auto" w:fill="auto"/>
            <w:vAlign w:val="bottom"/>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Remondi-komponendi väärtuse leidmise alused</w:t>
            </w:r>
          </w:p>
        </w:tc>
        <w:tc>
          <w:tcPr>
            <w:tcW w:w="12000" w:type="dxa"/>
            <w:gridSpan w:val="6"/>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Remondikomponendi aluseks on RKASi praktikas kujunenud 30 a (kasutusrendi puhul 20 aasta) keskmine remondimaksumus, mis arvestab säilitatavat seisundit (3,4 või 5) ja hoone ehitusmaksumust sõltvalt ehituslikust funktsionaalsusest. Hoone ehitusmaksumus ja säilitatav tase on korrelatsioonis remondikomponendiga. Madal tase ja maksumus toob kaasa madala remondikomponendi ja vastupidi.</w:t>
            </w:r>
          </w:p>
        </w:tc>
      </w:tr>
      <w:tr w:rsidR="00CB27A6" w:rsidRPr="00CB27A6" w:rsidTr="0084071E">
        <w:trPr>
          <w:trHeight w:val="2625"/>
        </w:trPr>
        <w:tc>
          <w:tcPr>
            <w:tcW w:w="1660" w:type="dxa"/>
            <w:shd w:val="clear" w:color="auto" w:fill="auto"/>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Remondi-komponendi rakendamine</w:t>
            </w:r>
          </w:p>
        </w:tc>
        <w:tc>
          <w:tcPr>
            <w:tcW w:w="23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Kapitaalremondist-kap.remondini mudeli puhul remondikomponent ei rakendu va tegevuskuludest kaetav avariiline remont. Kui kap.remondi teostamise ajaks raha investeeringuteks pole, rakendub remondikompnonent hoidmaks seisundit 3. </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Remondikomponent rakendub nii säilitamaks olemasolevat seisundit kuni tehinguni kui ka peale tehingut säilitamaks hoonet investeeringuga saavutatud tasemel. </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Remondikomponent rakendub nii säilitamaks olemasolevat seisundit kuni tehinguni kui ka peale tehingut säilitamaks hoonet investeeringuga saavutatud tasemel. </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Remondikomponent rakendub nii säilitamaks olemasolevat seisundit kuni tehinguni (kui raha pole siis lastakse amortiseeruda tasemeni 3 misjärel hoitakse taset 3) kui ka peale tehingut säilitamaks hoonet investeeringuga saavutatud tasemel. </w:t>
            </w:r>
          </w:p>
        </w:tc>
        <w:tc>
          <w:tcPr>
            <w:tcW w:w="21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 xml:space="preserve">Remondikomponent rakendub nii säilitamaks olemasolevat seisundit kuni tehinguni kui ka peale tehingut säilitamaks hoonet investeeringuga saavutatud tasemel. </w:t>
            </w:r>
          </w:p>
        </w:tc>
        <w:tc>
          <w:tcPr>
            <w:tcW w:w="15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 kuna hooned müüakse aastaks 2019.</w:t>
            </w:r>
          </w:p>
        </w:tc>
      </w:tr>
      <w:tr w:rsidR="00CB27A6" w:rsidRPr="00CB27A6" w:rsidTr="0084071E">
        <w:trPr>
          <w:trHeight w:val="2430"/>
        </w:trPr>
        <w:tc>
          <w:tcPr>
            <w:tcW w:w="1660" w:type="dxa"/>
            <w:shd w:val="clear" w:color="auto" w:fill="auto"/>
            <w:noWrap/>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Netoüür</w:t>
            </w:r>
          </w:p>
        </w:tc>
        <w:tc>
          <w:tcPr>
            <w:tcW w:w="238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Rakendub ainult turuvaradel. Netoüüri väärtuseks on turuhind (seisuga 08.14). Turuhind leiti rakendades funktsioonist ja asukohast sõltuvat kapitali-satsioonimäära.</w:t>
            </w:r>
          </w:p>
        </w:tc>
        <w:tc>
          <w:tcPr>
            <w:tcW w:w="198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Rakendub ainult turuvaradel. Netoüüri väärtuseks on turuhind (seisuga 08.14). Turuhind leiti rakendades funktsioonist ja asukohast sõltuvat kapitali-satsioonimäära.</w:t>
            </w:r>
          </w:p>
        </w:tc>
        <w:tc>
          <w:tcPr>
            <w:tcW w:w="214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c>
          <w:tcPr>
            <w:tcW w:w="154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r>
      <w:tr w:rsidR="00CB27A6" w:rsidRPr="00CB27A6" w:rsidTr="0084071E">
        <w:trPr>
          <w:trHeight w:val="3075"/>
        </w:trPr>
        <w:tc>
          <w:tcPr>
            <w:tcW w:w="1660" w:type="dxa"/>
            <w:shd w:val="clear" w:color="auto" w:fill="auto"/>
            <w:vAlign w:val="center"/>
            <w:hideMark/>
          </w:tcPr>
          <w:p w:rsidR="00CB27A6" w:rsidRPr="00CB27A6" w:rsidRDefault="00CB27A6" w:rsidP="00CB27A6">
            <w:pPr>
              <w:spacing w:before="0"/>
              <w:jc w:val="left"/>
              <w:rPr>
                <w:rFonts w:eastAsia="Times New Roman"/>
                <w:color w:val="000000"/>
                <w:sz w:val="20"/>
                <w:szCs w:val="20"/>
                <w:lang w:eastAsia="et-EE"/>
              </w:rPr>
            </w:pPr>
            <w:r w:rsidRPr="00CB27A6">
              <w:rPr>
                <w:rFonts w:eastAsia="Times New Roman"/>
                <w:color w:val="000000"/>
                <w:sz w:val="20"/>
                <w:szCs w:val="20"/>
                <w:lang w:eastAsia="et-EE"/>
              </w:rPr>
              <w:t>Kapitali-komponent</w:t>
            </w:r>
          </w:p>
        </w:tc>
        <w:tc>
          <w:tcPr>
            <w:tcW w:w="238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Rakendub ainult</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investeeringutele. Komponendi leidmisel on arvestatud 20 a. lepinguperioodiga, asukohast sõltuva jääkmaksumusega ja investori tootlusootusega, mis</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 xml:space="preserve">on leitud analüütiliselt, kaaludes erinevaid tegureid. </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Rakendub ainult</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investeeringutele. Komponendi leidmisel on arvestatud 30 a. lepinguperioodiga,</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jääkmaksumusega null ja investori tootlusootusega, mis</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 xml:space="preserve">on leitud analüütiliselt, kaaludes erinevaid tegureid. </w:t>
            </w:r>
          </w:p>
        </w:tc>
        <w:tc>
          <w:tcPr>
            <w:tcW w:w="198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 kuna investeeringud tehakse omavahenditest või riigieelarvelistest vahenditest.</w:t>
            </w:r>
          </w:p>
        </w:tc>
        <w:tc>
          <w:tcPr>
            <w:tcW w:w="2140" w:type="dxa"/>
            <w:shd w:val="clear" w:color="auto" w:fill="auto"/>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Rakendub ainult</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investeeringutele. Komponendi leidmisel on arvestatud 30 a. lepinguperioodiga,</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jääkmaksumusega null ja investori tootlusootusega, mis</w:t>
            </w:r>
            <w:r w:rsidR="00F96800">
              <w:rPr>
                <w:rFonts w:eastAsia="Times New Roman"/>
                <w:color w:val="000000"/>
                <w:sz w:val="18"/>
                <w:szCs w:val="18"/>
                <w:lang w:eastAsia="et-EE"/>
              </w:rPr>
              <w:t xml:space="preserve"> </w:t>
            </w:r>
            <w:r w:rsidRPr="00CB27A6">
              <w:rPr>
                <w:rFonts w:eastAsia="Times New Roman"/>
                <w:color w:val="000000"/>
                <w:sz w:val="18"/>
                <w:szCs w:val="18"/>
                <w:lang w:eastAsia="et-EE"/>
              </w:rPr>
              <w:t>on PPP tehingutel alati 5,92%.</w:t>
            </w:r>
          </w:p>
        </w:tc>
        <w:tc>
          <w:tcPr>
            <w:tcW w:w="1540" w:type="dxa"/>
            <w:shd w:val="clear" w:color="auto" w:fill="auto"/>
            <w:noWrap/>
            <w:vAlign w:val="center"/>
            <w:hideMark/>
          </w:tcPr>
          <w:p w:rsidR="00CB27A6" w:rsidRPr="00CB27A6" w:rsidRDefault="00CB27A6" w:rsidP="00CB27A6">
            <w:pPr>
              <w:spacing w:before="0"/>
              <w:jc w:val="center"/>
              <w:rPr>
                <w:rFonts w:eastAsia="Times New Roman"/>
                <w:color w:val="000000"/>
                <w:sz w:val="18"/>
                <w:szCs w:val="18"/>
                <w:lang w:eastAsia="et-EE"/>
              </w:rPr>
            </w:pPr>
            <w:r w:rsidRPr="00CB27A6">
              <w:rPr>
                <w:rFonts w:eastAsia="Times New Roman"/>
                <w:color w:val="000000"/>
                <w:sz w:val="18"/>
                <w:szCs w:val="18"/>
                <w:lang w:eastAsia="et-EE"/>
              </w:rPr>
              <w:t>Ei rakendu.</w:t>
            </w:r>
          </w:p>
        </w:tc>
      </w:tr>
    </w:tbl>
    <w:p w:rsidR="00227C08" w:rsidRPr="00501C45" w:rsidRDefault="00227C08" w:rsidP="00501C45"/>
    <w:sectPr w:rsidR="00227C08" w:rsidRPr="00501C45" w:rsidSect="00CB27A6">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F1E" w:rsidRDefault="00217F1E" w:rsidP="003D7EC1">
      <w:pPr>
        <w:spacing w:before="0"/>
      </w:pPr>
      <w:r>
        <w:separator/>
      </w:r>
    </w:p>
  </w:endnote>
  <w:endnote w:type="continuationSeparator" w:id="0">
    <w:p w:rsidR="00217F1E" w:rsidRDefault="00217F1E" w:rsidP="003D7EC1">
      <w:pPr>
        <w:spacing w:before="0"/>
      </w:pPr>
      <w:r>
        <w:continuationSeparator/>
      </w:r>
    </w:p>
  </w:endnote>
  <w:endnote w:id="1">
    <w:p w:rsidR="008D1276" w:rsidRDefault="008D1276" w:rsidP="005973C2">
      <w:pPr>
        <w:pStyle w:val="EndnoteText"/>
      </w:pPr>
      <w:r>
        <w:rPr>
          <w:rStyle w:val="EndnoteReference"/>
        </w:rPr>
        <w:endnoteRef/>
      </w:r>
      <w:r>
        <w:t xml:space="preserve"> </w:t>
      </w:r>
      <w:r w:rsidRPr="00BE11E8">
        <w:t>https://www.mkm.ee/sites/default/files/dokumendihalduselt_infohaldusele_strateegia_1.9.pdf</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Roboto Condensed">
    <w:altName w:val="Times New Roman"/>
    <w:panose1 w:val="02000000000000000000"/>
    <w:charset w:val="BA"/>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StarSymbol">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BA"/>
    <w:family w:val="modern"/>
    <w:pitch w:val="fixed"/>
    <w:sig w:usb0="E10002FF" w:usb1="4000FCFF" w:usb2="00000009" w:usb3="00000000" w:csb0="0000019F" w:csb1="00000000"/>
  </w:font>
  <w:font w:name="Garamond">
    <w:altName w:val="Times New Roman"/>
    <w:panose1 w:val="02020404030301010803"/>
    <w:charset w:val="BA"/>
    <w:family w:val="roman"/>
    <w:pitch w:val="variable"/>
    <w:sig w:usb0="00000287" w:usb1="00000000" w:usb2="00000000" w:usb3="00000000" w:csb0="0000009F" w:csb1="00000000"/>
  </w:font>
  <w:font w:name="Microsoft YaHei">
    <w:altName w:val="Arial Unicode MS"/>
    <w:panose1 w:val="020B0503020204020204"/>
    <w:charset w:val="86"/>
    <w:family w:val="swiss"/>
    <w:pitch w:val="variable"/>
    <w:sig w:usb0="80000287" w:usb1="280F3C52" w:usb2="00000016" w:usb3="00000000" w:csb0="0004001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15Ct00">
    <w:altName w:val="Times New Roman"/>
    <w:panose1 w:val="00000000000000000000"/>
    <w:charset w:val="00"/>
    <w:family w:val="roman"/>
    <w:notTrueType/>
    <w:pitch w:val="default"/>
    <w:sig w:usb0="00000000" w:usb1="00000000" w:usb2="00000000" w:usb3="00000000" w:csb0="00000000" w:csb1="00000000"/>
  </w:font>
  <w:font w:name="TT15Et00">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276" w:rsidRDefault="00A85FDC">
    <w:pPr>
      <w:pStyle w:val="Footer"/>
      <w:jc w:val="center"/>
    </w:pPr>
    <w:fldSimple w:instr=" PAGE   \* MERGEFORMAT ">
      <w:r w:rsidR="00460647">
        <w:t>2</w:t>
      </w:r>
    </w:fldSimple>
  </w:p>
  <w:p w:rsidR="008D1276" w:rsidRDefault="008D1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276" w:rsidRDefault="00A85FDC">
    <w:pPr>
      <w:pStyle w:val="Footer"/>
      <w:jc w:val="center"/>
    </w:pPr>
    <w:fldSimple w:instr=" PAGE   \* MERGEFORMAT ">
      <w:r w:rsidR="0051711C">
        <w:t>154</w:t>
      </w:r>
    </w:fldSimple>
  </w:p>
  <w:p w:rsidR="008D1276" w:rsidRDefault="008D127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276" w:rsidRDefault="00A85FDC" w:rsidP="00CD371C">
    <w:pPr>
      <w:pStyle w:val="Footer"/>
    </w:pPr>
    <w:fldSimple w:instr=" PAGE   \* MERGEFORMAT ">
      <w:r w:rsidR="008D1276">
        <w:t>132</w:t>
      </w:r>
    </w:fldSimple>
  </w:p>
  <w:p w:rsidR="008D1276" w:rsidRDefault="008D1276" w:rsidP="00CD371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276" w:rsidRDefault="00A85FDC">
    <w:pPr>
      <w:pStyle w:val="Footer"/>
      <w:jc w:val="center"/>
    </w:pPr>
    <w:fldSimple w:instr=" PAGE   \* MERGEFORMAT ">
      <w:r w:rsidR="0051711C">
        <w:t>169</w:t>
      </w:r>
    </w:fldSimple>
  </w:p>
  <w:p w:rsidR="008D1276" w:rsidRDefault="008D1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F1E" w:rsidRDefault="00217F1E" w:rsidP="003D7EC1">
      <w:pPr>
        <w:spacing w:before="0"/>
      </w:pPr>
      <w:r>
        <w:separator/>
      </w:r>
    </w:p>
  </w:footnote>
  <w:footnote w:type="continuationSeparator" w:id="0">
    <w:p w:rsidR="00217F1E" w:rsidRDefault="00217F1E" w:rsidP="003D7EC1">
      <w:pPr>
        <w:spacing w:before="0"/>
      </w:pPr>
      <w:r>
        <w:continuationSeparator/>
      </w:r>
    </w:p>
  </w:footnote>
  <w:footnote w:id="1">
    <w:p w:rsidR="008D1276" w:rsidRPr="00CF448A" w:rsidRDefault="008D1276" w:rsidP="00B6319C">
      <w:pPr>
        <w:pStyle w:val="FootnoteText"/>
        <w:spacing w:after="0"/>
        <w:jc w:val="both"/>
        <w:rPr>
          <w:rFonts w:ascii="Georgia" w:hAnsi="Georgia"/>
          <w:sz w:val="18"/>
          <w:szCs w:val="18"/>
        </w:rPr>
      </w:pPr>
      <w:r w:rsidRPr="00CF448A">
        <w:rPr>
          <w:rStyle w:val="FootnoteReference"/>
          <w:rFonts w:ascii="Georgia" w:hAnsi="Georgia"/>
          <w:sz w:val="18"/>
          <w:szCs w:val="18"/>
        </w:rPr>
        <w:footnoteRef/>
      </w:r>
      <w:r w:rsidRPr="00CF448A">
        <w:rPr>
          <w:rFonts w:ascii="Georgia" w:hAnsi="Georgia"/>
          <w:sz w:val="18"/>
          <w:szCs w:val="18"/>
        </w:rPr>
        <w:t xml:space="preserve"> </w:t>
      </w:r>
      <w:r w:rsidRPr="00CF448A">
        <w:rPr>
          <w:rFonts w:ascii="Georgia" w:hAnsi="Georgia"/>
          <w:bCs/>
          <w:sz w:val="18"/>
          <w:szCs w:val="18"/>
        </w:rPr>
        <w:t>Registris peetakse pindala arvestust m² põhiselt. Hoonete registrivara pinnaks on üldjuhul kasulik pind (uue EHR-</w:t>
      </w:r>
      <w:r>
        <w:rPr>
          <w:rFonts w:ascii="Georgia" w:hAnsi="Georgia"/>
          <w:bCs/>
          <w:sz w:val="18"/>
          <w:szCs w:val="18"/>
        </w:rPr>
        <w:t>i</w:t>
      </w:r>
      <w:r w:rsidRPr="00CF448A">
        <w:rPr>
          <w:rFonts w:ascii="Georgia" w:hAnsi="Georgia"/>
          <w:bCs/>
          <w:sz w:val="18"/>
          <w:szCs w:val="18"/>
        </w:rPr>
        <w:t xml:space="preserve"> termini järgi suletud netopind). Hoone RKVR-i mõistes tähendab nii tervet hoonet, kui ka hooneosa (nt. korteriomand, üürilepingu alusel kasutatav pind jne).</w:t>
      </w:r>
    </w:p>
  </w:footnote>
  <w:footnote w:id="2">
    <w:p w:rsidR="008D1276" w:rsidRPr="00460542" w:rsidRDefault="008D1276" w:rsidP="00B6319C">
      <w:pPr>
        <w:spacing w:before="120"/>
        <w:rPr>
          <w:rFonts w:eastAsia="Times New Roman"/>
          <w:bCs/>
          <w:sz w:val="18"/>
          <w:szCs w:val="18"/>
          <w:lang w:eastAsia="ar-SA"/>
        </w:rPr>
      </w:pPr>
      <w:r w:rsidRPr="00E24172">
        <w:rPr>
          <w:rStyle w:val="FootnoteReference"/>
          <w:sz w:val="18"/>
          <w:szCs w:val="18"/>
        </w:rPr>
        <w:footnoteRef/>
      </w:r>
      <w:r w:rsidRPr="00E24172">
        <w:rPr>
          <w:sz w:val="18"/>
          <w:szCs w:val="18"/>
        </w:rPr>
        <w:t xml:space="preserve"> </w:t>
      </w:r>
      <w:r w:rsidRPr="00460542">
        <w:rPr>
          <w:rFonts w:eastAsia="Times New Roman"/>
          <w:bCs/>
          <w:sz w:val="18"/>
          <w:szCs w:val="18"/>
          <w:lang w:eastAsia="ar-SA"/>
        </w:rPr>
        <w:t xml:space="preserve">Hoonestamata vara registrivara pinnaks on katastriüksuse pind. Lugemise hõlbustamiseks on maa pindala käesolevas aruandes teisendatud hektaritesse. </w:t>
      </w:r>
    </w:p>
  </w:footnote>
  <w:footnote w:id="3">
    <w:p w:rsidR="008D1276" w:rsidRDefault="008D1276" w:rsidP="00B6319C">
      <w:pPr>
        <w:pStyle w:val="FootnoteText"/>
        <w:spacing w:before="120" w:after="0"/>
      </w:pPr>
      <w:r w:rsidRPr="00460542">
        <w:rPr>
          <w:rFonts w:ascii="Georgia" w:hAnsi="Georgia"/>
          <w:bCs/>
          <w:sz w:val="18"/>
          <w:szCs w:val="18"/>
          <w:vertAlign w:val="superscript"/>
        </w:rPr>
        <w:footnoteRef/>
      </w:r>
      <w:r w:rsidRPr="00460542">
        <w:rPr>
          <w:rFonts w:ascii="Georgia" w:hAnsi="Georgia"/>
          <w:bCs/>
          <w:sz w:val="18"/>
          <w:szCs w:val="18"/>
        </w:rPr>
        <w:t xml:space="preserve"> Reas „Kokku“  on summeeritud read „Omandis“ ja „Kasutuslepingu alusel“ ning lahutatud rida „sh riigisisene kasutamise kokkulepe“, kuna viimane</w:t>
      </w:r>
      <w:r>
        <w:rPr>
          <w:rFonts w:ascii="Georgia" w:hAnsi="Georgia"/>
          <w:bCs/>
          <w:sz w:val="18"/>
          <w:szCs w:val="18"/>
        </w:rPr>
        <w:t xml:space="preserve"> </w:t>
      </w:r>
      <w:r w:rsidRPr="00460542">
        <w:rPr>
          <w:rFonts w:ascii="Georgia" w:hAnsi="Georgia"/>
          <w:bCs/>
          <w:sz w:val="18"/>
          <w:szCs w:val="18"/>
        </w:rPr>
        <w:t xml:space="preserve"> sisaldub juba „Omandis“ real.</w:t>
      </w:r>
    </w:p>
  </w:footnote>
  <w:footnote w:id="4">
    <w:p w:rsidR="008D1276" w:rsidRPr="0095439E" w:rsidRDefault="008D1276" w:rsidP="00B6319C">
      <w:pPr>
        <w:pStyle w:val="FootnoteText"/>
        <w:rPr>
          <w:rFonts w:ascii="Georgia" w:hAnsi="Georgia"/>
          <w:sz w:val="18"/>
          <w:szCs w:val="18"/>
        </w:rPr>
      </w:pPr>
      <w:r w:rsidRPr="0095439E">
        <w:rPr>
          <w:rStyle w:val="FootnoteReference"/>
          <w:rFonts w:ascii="Georgia" w:hAnsi="Georgia"/>
          <w:sz w:val="18"/>
          <w:szCs w:val="18"/>
        </w:rPr>
        <w:footnoteRef/>
      </w:r>
      <w:r w:rsidRPr="0095439E">
        <w:rPr>
          <w:rFonts w:ascii="Georgia" w:hAnsi="Georgia"/>
          <w:sz w:val="18"/>
          <w:szCs w:val="18"/>
        </w:rPr>
        <w:t xml:space="preserve"> Andmekorjest pärinev info.</w:t>
      </w:r>
    </w:p>
  </w:footnote>
  <w:footnote w:id="5">
    <w:p w:rsidR="008D1276" w:rsidRDefault="008D1276" w:rsidP="00B6319C">
      <w:pPr>
        <w:pStyle w:val="FootnoteText"/>
      </w:pPr>
      <w:r>
        <w:rPr>
          <w:rStyle w:val="FootnoteReference"/>
        </w:rPr>
        <w:footnoteRef/>
      </w:r>
      <w:r>
        <w:t xml:space="preserve"> Kinnistute jagamise teel tekib registrisse juurde varaobjekte, kuid reaalselt riigivara juurde ei omandata. Kinnistute jagamise info tabelis on informatiivne, kokkuvõttereal ei ole sellega arvestatud.,</w:t>
      </w:r>
    </w:p>
  </w:footnote>
  <w:footnote w:id="6">
    <w:p w:rsidR="008D1276" w:rsidRDefault="008D1276" w:rsidP="00B6319C">
      <w:pPr>
        <w:pStyle w:val="FootnoteText"/>
      </w:pPr>
      <w:r>
        <w:rPr>
          <w:rStyle w:val="FootnoteReference"/>
        </w:rPr>
        <w:footnoteRef/>
      </w:r>
      <w:r>
        <w:t xml:space="preserve"> Tegelik omandi üleandmine toimus 2010, võõrandamisleping sisestati registrisse 4 aastat hiljem.</w:t>
      </w:r>
    </w:p>
  </w:footnote>
  <w:footnote w:id="7">
    <w:p w:rsidR="008D1276" w:rsidRDefault="008D1276">
      <w:pPr>
        <w:pStyle w:val="FootnoteText"/>
      </w:pPr>
      <w:r>
        <w:rPr>
          <w:rStyle w:val="FootnoteReference"/>
        </w:rPr>
        <w:footnoteRef/>
      </w:r>
      <w:r>
        <w:t xml:space="preserve"> Tabelis on kajastatud terve katastriüksuse pind, lepinguga kasutusse võetud pind võib sellest erineda.</w:t>
      </w:r>
    </w:p>
  </w:footnote>
  <w:footnote w:id="8">
    <w:p w:rsidR="008D1276" w:rsidRPr="00073F8A" w:rsidRDefault="008D1276" w:rsidP="004F5682">
      <w:pPr>
        <w:pStyle w:val="FootnoteText"/>
        <w:rPr>
          <w:rFonts w:ascii="Georgia" w:hAnsi="Georgia"/>
          <w:sz w:val="18"/>
          <w:szCs w:val="18"/>
        </w:rPr>
      </w:pPr>
      <w:r w:rsidRPr="00073F8A">
        <w:rPr>
          <w:rStyle w:val="FootnoteReference"/>
          <w:rFonts w:ascii="Georgia" w:hAnsi="Georgia"/>
          <w:sz w:val="18"/>
          <w:szCs w:val="18"/>
        </w:rPr>
        <w:footnoteRef/>
      </w:r>
      <w:r w:rsidRPr="00073F8A">
        <w:rPr>
          <w:rFonts w:ascii="Georgia" w:hAnsi="Georgia"/>
          <w:sz w:val="18"/>
          <w:szCs w:val="18"/>
        </w:rPr>
        <w:t xml:space="preserve"> Praegu on see kohustus vaid juhul, kui varaga tehakse tehinguid või kui vara valitseja seda soovib.</w:t>
      </w:r>
    </w:p>
  </w:footnote>
  <w:footnote w:id="9">
    <w:p w:rsidR="008D1276" w:rsidRDefault="008D1276" w:rsidP="00B35D2F">
      <w:pPr>
        <w:pStyle w:val="FootnoteText"/>
      </w:pPr>
      <w:r>
        <w:rPr>
          <w:rStyle w:val="FootnoteReference"/>
        </w:rPr>
        <w:footnoteRef/>
      </w:r>
      <w:r>
        <w:t xml:space="preserve"> Riigi hoonestatud kinnisvara portfelli analüüsi metoodika. Rahandusministeerium 2014. </w:t>
      </w:r>
    </w:p>
  </w:footnote>
  <w:footnote w:id="10">
    <w:p w:rsidR="008D1276" w:rsidRPr="00B956FC" w:rsidRDefault="008D1276" w:rsidP="005458FB">
      <w:pPr>
        <w:pStyle w:val="FootnoteText"/>
        <w:rPr>
          <w:rFonts w:ascii="Georgia" w:hAnsi="Georgia"/>
          <w:sz w:val="18"/>
          <w:szCs w:val="18"/>
        </w:rPr>
      </w:pPr>
      <w:r w:rsidRPr="00B956FC">
        <w:rPr>
          <w:rStyle w:val="FootnoteReference"/>
          <w:rFonts w:ascii="Georgia" w:hAnsi="Georgia"/>
          <w:sz w:val="18"/>
          <w:szCs w:val="18"/>
        </w:rPr>
        <w:footnoteRef/>
      </w:r>
      <w:r w:rsidRPr="00B956FC">
        <w:rPr>
          <w:rFonts w:ascii="Georgia" w:hAnsi="Georgia"/>
          <w:sz w:val="18"/>
          <w:szCs w:val="18"/>
        </w:rPr>
        <w:t xml:space="preserve"> Kinnisvaraportfelli bilansiline jääkmaksumus koos kapitalirendi objektidega kajastamaks kinnisvaraportfelli kogu ulatuses.</w:t>
      </w:r>
    </w:p>
  </w:footnote>
  <w:footnote w:id="11">
    <w:p w:rsidR="008D1276" w:rsidRPr="0009787B" w:rsidRDefault="008D1276" w:rsidP="009D3D9C">
      <w:pPr>
        <w:pStyle w:val="FootnoteText"/>
        <w:rPr>
          <w:rFonts w:ascii="Georgia" w:hAnsi="Georgia"/>
          <w:sz w:val="18"/>
          <w:szCs w:val="18"/>
        </w:rPr>
      </w:pPr>
      <w:r w:rsidRPr="0009787B">
        <w:rPr>
          <w:rStyle w:val="FootnoteReference"/>
          <w:rFonts w:ascii="Georgia" w:hAnsi="Georgia"/>
          <w:sz w:val="18"/>
          <w:szCs w:val="18"/>
        </w:rPr>
        <w:footnoteRef/>
      </w:r>
      <w:r w:rsidRPr="0009787B">
        <w:rPr>
          <w:rFonts w:ascii="Georgia" w:hAnsi="Georgia"/>
          <w:sz w:val="18"/>
          <w:szCs w:val="18"/>
        </w:rPr>
        <w:t xml:space="preserve"> Kui palju haldusportfelli üüripinnast ei ole kaetud üürilepinguga. </w:t>
      </w:r>
    </w:p>
  </w:footnote>
  <w:footnote w:id="12">
    <w:p w:rsidR="008D1276" w:rsidRDefault="008D1276" w:rsidP="005458FB">
      <w:pPr>
        <w:pStyle w:val="FootnoteText"/>
      </w:pPr>
      <w:r>
        <w:rPr>
          <w:rStyle w:val="FootnoteReference"/>
        </w:rPr>
        <w:footnoteRef/>
      </w:r>
      <w:r>
        <w:t xml:space="preserve"> RKASi omandisse liikunud varad.</w:t>
      </w:r>
    </w:p>
  </w:footnote>
  <w:footnote w:id="13">
    <w:p w:rsidR="008D1276" w:rsidRPr="0009787B" w:rsidRDefault="008D1276" w:rsidP="005458FB">
      <w:pPr>
        <w:pStyle w:val="FootnoteText"/>
        <w:rPr>
          <w:rFonts w:ascii="Georgia" w:hAnsi="Georgia"/>
          <w:sz w:val="18"/>
          <w:szCs w:val="18"/>
        </w:rPr>
      </w:pPr>
      <w:r w:rsidRPr="0009787B">
        <w:rPr>
          <w:rStyle w:val="FootnoteReference"/>
          <w:rFonts w:ascii="Georgia" w:hAnsi="Georgia"/>
          <w:sz w:val="18"/>
          <w:szCs w:val="18"/>
        </w:rPr>
        <w:footnoteRef/>
      </w:r>
      <w:r w:rsidRPr="0009787B">
        <w:rPr>
          <w:rFonts w:ascii="Georgia" w:hAnsi="Georgia"/>
          <w:sz w:val="18"/>
          <w:szCs w:val="18"/>
        </w:rPr>
        <w:t xml:space="preserve"> Kui palju haldusportfelli üüripinnast ei ole kaetud üürilepinguga. </w:t>
      </w:r>
    </w:p>
  </w:footnote>
  <w:footnote w:id="14">
    <w:p w:rsidR="008D1276" w:rsidRPr="0009787B" w:rsidRDefault="008D1276" w:rsidP="005458FB">
      <w:pPr>
        <w:pStyle w:val="FootnoteText"/>
        <w:rPr>
          <w:rFonts w:ascii="Georgia" w:hAnsi="Georgia"/>
          <w:sz w:val="18"/>
          <w:szCs w:val="18"/>
        </w:rPr>
      </w:pPr>
      <w:r w:rsidRPr="0009787B">
        <w:rPr>
          <w:rStyle w:val="FootnoteReference"/>
          <w:rFonts w:ascii="Georgia" w:hAnsi="Georgia"/>
          <w:sz w:val="18"/>
          <w:szCs w:val="18"/>
        </w:rPr>
        <w:footnoteRef/>
      </w:r>
      <w:r w:rsidRPr="0009787B">
        <w:rPr>
          <w:rFonts w:ascii="Georgia" w:hAnsi="Georgia"/>
          <w:sz w:val="18"/>
          <w:szCs w:val="18"/>
        </w:rPr>
        <w:t xml:space="preserve"> Ülalpidamiskulude tase=ülalpidamiskulud (tarbimisteenused, omanikukohustused, heakorratööd, tehnohooldus, haldamine)/kasulik pind m².</w:t>
      </w:r>
    </w:p>
  </w:footnote>
  <w:footnote w:id="15">
    <w:p w:rsidR="008D1276" w:rsidRDefault="008D1276" w:rsidP="005458FB">
      <w:pPr>
        <w:pStyle w:val="FootnoteText"/>
      </w:pPr>
      <w:r>
        <w:rPr>
          <w:rStyle w:val="FootnoteReference"/>
        </w:rPr>
        <w:footnoteRef/>
      </w:r>
      <w:r>
        <w:t xml:space="preserve"> </w:t>
      </w:r>
      <w:r w:rsidRPr="00805262">
        <w:rPr>
          <w:rFonts w:ascii="TT15Ct00" w:hAnsi="TT15Ct00"/>
          <w:color w:val="000000"/>
        </w:rPr>
        <w:t>Suletud netopind sisaldab vaid valminud hoonete pindala. Ehitamisel olevate hoonete suletud netopind</w:t>
      </w:r>
      <w:r w:rsidRPr="00B26375">
        <w:rPr>
          <w:rFonts w:ascii="TT15Ct00" w:hAnsi="TT15Ct00"/>
          <w:color w:val="000000"/>
        </w:rPr>
        <w:t xml:space="preserve"> </w:t>
      </w:r>
      <w:r w:rsidRPr="00805262">
        <w:rPr>
          <w:rFonts w:ascii="TT15Ct00" w:hAnsi="TT15Ct00"/>
          <w:color w:val="000000"/>
        </w:rPr>
        <w:t xml:space="preserve">kajastatakse </w:t>
      </w:r>
      <w:r>
        <w:rPr>
          <w:rFonts w:ascii="TT15Ct00" w:hAnsi="TT15Ct00"/>
          <w:color w:val="000000"/>
        </w:rPr>
        <w:t>p</w:t>
      </w:r>
      <w:r w:rsidRPr="00805262">
        <w:rPr>
          <w:rFonts w:ascii="TT15Ct00" w:hAnsi="TT15Ct00"/>
          <w:color w:val="000000"/>
        </w:rPr>
        <w:t>eale hoone(te) valmimist.</w:t>
      </w:r>
    </w:p>
  </w:footnote>
  <w:footnote w:id="16">
    <w:p w:rsidR="008D1276" w:rsidRPr="00C413E7" w:rsidRDefault="008D1276" w:rsidP="005458FB">
      <w:pPr>
        <w:pStyle w:val="FootnoteText"/>
        <w:jc w:val="both"/>
        <w:rPr>
          <w:rFonts w:ascii="Georgia" w:hAnsi="Georgia"/>
          <w:sz w:val="18"/>
          <w:szCs w:val="18"/>
        </w:rPr>
      </w:pPr>
      <w:r w:rsidRPr="00C413E7">
        <w:rPr>
          <w:rStyle w:val="FootnoteReference"/>
          <w:rFonts w:ascii="Georgia" w:hAnsi="Georgia"/>
          <w:sz w:val="18"/>
          <w:szCs w:val="18"/>
        </w:rPr>
        <w:footnoteRef/>
      </w:r>
      <w:r w:rsidRPr="00C413E7">
        <w:rPr>
          <w:rFonts w:ascii="Georgia" w:hAnsi="Georgia"/>
          <w:sz w:val="18"/>
          <w:szCs w:val="18"/>
        </w:rPr>
        <w:t xml:space="preserve"> Objektide osas, mis kuuluvad Eesti Vabariigile (EV), tugineb hoone suletud netopind elektroonilisele Ehitisregistrile.</w:t>
      </w:r>
    </w:p>
  </w:footnote>
  <w:footnote w:id="17">
    <w:p w:rsidR="008D1276" w:rsidRPr="00C413E7" w:rsidRDefault="008D1276" w:rsidP="005458FB">
      <w:pPr>
        <w:pStyle w:val="FootnoteText"/>
        <w:rPr>
          <w:rFonts w:ascii="Georgia" w:hAnsi="Georgia"/>
          <w:sz w:val="18"/>
          <w:szCs w:val="18"/>
        </w:rPr>
      </w:pPr>
      <w:r w:rsidRPr="00C413E7">
        <w:rPr>
          <w:rStyle w:val="FootnoteReference"/>
          <w:rFonts w:ascii="Georgia" w:hAnsi="Georgia"/>
          <w:sz w:val="18"/>
          <w:szCs w:val="18"/>
        </w:rPr>
        <w:footnoteRef/>
      </w:r>
      <w:r w:rsidRPr="00C413E7">
        <w:rPr>
          <w:rFonts w:ascii="Georgia" w:hAnsi="Georgia"/>
          <w:sz w:val="18"/>
          <w:szCs w:val="18"/>
        </w:rPr>
        <w:t xml:space="preserve"> Klass A iseloomustab hooneid, mille ehitus-tehniline seisukord on väga hea või hea ning parendamiseks rahaliste vahendite vajadus puudub. </w:t>
      </w:r>
    </w:p>
    <w:p w:rsidR="008D1276" w:rsidRPr="00C413E7" w:rsidRDefault="008D1276" w:rsidP="005458FB">
      <w:pPr>
        <w:pStyle w:val="FootnoteText"/>
        <w:rPr>
          <w:rFonts w:ascii="Georgia" w:hAnsi="Georgia"/>
          <w:sz w:val="18"/>
          <w:szCs w:val="18"/>
        </w:rPr>
      </w:pPr>
      <w:r w:rsidRPr="00C413E7">
        <w:rPr>
          <w:rFonts w:ascii="Georgia" w:hAnsi="Georgia"/>
          <w:sz w:val="18"/>
          <w:szCs w:val="18"/>
        </w:rPr>
        <w:t xml:space="preserve">Klass B kasutatakse hoonete puhul, mille ehitustehniline seisukord on hea ning hooned vajavad rahalisi vahendeid parendamiseks suurusjärgus kuni 300 eurot/m² suletud netopinna arvestuses. </w:t>
      </w:r>
    </w:p>
    <w:p w:rsidR="008D1276" w:rsidRPr="00C413E7" w:rsidRDefault="008D1276" w:rsidP="005458FB">
      <w:pPr>
        <w:pStyle w:val="FootnoteText"/>
        <w:rPr>
          <w:rFonts w:ascii="Georgia" w:hAnsi="Georgia"/>
          <w:sz w:val="18"/>
          <w:szCs w:val="18"/>
        </w:rPr>
      </w:pPr>
      <w:r w:rsidRPr="00C413E7">
        <w:rPr>
          <w:rFonts w:ascii="Georgia" w:hAnsi="Georgia"/>
          <w:sz w:val="18"/>
          <w:szCs w:val="18"/>
        </w:rPr>
        <w:t xml:space="preserve">Klass C iseloomustab hooneid, mille ehitustehniline seisukord on rahuldav ning hooned vajavad rahalisi vahendeid parendamiseks suurusjärgus kuni 700 eurot/m² suletud netopinna arvestuses. </w:t>
      </w:r>
    </w:p>
    <w:p w:rsidR="008D1276" w:rsidRDefault="008D1276" w:rsidP="005458FB">
      <w:pPr>
        <w:pStyle w:val="FootnoteText"/>
      </w:pPr>
      <w:r w:rsidRPr="00C413E7">
        <w:rPr>
          <w:rFonts w:ascii="Georgia" w:hAnsi="Georgia"/>
          <w:sz w:val="18"/>
          <w:szCs w:val="18"/>
        </w:rPr>
        <w:t>Klassi D kuuluvad hooned, mille seisukord on halb või väga halb ning hoone parendamise kulud on kuni 1100 eurot/m² suletud netopinna arvestuses. Viimaste puhul võib uue hoone rajamine olla majanduslikult otstarbekam olemasoleva hoone rekonstrueerimisest.</w:t>
      </w:r>
    </w:p>
  </w:footnote>
  <w:footnote w:id="18">
    <w:p w:rsidR="008D1276" w:rsidRPr="00772EDC" w:rsidRDefault="008D1276" w:rsidP="005458FB">
      <w:pPr>
        <w:pStyle w:val="FootnoteText"/>
        <w:rPr>
          <w:rFonts w:ascii="Georgia" w:hAnsi="Georgia"/>
          <w:sz w:val="18"/>
          <w:szCs w:val="18"/>
        </w:rPr>
      </w:pPr>
      <w:r w:rsidRPr="00772EDC">
        <w:rPr>
          <w:rStyle w:val="FootnoteReference"/>
          <w:rFonts w:ascii="Georgia" w:hAnsi="Georgia"/>
          <w:sz w:val="18"/>
          <w:szCs w:val="18"/>
        </w:rPr>
        <w:footnoteRef/>
      </w:r>
      <w:r w:rsidRPr="00772EDC">
        <w:rPr>
          <w:rFonts w:ascii="Georgia" w:hAnsi="Georgia"/>
          <w:sz w:val="18"/>
          <w:szCs w:val="18"/>
        </w:rPr>
        <w:t xml:space="preserve"> Energiamärgiste tellimiseks on nõutav ühe täisaasta energiatarbimisandmete olemasolu.</w:t>
      </w:r>
    </w:p>
  </w:footnote>
  <w:footnote w:id="19">
    <w:p w:rsidR="008D1276" w:rsidRDefault="008D1276" w:rsidP="005458FB">
      <w:pPr>
        <w:pStyle w:val="FootnoteText"/>
      </w:pPr>
      <w:r w:rsidRPr="00772EDC">
        <w:rPr>
          <w:rStyle w:val="FootnoteReference"/>
          <w:rFonts w:ascii="Georgia" w:hAnsi="Georgia"/>
          <w:sz w:val="18"/>
          <w:szCs w:val="18"/>
        </w:rPr>
        <w:footnoteRef/>
      </w:r>
      <w:r w:rsidRPr="00772EDC">
        <w:rPr>
          <w:rFonts w:ascii="Georgia" w:hAnsi="Georgia"/>
          <w:sz w:val="18"/>
          <w:szCs w:val="18"/>
        </w:rPr>
        <w:t xml:space="preserve"> Rohemärgis kujutab endast keskkonnamärgist, kus vaadeldakse lisaks hoone energiatõhususele ka sisekliimat, asukohta ja üleüldist keskkonnasäästlikkust.</w:t>
      </w:r>
    </w:p>
  </w:footnote>
  <w:footnote w:id="20">
    <w:p w:rsidR="008D1276" w:rsidRDefault="008D1276" w:rsidP="0020482B">
      <w:pPr>
        <w:pStyle w:val="FootnoteText"/>
        <w:jc w:val="both"/>
      </w:pPr>
      <w:r>
        <w:rPr>
          <w:rStyle w:val="FootnoteReference"/>
        </w:rPr>
        <w:footnoteRef/>
      </w:r>
      <w:r>
        <w:t xml:space="preserve"> EhS § 62 lg 2 pn 1 </w:t>
      </w:r>
      <w:r>
        <w:rPr>
          <w:kern w:val="32"/>
        </w:rPr>
        <w:t xml:space="preserve">kohaselt ei ole energiamärgis nõutud sisekliima tagamisega hoonetel, mis </w:t>
      </w:r>
      <w:r>
        <w:t>jäävad üld- või detailplaneeringu alusel miljööväärtuslikule alale, mis on väärtusliku üksikobjektina määratletud või hoonetel, mis on tunnistatud mälestisteks, asuvad muinsuskaitsealal või kuuluvad UNESCO maailmapärandi nimekirja muinsuskaitseseaduse alusel ning mille olemust või välisilmet muudaks energiatõhususe miinimumnõuete täitmine oluliselt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40B"/>
    <w:multiLevelType w:val="hybridMultilevel"/>
    <w:tmpl w:val="5A4CA282"/>
    <w:lvl w:ilvl="0" w:tplc="C0C0032E">
      <w:start w:val="1"/>
      <w:numFmt w:val="decimal"/>
      <w:lvlText w:val="%1."/>
      <w:lvlJc w:val="left"/>
      <w:pPr>
        <w:ind w:left="720" w:hanging="360"/>
      </w:pPr>
      <w:rPr>
        <w:rFonts w:hint="default"/>
        <w:b/>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02A46AEC"/>
    <w:multiLevelType w:val="hybridMultilevel"/>
    <w:tmpl w:val="48EE481C"/>
    <w:lvl w:ilvl="0" w:tplc="04250001">
      <w:start w:val="1"/>
      <w:numFmt w:val="bullet"/>
      <w:lvlText w:val=""/>
      <w:lvlJc w:val="left"/>
      <w:pPr>
        <w:ind w:left="1512" w:hanging="360"/>
      </w:pPr>
      <w:rPr>
        <w:rFonts w:ascii="Symbol" w:hAnsi="Symbol" w:hint="default"/>
      </w:rPr>
    </w:lvl>
    <w:lvl w:ilvl="1" w:tplc="04250003" w:tentative="1">
      <w:start w:val="1"/>
      <w:numFmt w:val="bullet"/>
      <w:lvlText w:val="o"/>
      <w:lvlJc w:val="left"/>
      <w:pPr>
        <w:ind w:left="2232" w:hanging="360"/>
      </w:pPr>
      <w:rPr>
        <w:rFonts w:ascii="Courier New" w:hAnsi="Courier New" w:cs="Courier New" w:hint="default"/>
      </w:rPr>
    </w:lvl>
    <w:lvl w:ilvl="2" w:tplc="04250005" w:tentative="1">
      <w:start w:val="1"/>
      <w:numFmt w:val="bullet"/>
      <w:lvlText w:val=""/>
      <w:lvlJc w:val="left"/>
      <w:pPr>
        <w:ind w:left="2952" w:hanging="360"/>
      </w:pPr>
      <w:rPr>
        <w:rFonts w:ascii="Wingdings" w:hAnsi="Wingdings" w:hint="default"/>
      </w:rPr>
    </w:lvl>
    <w:lvl w:ilvl="3" w:tplc="04250001" w:tentative="1">
      <w:start w:val="1"/>
      <w:numFmt w:val="bullet"/>
      <w:lvlText w:val=""/>
      <w:lvlJc w:val="left"/>
      <w:pPr>
        <w:ind w:left="3672" w:hanging="360"/>
      </w:pPr>
      <w:rPr>
        <w:rFonts w:ascii="Symbol" w:hAnsi="Symbol" w:hint="default"/>
      </w:rPr>
    </w:lvl>
    <w:lvl w:ilvl="4" w:tplc="04250003" w:tentative="1">
      <w:start w:val="1"/>
      <w:numFmt w:val="bullet"/>
      <w:lvlText w:val="o"/>
      <w:lvlJc w:val="left"/>
      <w:pPr>
        <w:ind w:left="4392" w:hanging="360"/>
      </w:pPr>
      <w:rPr>
        <w:rFonts w:ascii="Courier New" w:hAnsi="Courier New" w:cs="Courier New" w:hint="default"/>
      </w:rPr>
    </w:lvl>
    <w:lvl w:ilvl="5" w:tplc="04250005" w:tentative="1">
      <w:start w:val="1"/>
      <w:numFmt w:val="bullet"/>
      <w:lvlText w:val=""/>
      <w:lvlJc w:val="left"/>
      <w:pPr>
        <w:ind w:left="5112" w:hanging="360"/>
      </w:pPr>
      <w:rPr>
        <w:rFonts w:ascii="Wingdings" w:hAnsi="Wingdings" w:hint="default"/>
      </w:rPr>
    </w:lvl>
    <w:lvl w:ilvl="6" w:tplc="04250001" w:tentative="1">
      <w:start w:val="1"/>
      <w:numFmt w:val="bullet"/>
      <w:lvlText w:val=""/>
      <w:lvlJc w:val="left"/>
      <w:pPr>
        <w:ind w:left="5832" w:hanging="360"/>
      </w:pPr>
      <w:rPr>
        <w:rFonts w:ascii="Symbol" w:hAnsi="Symbol" w:hint="default"/>
      </w:rPr>
    </w:lvl>
    <w:lvl w:ilvl="7" w:tplc="04250003" w:tentative="1">
      <w:start w:val="1"/>
      <w:numFmt w:val="bullet"/>
      <w:lvlText w:val="o"/>
      <w:lvlJc w:val="left"/>
      <w:pPr>
        <w:ind w:left="6552" w:hanging="360"/>
      </w:pPr>
      <w:rPr>
        <w:rFonts w:ascii="Courier New" w:hAnsi="Courier New" w:cs="Courier New" w:hint="default"/>
      </w:rPr>
    </w:lvl>
    <w:lvl w:ilvl="8" w:tplc="04250005" w:tentative="1">
      <w:start w:val="1"/>
      <w:numFmt w:val="bullet"/>
      <w:lvlText w:val=""/>
      <w:lvlJc w:val="left"/>
      <w:pPr>
        <w:ind w:left="7272" w:hanging="360"/>
      </w:pPr>
      <w:rPr>
        <w:rFonts w:ascii="Wingdings" w:hAnsi="Wingdings" w:hint="default"/>
      </w:rPr>
    </w:lvl>
  </w:abstractNum>
  <w:abstractNum w:abstractNumId="2">
    <w:nsid w:val="032D790B"/>
    <w:multiLevelType w:val="hybridMultilevel"/>
    <w:tmpl w:val="CD1408C6"/>
    <w:lvl w:ilvl="0" w:tplc="04250001">
      <w:start w:val="1"/>
      <w:numFmt w:val="bullet"/>
      <w:lvlText w:val=""/>
      <w:lvlJc w:val="left"/>
      <w:pPr>
        <w:ind w:left="720" w:hanging="360"/>
      </w:pPr>
      <w:rPr>
        <w:rFonts w:ascii="Symbol" w:hAnsi="Symbol" w:hint="default"/>
      </w:rPr>
    </w:lvl>
    <w:lvl w:ilvl="1" w:tplc="04250003">
      <w:start w:val="1"/>
      <w:numFmt w:val="decimal"/>
      <w:lvlText w:val="%2."/>
      <w:lvlJc w:val="left"/>
      <w:pPr>
        <w:tabs>
          <w:tab w:val="num" w:pos="1440"/>
        </w:tabs>
        <w:ind w:left="1440" w:hanging="360"/>
      </w:pPr>
    </w:lvl>
    <w:lvl w:ilvl="2" w:tplc="04250005">
      <w:start w:val="1"/>
      <w:numFmt w:val="decimal"/>
      <w:lvlText w:val="%3."/>
      <w:lvlJc w:val="left"/>
      <w:pPr>
        <w:tabs>
          <w:tab w:val="num" w:pos="2160"/>
        </w:tabs>
        <w:ind w:left="2160" w:hanging="360"/>
      </w:pPr>
    </w:lvl>
    <w:lvl w:ilvl="3" w:tplc="04250001">
      <w:start w:val="1"/>
      <w:numFmt w:val="decimal"/>
      <w:lvlText w:val="%4."/>
      <w:lvlJc w:val="left"/>
      <w:pPr>
        <w:tabs>
          <w:tab w:val="num" w:pos="2880"/>
        </w:tabs>
        <w:ind w:left="2880" w:hanging="360"/>
      </w:pPr>
    </w:lvl>
    <w:lvl w:ilvl="4" w:tplc="04250003">
      <w:start w:val="1"/>
      <w:numFmt w:val="decimal"/>
      <w:lvlText w:val="%5."/>
      <w:lvlJc w:val="left"/>
      <w:pPr>
        <w:tabs>
          <w:tab w:val="num" w:pos="3600"/>
        </w:tabs>
        <w:ind w:left="3600" w:hanging="360"/>
      </w:pPr>
    </w:lvl>
    <w:lvl w:ilvl="5" w:tplc="04250005">
      <w:start w:val="1"/>
      <w:numFmt w:val="decimal"/>
      <w:lvlText w:val="%6."/>
      <w:lvlJc w:val="left"/>
      <w:pPr>
        <w:tabs>
          <w:tab w:val="num" w:pos="4320"/>
        </w:tabs>
        <w:ind w:left="4320" w:hanging="360"/>
      </w:pPr>
    </w:lvl>
    <w:lvl w:ilvl="6" w:tplc="04250001">
      <w:start w:val="1"/>
      <w:numFmt w:val="decimal"/>
      <w:lvlText w:val="%7."/>
      <w:lvlJc w:val="left"/>
      <w:pPr>
        <w:tabs>
          <w:tab w:val="num" w:pos="5040"/>
        </w:tabs>
        <w:ind w:left="5040" w:hanging="360"/>
      </w:pPr>
    </w:lvl>
    <w:lvl w:ilvl="7" w:tplc="04250003">
      <w:start w:val="1"/>
      <w:numFmt w:val="decimal"/>
      <w:lvlText w:val="%8."/>
      <w:lvlJc w:val="left"/>
      <w:pPr>
        <w:tabs>
          <w:tab w:val="num" w:pos="5760"/>
        </w:tabs>
        <w:ind w:left="5760" w:hanging="360"/>
      </w:pPr>
    </w:lvl>
    <w:lvl w:ilvl="8" w:tplc="04250005">
      <w:start w:val="1"/>
      <w:numFmt w:val="decimal"/>
      <w:lvlText w:val="%9."/>
      <w:lvlJc w:val="left"/>
      <w:pPr>
        <w:tabs>
          <w:tab w:val="num" w:pos="6480"/>
        </w:tabs>
        <w:ind w:left="6480" w:hanging="360"/>
      </w:pPr>
    </w:lvl>
  </w:abstractNum>
  <w:abstractNum w:abstractNumId="3">
    <w:nsid w:val="04AC6A15"/>
    <w:multiLevelType w:val="hybridMultilevel"/>
    <w:tmpl w:val="0CE652CC"/>
    <w:lvl w:ilvl="0" w:tplc="D9261320">
      <w:start w:val="1"/>
      <w:numFmt w:val="bullet"/>
      <w:lvlText w:val="•"/>
      <w:lvlJc w:val="left"/>
      <w:pPr>
        <w:tabs>
          <w:tab w:val="num" w:pos="720"/>
        </w:tabs>
        <w:ind w:left="720" w:hanging="360"/>
      </w:pPr>
      <w:rPr>
        <w:rFonts w:ascii="Arial" w:hAnsi="Arial" w:hint="default"/>
      </w:rPr>
    </w:lvl>
    <w:lvl w:ilvl="1" w:tplc="1980CAAE" w:tentative="1">
      <w:start w:val="1"/>
      <w:numFmt w:val="bullet"/>
      <w:lvlText w:val="•"/>
      <w:lvlJc w:val="left"/>
      <w:pPr>
        <w:tabs>
          <w:tab w:val="num" w:pos="1440"/>
        </w:tabs>
        <w:ind w:left="1440" w:hanging="360"/>
      </w:pPr>
      <w:rPr>
        <w:rFonts w:ascii="Arial" w:hAnsi="Arial" w:hint="default"/>
      </w:rPr>
    </w:lvl>
    <w:lvl w:ilvl="2" w:tplc="F05CBA00" w:tentative="1">
      <w:start w:val="1"/>
      <w:numFmt w:val="bullet"/>
      <w:lvlText w:val="•"/>
      <w:lvlJc w:val="left"/>
      <w:pPr>
        <w:tabs>
          <w:tab w:val="num" w:pos="2160"/>
        </w:tabs>
        <w:ind w:left="2160" w:hanging="360"/>
      </w:pPr>
      <w:rPr>
        <w:rFonts w:ascii="Arial" w:hAnsi="Arial" w:hint="default"/>
      </w:rPr>
    </w:lvl>
    <w:lvl w:ilvl="3" w:tplc="33967530" w:tentative="1">
      <w:start w:val="1"/>
      <w:numFmt w:val="bullet"/>
      <w:lvlText w:val="•"/>
      <w:lvlJc w:val="left"/>
      <w:pPr>
        <w:tabs>
          <w:tab w:val="num" w:pos="2880"/>
        </w:tabs>
        <w:ind w:left="2880" w:hanging="360"/>
      </w:pPr>
      <w:rPr>
        <w:rFonts w:ascii="Arial" w:hAnsi="Arial" w:hint="default"/>
      </w:rPr>
    </w:lvl>
    <w:lvl w:ilvl="4" w:tplc="340056F4" w:tentative="1">
      <w:start w:val="1"/>
      <w:numFmt w:val="bullet"/>
      <w:lvlText w:val="•"/>
      <w:lvlJc w:val="left"/>
      <w:pPr>
        <w:tabs>
          <w:tab w:val="num" w:pos="3600"/>
        </w:tabs>
        <w:ind w:left="3600" w:hanging="360"/>
      </w:pPr>
      <w:rPr>
        <w:rFonts w:ascii="Arial" w:hAnsi="Arial" w:hint="default"/>
      </w:rPr>
    </w:lvl>
    <w:lvl w:ilvl="5" w:tplc="332A61CE" w:tentative="1">
      <w:start w:val="1"/>
      <w:numFmt w:val="bullet"/>
      <w:lvlText w:val="•"/>
      <w:lvlJc w:val="left"/>
      <w:pPr>
        <w:tabs>
          <w:tab w:val="num" w:pos="4320"/>
        </w:tabs>
        <w:ind w:left="4320" w:hanging="360"/>
      </w:pPr>
      <w:rPr>
        <w:rFonts w:ascii="Arial" w:hAnsi="Arial" w:hint="default"/>
      </w:rPr>
    </w:lvl>
    <w:lvl w:ilvl="6" w:tplc="B0CAECA4" w:tentative="1">
      <w:start w:val="1"/>
      <w:numFmt w:val="bullet"/>
      <w:lvlText w:val="•"/>
      <w:lvlJc w:val="left"/>
      <w:pPr>
        <w:tabs>
          <w:tab w:val="num" w:pos="5040"/>
        </w:tabs>
        <w:ind w:left="5040" w:hanging="360"/>
      </w:pPr>
      <w:rPr>
        <w:rFonts w:ascii="Arial" w:hAnsi="Arial" w:hint="default"/>
      </w:rPr>
    </w:lvl>
    <w:lvl w:ilvl="7" w:tplc="04209B38" w:tentative="1">
      <w:start w:val="1"/>
      <w:numFmt w:val="bullet"/>
      <w:lvlText w:val="•"/>
      <w:lvlJc w:val="left"/>
      <w:pPr>
        <w:tabs>
          <w:tab w:val="num" w:pos="5760"/>
        </w:tabs>
        <w:ind w:left="5760" w:hanging="360"/>
      </w:pPr>
      <w:rPr>
        <w:rFonts w:ascii="Arial" w:hAnsi="Arial" w:hint="default"/>
      </w:rPr>
    </w:lvl>
    <w:lvl w:ilvl="8" w:tplc="5F3E2330" w:tentative="1">
      <w:start w:val="1"/>
      <w:numFmt w:val="bullet"/>
      <w:lvlText w:val="•"/>
      <w:lvlJc w:val="left"/>
      <w:pPr>
        <w:tabs>
          <w:tab w:val="num" w:pos="6480"/>
        </w:tabs>
        <w:ind w:left="6480" w:hanging="360"/>
      </w:pPr>
      <w:rPr>
        <w:rFonts w:ascii="Arial" w:hAnsi="Arial" w:hint="default"/>
      </w:rPr>
    </w:lvl>
  </w:abstractNum>
  <w:abstractNum w:abstractNumId="4">
    <w:nsid w:val="05E8445B"/>
    <w:multiLevelType w:val="multilevel"/>
    <w:tmpl w:val="298077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83D3F74"/>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89456B6"/>
    <w:multiLevelType w:val="hybridMultilevel"/>
    <w:tmpl w:val="BC881E76"/>
    <w:lvl w:ilvl="0" w:tplc="C0C0032E">
      <w:start w:val="1"/>
      <w:numFmt w:val="decimal"/>
      <w:lvlText w:val="%1."/>
      <w:lvlJc w:val="left"/>
      <w:pPr>
        <w:ind w:left="720" w:hanging="360"/>
      </w:pPr>
      <w:rPr>
        <w:rFonts w:hint="default"/>
        <w:b/>
        <w:i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09831690"/>
    <w:multiLevelType w:val="hybridMultilevel"/>
    <w:tmpl w:val="75F2209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0B3E0D83"/>
    <w:multiLevelType w:val="hybridMultilevel"/>
    <w:tmpl w:val="1F4CF092"/>
    <w:lvl w:ilvl="0" w:tplc="04250001">
      <w:start w:val="1"/>
      <w:numFmt w:val="bullet"/>
      <w:lvlText w:val=""/>
      <w:lvlJc w:val="left"/>
      <w:pPr>
        <w:ind w:left="1512" w:hanging="360"/>
      </w:pPr>
      <w:rPr>
        <w:rFonts w:ascii="Symbol" w:hAnsi="Symbol" w:hint="default"/>
      </w:rPr>
    </w:lvl>
    <w:lvl w:ilvl="1" w:tplc="04250003" w:tentative="1">
      <w:start w:val="1"/>
      <w:numFmt w:val="bullet"/>
      <w:lvlText w:val="o"/>
      <w:lvlJc w:val="left"/>
      <w:pPr>
        <w:ind w:left="2232" w:hanging="360"/>
      </w:pPr>
      <w:rPr>
        <w:rFonts w:ascii="Courier New" w:hAnsi="Courier New" w:cs="Courier New" w:hint="default"/>
      </w:rPr>
    </w:lvl>
    <w:lvl w:ilvl="2" w:tplc="04250005" w:tentative="1">
      <w:start w:val="1"/>
      <w:numFmt w:val="bullet"/>
      <w:lvlText w:val=""/>
      <w:lvlJc w:val="left"/>
      <w:pPr>
        <w:ind w:left="2952" w:hanging="360"/>
      </w:pPr>
      <w:rPr>
        <w:rFonts w:ascii="Wingdings" w:hAnsi="Wingdings" w:hint="default"/>
      </w:rPr>
    </w:lvl>
    <w:lvl w:ilvl="3" w:tplc="04250001" w:tentative="1">
      <w:start w:val="1"/>
      <w:numFmt w:val="bullet"/>
      <w:lvlText w:val=""/>
      <w:lvlJc w:val="left"/>
      <w:pPr>
        <w:ind w:left="3672" w:hanging="360"/>
      </w:pPr>
      <w:rPr>
        <w:rFonts w:ascii="Symbol" w:hAnsi="Symbol" w:hint="default"/>
      </w:rPr>
    </w:lvl>
    <w:lvl w:ilvl="4" w:tplc="04250003" w:tentative="1">
      <w:start w:val="1"/>
      <w:numFmt w:val="bullet"/>
      <w:lvlText w:val="o"/>
      <w:lvlJc w:val="left"/>
      <w:pPr>
        <w:ind w:left="4392" w:hanging="360"/>
      </w:pPr>
      <w:rPr>
        <w:rFonts w:ascii="Courier New" w:hAnsi="Courier New" w:cs="Courier New" w:hint="default"/>
      </w:rPr>
    </w:lvl>
    <w:lvl w:ilvl="5" w:tplc="04250005" w:tentative="1">
      <w:start w:val="1"/>
      <w:numFmt w:val="bullet"/>
      <w:lvlText w:val=""/>
      <w:lvlJc w:val="left"/>
      <w:pPr>
        <w:ind w:left="5112" w:hanging="360"/>
      </w:pPr>
      <w:rPr>
        <w:rFonts w:ascii="Wingdings" w:hAnsi="Wingdings" w:hint="default"/>
      </w:rPr>
    </w:lvl>
    <w:lvl w:ilvl="6" w:tplc="04250001" w:tentative="1">
      <w:start w:val="1"/>
      <w:numFmt w:val="bullet"/>
      <w:lvlText w:val=""/>
      <w:lvlJc w:val="left"/>
      <w:pPr>
        <w:ind w:left="5832" w:hanging="360"/>
      </w:pPr>
      <w:rPr>
        <w:rFonts w:ascii="Symbol" w:hAnsi="Symbol" w:hint="default"/>
      </w:rPr>
    </w:lvl>
    <w:lvl w:ilvl="7" w:tplc="04250003" w:tentative="1">
      <w:start w:val="1"/>
      <w:numFmt w:val="bullet"/>
      <w:lvlText w:val="o"/>
      <w:lvlJc w:val="left"/>
      <w:pPr>
        <w:ind w:left="6552" w:hanging="360"/>
      </w:pPr>
      <w:rPr>
        <w:rFonts w:ascii="Courier New" w:hAnsi="Courier New" w:cs="Courier New" w:hint="default"/>
      </w:rPr>
    </w:lvl>
    <w:lvl w:ilvl="8" w:tplc="04250005" w:tentative="1">
      <w:start w:val="1"/>
      <w:numFmt w:val="bullet"/>
      <w:lvlText w:val=""/>
      <w:lvlJc w:val="left"/>
      <w:pPr>
        <w:ind w:left="7272" w:hanging="360"/>
      </w:pPr>
      <w:rPr>
        <w:rFonts w:ascii="Wingdings" w:hAnsi="Wingdings" w:hint="default"/>
      </w:rPr>
    </w:lvl>
  </w:abstractNum>
  <w:abstractNum w:abstractNumId="9">
    <w:nsid w:val="0CBB0E05"/>
    <w:multiLevelType w:val="hybridMultilevel"/>
    <w:tmpl w:val="313884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0E2A1199"/>
    <w:multiLevelType w:val="multilevel"/>
    <w:tmpl w:val="4EFEF918"/>
    <w:lvl w:ilvl="0">
      <w:start w:val="1"/>
      <w:numFmt w:val="decimal"/>
      <w:pStyle w:val="Heading3"/>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0F1D0603"/>
    <w:multiLevelType w:val="hybridMultilevel"/>
    <w:tmpl w:val="B1327084"/>
    <w:lvl w:ilvl="0" w:tplc="DCCCF854">
      <w:start w:val="1"/>
      <w:numFmt w:val="bullet"/>
      <w:lvlText w:val="•"/>
      <w:lvlJc w:val="left"/>
      <w:pPr>
        <w:tabs>
          <w:tab w:val="num" w:pos="720"/>
        </w:tabs>
        <w:ind w:left="720" w:hanging="360"/>
      </w:pPr>
      <w:rPr>
        <w:rFonts w:ascii="Arial" w:hAnsi="Arial" w:hint="default"/>
      </w:rPr>
    </w:lvl>
    <w:lvl w:ilvl="1" w:tplc="5D7AA2CC" w:tentative="1">
      <w:start w:val="1"/>
      <w:numFmt w:val="bullet"/>
      <w:lvlText w:val="•"/>
      <w:lvlJc w:val="left"/>
      <w:pPr>
        <w:tabs>
          <w:tab w:val="num" w:pos="1440"/>
        </w:tabs>
        <w:ind w:left="1440" w:hanging="360"/>
      </w:pPr>
      <w:rPr>
        <w:rFonts w:ascii="Arial" w:hAnsi="Arial" w:hint="default"/>
      </w:rPr>
    </w:lvl>
    <w:lvl w:ilvl="2" w:tplc="FB325F88" w:tentative="1">
      <w:start w:val="1"/>
      <w:numFmt w:val="bullet"/>
      <w:lvlText w:val="•"/>
      <w:lvlJc w:val="left"/>
      <w:pPr>
        <w:tabs>
          <w:tab w:val="num" w:pos="2160"/>
        </w:tabs>
        <w:ind w:left="2160" w:hanging="360"/>
      </w:pPr>
      <w:rPr>
        <w:rFonts w:ascii="Arial" w:hAnsi="Arial" w:hint="default"/>
      </w:rPr>
    </w:lvl>
    <w:lvl w:ilvl="3" w:tplc="48FA18EA" w:tentative="1">
      <w:start w:val="1"/>
      <w:numFmt w:val="bullet"/>
      <w:lvlText w:val="•"/>
      <w:lvlJc w:val="left"/>
      <w:pPr>
        <w:tabs>
          <w:tab w:val="num" w:pos="2880"/>
        </w:tabs>
        <w:ind w:left="2880" w:hanging="360"/>
      </w:pPr>
      <w:rPr>
        <w:rFonts w:ascii="Arial" w:hAnsi="Arial" w:hint="default"/>
      </w:rPr>
    </w:lvl>
    <w:lvl w:ilvl="4" w:tplc="1AF80D90" w:tentative="1">
      <w:start w:val="1"/>
      <w:numFmt w:val="bullet"/>
      <w:lvlText w:val="•"/>
      <w:lvlJc w:val="left"/>
      <w:pPr>
        <w:tabs>
          <w:tab w:val="num" w:pos="3600"/>
        </w:tabs>
        <w:ind w:left="3600" w:hanging="360"/>
      </w:pPr>
      <w:rPr>
        <w:rFonts w:ascii="Arial" w:hAnsi="Arial" w:hint="default"/>
      </w:rPr>
    </w:lvl>
    <w:lvl w:ilvl="5" w:tplc="B3962FB6" w:tentative="1">
      <w:start w:val="1"/>
      <w:numFmt w:val="bullet"/>
      <w:lvlText w:val="•"/>
      <w:lvlJc w:val="left"/>
      <w:pPr>
        <w:tabs>
          <w:tab w:val="num" w:pos="4320"/>
        </w:tabs>
        <w:ind w:left="4320" w:hanging="360"/>
      </w:pPr>
      <w:rPr>
        <w:rFonts w:ascii="Arial" w:hAnsi="Arial" w:hint="default"/>
      </w:rPr>
    </w:lvl>
    <w:lvl w:ilvl="6" w:tplc="AFB6752A" w:tentative="1">
      <w:start w:val="1"/>
      <w:numFmt w:val="bullet"/>
      <w:lvlText w:val="•"/>
      <w:lvlJc w:val="left"/>
      <w:pPr>
        <w:tabs>
          <w:tab w:val="num" w:pos="5040"/>
        </w:tabs>
        <w:ind w:left="5040" w:hanging="360"/>
      </w:pPr>
      <w:rPr>
        <w:rFonts w:ascii="Arial" w:hAnsi="Arial" w:hint="default"/>
      </w:rPr>
    </w:lvl>
    <w:lvl w:ilvl="7" w:tplc="349C9534" w:tentative="1">
      <w:start w:val="1"/>
      <w:numFmt w:val="bullet"/>
      <w:lvlText w:val="•"/>
      <w:lvlJc w:val="left"/>
      <w:pPr>
        <w:tabs>
          <w:tab w:val="num" w:pos="5760"/>
        </w:tabs>
        <w:ind w:left="5760" w:hanging="360"/>
      </w:pPr>
      <w:rPr>
        <w:rFonts w:ascii="Arial" w:hAnsi="Arial" w:hint="default"/>
      </w:rPr>
    </w:lvl>
    <w:lvl w:ilvl="8" w:tplc="684A6A78" w:tentative="1">
      <w:start w:val="1"/>
      <w:numFmt w:val="bullet"/>
      <w:lvlText w:val="•"/>
      <w:lvlJc w:val="left"/>
      <w:pPr>
        <w:tabs>
          <w:tab w:val="num" w:pos="6480"/>
        </w:tabs>
        <w:ind w:left="6480" w:hanging="360"/>
      </w:pPr>
      <w:rPr>
        <w:rFonts w:ascii="Arial" w:hAnsi="Arial" w:hint="default"/>
      </w:rPr>
    </w:lvl>
  </w:abstractNum>
  <w:abstractNum w:abstractNumId="12">
    <w:nsid w:val="100671FE"/>
    <w:multiLevelType w:val="hybridMultilevel"/>
    <w:tmpl w:val="CCE285C2"/>
    <w:lvl w:ilvl="0" w:tplc="04250003">
      <w:start w:val="1"/>
      <w:numFmt w:val="bullet"/>
      <w:lvlText w:val="o"/>
      <w:lvlJc w:val="left"/>
      <w:pPr>
        <w:ind w:left="1512" w:hanging="360"/>
      </w:pPr>
      <w:rPr>
        <w:rFonts w:ascii="Courier New" w:hAnsi="Courier New" w:cs="Courier New" w:hint="default"/>
      </w:rPr>
    </w:lvl>
    <w:lvl w:ilvl="1" w:tplc="04250003" w:tentative="1">
      <w:start w:val="1"/>
      <w:numFmt w:val="bullet"/>
      <w:lvlText w:val="o"/>
      <w:lvlJc w:val="left"/>
      <w:pPr>
        <w:ind w:left="2232" w:hanging="360"/>
      </w:pPr>
      <w:rPr>
        <w:rFonts w:ascii="Courier New" w:hAnsi="Courier New" w:cs="Courier New" w:hint="default"/>
      </w:rPr>
    </w:lvl>
    <w:lvl w:ilvl="2" w:tplc="04250005" w:tentative="1">
      <w:start w:val="1"/>
      <w:numFmt w:val="bullet"/>
      <w:lvlText w:val=""/>
      <w:lvlJc w:val="left"/>
      <w:pPr>
        <w:ind w:left="2952" w:hanging="360"/>
      </w:pPr>
      <w:rPr>
        <w:rFonts w:ascii="Wingdings" w:hAnsi="Wingdings" w:hint="default"/>
      </w:rPr>
    </w:lvl>
    <w:lvl w:ilvl="3" w:tplc="04250001" w:tentative="1">
      <w:start w:val="1"/>
      <w:numFmt w:val="bullet"/>
      <w:lvlText w:val=""/>
      <w:lvlJc w:val="left"/>
      <w:pPr>
        <w:ind w:left="3672" w:hanging="360"/>
      </w:pPr>
      <w:rPr>
        <w:rFonts w:ascii="Symbol" w:hAnsi="Symbol" w:hint="default"/>
      </w:rPr>
    </w:lvl>
    <w:lvl w:ilvl="4" w:tplc="04250003" w:tentative="1">
      <w:start w:val="1"/>
      <w:numFmt w:val="bullet"/>
      <w:lvlText w:val="o"/>
      <w:lvlJc w:val="left"/>
      <w:pPr>
        <w:ind w:left="4392" w:hanging="360"/>
      </w:pPr>
      <w:rPr>
        <w:rFonts w:ascii="Courier New" w:hAnsi="Courier New" w:cs="Courier New" w:hint="default"/>
      </w:rPr>
    </w:lvl>
    <w:lvl w:ilvl="5" w:tplc="04250005" w:tentative="1">
      <w:start w:val="1"/>
      <w:numFmt w:val="bullet"/>
      <w:lvlText w:val=""/>
      <w:lvlJc w:val="left"/>
      <w:pPr>
        <w:ind w:left="5112" w:hanging="360"/>
      </w:pPr>
      <w:rPr>
        <w:rFonts w:ascii="Wingdings" w:hAnsi="Wingdings" w:hint="default"/>
      </w:rPr>
    </w:lvl>
    <w:lvl w:ilvl="6" w:tplc="04250001" w:tentative="1">
      <w:start w:val="1"/>
      <w:numFmt w:val="bullet"/>
      <w:lvlText w:val=""/>
      <w:lvlJc w:val="left"/>
      <w:pPr>
        <w:ind w:left="5832" w:hanging="360"/>
      </w:pPr>
      <w:rPr>
        <w:rFonts w:ascii="Symbol" w:hAnsi="Symbol" w:hint="default"/>
      </w:rPr>
    </w:lvl>
    <w:lvl w:ilvl="7" w:tplc="04250003" w:tentative="1">
      <w:start w:val="1"/>
      <w:numFmt w:val="bullet"/>
      <w:lvlText w:val="o"/>
      <w:lvlJc w:val="left"/>
      <w:pPr>
        <w:ind w:left="6552" w:hanging="360"/>
      </w:pPr>
      <w:rPr>
        <w:rFonts w:ascii="Courier New" w:hAnsi="Courier New" w:cs="Courier New" w:hint="default"/>
      </w:rPr>
    </w:lvl>
    <w:lvl w:ilvl="8" w:tplc="04250005" w:tentative="1">
      <w:start w:val="1"/>
      <w:numFmt w:val="bullet"/>
      <w:lvlText w:val=""/>
      <w:lvlJc w:val="left"/>
      <w:pPr>
        <w:ind w:left="7272" w:hanging="360"/>
      </w:pPr>
      <w:rPr>
        <w:rFonts w:ascii="Wingdings" w:hAnsi="Wingdings" w:hint="default"/>
      </w:rPr>
    </w:lvl>
  </w:abstractNum>
  <w:abstractNum w:abstractNumId="13">
    <w:nsid w:val="10C04095"/>
    <w:multiLevelType w:val="multilevel"/>
    <w:tmpl w:val="298077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2C6721C"/>
    <w:multiLevelType w:val="multilevel"/>
    <w:tmpl w:val="0714F1E2"/>
    <w:styleLink w:val="Pealkirjad"/>
    <w:lvl w:ilvl="0">
      <w:start w:val="1"/>
      <w:numFmt w:val="decimal"/>
      <w:pStyle w:val="Pealkiri1"/>
      <w:lvlText w:val="%1."/>
      <w:lvlJc w:val="left"/>
      <w:pPr>
        <w:ind w:left="360" w:hanging="360"/>
      </w:pPr>
      <w:rPr>
        <w:rFonts w:hint="default"/>
      </w:rPr>
    </w:lvl>
    <w:lvl w:ilvl="1">
      <w:start w:val="1"/>
      <w:numFmt w:val="decimal"/>
      <w:pStyle w:val="Pealkiri2"/>
      <w:lvlText w:val="%1.%2"/>
      <w:lvlJc w:val="left"/>
      <w:pPr>
        <w:ind w:left="720" w:hanging="360"/>
      </w:pPr>
      <w:rPr>
        <w:rFonts w:hint="default"/>
      </w:rPr>
    </w:lvl>
    <w:lvl w:ilvl="2">
      <w:start w:val="1"/>
      <w:numFmt w:val="decimal"/>
      <w:pStyle w:val="Pealkiri3"/>
      <w:lvlText w:val="%1.%2.%3"/>
      <w:lvlJc w:val="left"/>
      <w:pPr>
        <w:ind w:left="1080" w:hanging="360"/>
      </w:pPr>
      <w:rPr>
        <w:rFonts w:hint="default"/>
      </w:rPr>
    </w:lvl>
    <w:lvl w:ilvl="3">
      <w:start w:val="1"/>
      <w:numFmt w:val="decimal"/>
      <w:pStyle w:val="Pealkiri4"/>
      <w:lvlText w:val="%1.%2.%3.%4"/>
      <w:lvlJc w:val="left"/>
      <w:pPr>
        <w:ind w:left="1440" w:hanging="144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14786F73"/>
    <w:multiLevelType w:val="hybridMultilevel"/>
    <w:tmpl w:val="DB9A617E"/>
    <w:lvl w:ilvl="0" w:tplc="04250001">
      <w:start w:val="1"/>
      <w:numFmt w:val="bullet"/>
      <w:lvlText w:val=""/>
      <w:lvlJc w:val="left"/>
      <w:pPr>
        <w:ind w:left="773" w:hanging="360"/>
      </w:pPr>
      <w:rPr>
        <w:rFonts w:ascii="Symbol" w:hAnsi="Symbol" w:hint="default"/>
      </w:rPr>
    </w:lvl>
    <w:lvl w:ilvl="1" w:tplc="04250003" w:tentative="1">
      <w:start w:val="1"/>
      <w:numFmt w:val="bullet"/>
      <w:lvlText w:val="o"/>
      <w:lvlJc w:val="left"/>
      <w:pPr>
        <w:ind w:left="1493" w:hanging="360"/>
      </w:pPr>
      <w:rPr>
        <w:rFonts w:ascii="Courier New" w:hAnsi="Courier New" w:cs="Courier New" w:hint="default"/>
      </w:rPr>
    </w:lvl>
    <w:lvl w:ilvl="2" w:tplc="04250005" w:tentative="1">
      <w:start w:val="1"/>
      <w:numFmt w:val="bullet"/>
      <w:lvlText w:val=""/>
      <w:lvlJc w:val="left"/>
      <w:pPr>
        <w:ind w:left="2213" w:hanging="360"/>
      </w:pPr>
      <w:rPr>
        <w:rFonts w:ascii="Wingdings" w:hAnsi="Wingdings" w:hint="default"/>
      </w:rPr>
    </w:lvl>
    <w:lvl w:ilvl="3" w:tplc="04250001" w:tentative="1">
      <w:start w:val="1"/>
      <w:numFmt w:val="bullet"/>
      <w:lvlText w:val=""/>
      <w:lvlJc w:val="left"/>
      <w:pPr>
        <w:ind w:left="2933" w:hanging="360"/>
      </w:pPr>
      <w:rPr>
        <w:rFonts w:ascii="Symbol" w:hAnsi="Symbol" w:hint="default"/>
      </w:rPr>
    </w:lvl>
    <w:lvl w:ilvl="4" w:tplc="04250003" w:tentative="1">
      <w:start w:val="1"/>
      <w:numFmt w:val="bullet"/>
      <w:lvlText w:val="o"/>
      <w:lvlJc w:val="left"/>
      <w:pPr>
        <w:ind w:left="3653" w:hanging="360"/>
      </w:pPr>
      <w:rPr>
        <w:rFonts w:ascii="Courier New" w:hAnsi="Courier New" w:cs="Courier New" w:hint="default"/>
      </w:rPr>
    </w:lvl>
    <w:lvl w:ilvl="5" w:tplc="04250005" w:tentative="1">
      <w:start w:val="1"/>
      <w:numFmt w:val="bullet"/>
      <w:lvlText w:val=""/>
      <w:lvlJc w:val="left"/>
      <w:pPr>
        <w:ind w:left="4373" w:hanging="360"/>
      </w:pPr>
      <w:rPr>
        <w:rFonts w:ascii="Wingdings" w:hAnsi="Wingdings" w:hint="default"/>
      </w:rPr>
    </w:lvl>
    <w:lvl w:ilvl="6" w:tplc="04250001" w:tentative="1">
      <w:start w:val="1"/>
      <w:numFmt w:val="bullet"/>
      <w:lvlText w:val=""/>
      <w:lvlJc w:val="left"/>
      <w:pPr>
        <w:ind w:left="5093" w:hanging="360"/>
      </w:pPr>
      <w:rPr>
        <w:rFonts w:ascii="Symbol" w:hAnsi="Symbol" w:hint="default"/>
      </w:rPr>
    </w:lvl>
    <w:lvl w:ilvl="7" w:tplc="04250003" w:tentative="1">
      <w:start w:val="1"/>
      <w:numFmt w:val="bullet"/>
      <w:lvlText w:val="o"/>
      <w:lvlJc w:val="left"/>
      <w:pPr>
        <w:ind w:left="5813" w:hanging="360"/>
      </w:pPr>
      <w:rPr>
        <w:rFonts w:ascii="Courier New" w:hAnsi="Courier New" w:cs="Courier New" w:hint="default"/>
      </w:rPr>
    </w:lvl>
    <w:lvl w:ilvl="8" w:tplc="04250005" w:tentative="1">
      <w:start w:val="1"/>
      <w:numFmt w:val="bullet"/>
      <w:lvlText w:val=""/>
      <w:lvlJc w:val="left"/>
      <w:pPr>
        <w:ind w:left="6533" w:hanging="360"/>
      </w:pPr>
      <w:rPr>
        <w:rFonts w:ascii="Wingdings" w:hAnsi="Wingdings" w:hint="default"/>
      </w:rPr>
    </w:lvl>
  </w:abstractNum>
  <w:abstractNum w:abstractNumId="16">
    <w:nsid w:val="167B1294"/>
    <w:multiLevelType w:val="hybridMultilevel"/>
    <w:tmpl w:val="6A769A54"/>
    <w:lvl w:ilvl="0" w:tplc="04250001">
      <w:start w:val="1"/>
      <w:numFmt w:val="bullet"/>
      <w:lvlText w:val=""/>
      <w:lvlJc w:val="left"/>
      <w:pPr>
        <w:ind w:left="1428" w:hanging="360"/>
      </w:pPr>
      <w:rPr>
        <w:rFonts w:ascii="Symbol" w:hAnsi="Symbol" w:hint="default"/>
      </w:rPr>
    </w:lvl>
    <w:lvl w:ilvl="1" w:tplc="04250003">
      <w:start w:val="1"/>
      <w:numFmt w:val="bullet"/>
      <w:lvlText w:val="o"/>
      <w:lvlJc w:val="left"/>
      <w:pPr>
        <w:ind w:left="2148" w:hanging="360"/>
      </w:pPr>
      <w:rPr>
        <w:rFonts w:ascii="Courier New" w:hAnsi="Courier New" w:cs="Courier New" w:hint="default"/>
      </w:rPr>
    </w:lvl>
    <w:lvl w:ilvl="2" w:tplc="04250005" w:tentative="1">
      <w:start w:val="1"/>
      <w:numFmt w:val="bullet"/>
      <w:lvlText w:val=""/>
      <w:lvlJc w:val="left"/>
      <w:pPr>
        <w:ind w:left="2868" w:hanging="360"/>
      </w:pPr>
      <w:rPr>
        <w:rFonts w:ascii="Wingdings" w:hAnsi="Wingdings" w:hint="default"/>
      </w:rPr>
    </w:lvl>
    <w:lvl w:ilvl="3" w:tplc="04250001" w:tentative="1">
      <w:start w:val="1"/>
      <w:numFmt w:val="bullet"/>
      <w:lvlText w:val=""/>
      <w:lvlJc w:val="left"/>
      <w:pPr>
        <w:ind w:left="3588" w:hanging="360"/>
      </w:pPr>
      <w:rPr>
        <w:rFonts w:ascii="Symbol" w:hAnsi="Symbol" w:hint="default"/>
      </w:rPr>
    </w:lvl>
    <w:lvl w:ilvl="4" w:tplc="04250003" w:tentative="1">
      <w:start w:val="1"/>
      <w:numFmt w:val="bullet"/>
      <w:lvlText w:val="o"/>
      <w:lvlJc w:val="left"/>
      <w:pPr>
        <w:ind w:left="4308" w:hanging="360"/>
      </w:pPr>
      <w:rPr>
        <w:rFonts w:ascii="Courier New" w:hAnsi="Courier New" w:cs="Courier New" w:hint="default"/>
      </w:rPr>
    </w:lvl>
    <w:lvl w:ilvl="5" w:tplc="04250005" w:tentative="1">
      <w:start w:val="1"/>
      <w:numFmt w:val="bullet"/>
      <w:lvlText w:val=""/>
      <w:lvlJc w:val="left"/>
      <w:pPr>
        <w:ind w:left="5028" w:hanging="360"/>
      </w:pPr>
      <w:rPr>
        <w:rFonts w:ascii="Wingdings" w:hAnsi="Wingdings" w:hint="default"/>
      </w:rPr>
    </w:lvl>
    <w:lvl w:ilvl="6" w:tplc="04250001" w:tentative="1">
      <w:start w:val="1"/>
      <w:numFmt w:val="bullet"/>
      <w:lvlText w:val=""/>
      <w:lvlJc w:val="left"/>
      <w:pPr>
        <w:ind w:left="5748" w:hanging="360"/>
      </w:pPr>
      <w:rPr>
        <w:rFonts w:ascii="Symbol" w:hAnsi="Symbol" w:hint="default"/>
      </w:rPr>
    </w:lvl>
    <w:lvl w:ilvl="7" w:tplc="04250003" w:tentative="1">
      <w:start w:val="1"/>
      <w:numFmt w:val="bullet"/>
      <w:lvlText w:val="o"/>
      <w:lvlJc w:val="left"/>
      <w:pPr>
        <w:ind w:left="6468" w:hanging="360"/>
      </w:pPr>
      <w:rPr>
        <w:rFonts w:ascii="Courier New" w:hAnsi="Courier New" w:cs="Courier New" w:hint="default"/>
      </w:rPr>
    </w:lvl>
    <w:lvl w:ilvl="8" w:tplc="04250005" w:tentative="1">
      <w:start w:val="1"/>
      <w:numFmt w:val="bullet"/>
      <w:lvlText w:val=""/>
      <w:lvlJc w:val="left"/>
      <w:pPr>
        <w:ind w:left="7188" w:hanging="360"/>
      </w:pPr>
      <w:rPr>
        <w:rFonts w:ascii="Wingdings" w:hAnsi="Wingdings" w:hint="default"/>
      </w:rPr>
    </w:lvl>
  </w:abstractNum>
  <w:abstractNum w:abstractNumId="17">
    <w:nsid w:val="17C1694C"/>
    <w:multiLevelType w:val="hybridMultilevel"/>
    <w:tmpl w:val="428420A0"/>
    <w:lvl w:ilvl="0" w:tplc="BC20A794">
      <w:start w:val="2015"/>
      <w:numFmt w:val="bullet"/>
      <w:pStyle w:val="Loend21"/>
      <w:lvlText w:val="-"/>
      <w:lvlJc w:val="left"/>
      <w:pPr>
        <w:ind w:left="1097" w:hanging="360"/>
      </w:pPr>
      <w:rPr>
        <w:rFonts w:ascii="Calibri" w:eastAsiaTheme="minorHAnsi" w:hAnsi="Calibri" w:cstheme="minorBidi" w:hint="default"/>
        <w:b/>
        <w:sz w:val="22"/>
      </w:rPr>
    </w:lvl>
    <w:lvl w:ilvl="1" w:tplc="74C631C0" w:tentative="1">
      <w:start w:val="1"/>
      <w:numFmt w:val="bullet"/>
      <w:lvlText w:val="o"/>
      <w:lvlJc w:val="left"/>
      <w:pPr>
        <w:ind w:left="1797" w:hanging="360"/>
      </w:pPr>
      <w:rPr>
        <w:rFonts w:ascii="Courier New" w:hAnsi="Courier New" w:hint="default"/>
      </w:rPr>
    </w:lvl>
    <w:lvl w:ilvl="2" w:tplc="EEDC3106" w:tentative="1">
      <w:start w:val="1"/>
      <w:numFmt w:val="bullet"/>
      <w:lvlText w:val=""/>
      <w:lvlJc w:val="left"/>
      <w:pPr>
        <w:ind w:left="2517" w:hanging="360"/>
      </w:pPr>
      <w:rPr>
        <w:rFonts w:ascii="Wingdings" w:hAnsi="Wingdings" w:hint="default"/>
      </w:rPr>
    </w:lvl>
    <w:lvl w:ilvl="3" w:tplc="2A64B850" w:tentative="1">
      <w:start w:val="1"/>
      <w:numFmt w:val="bullet"/>
      <w:lvlText w:val=""/>
      <w:lvlJc w:val="left"/>
      <w:pPr>
        <w:ind w:left="3237" w:hanging="360"/>
      </w:pPr>
      <w:rPr>
        <w:rFonts w:ascii="Symbol" w:hAnsi="Symbol" w:hint="default"/>
      </w:rPr>
    </w:lvl>
    <w:lvl w:ilvl="4" w:tplc="89088C9A" w:tentative="1">
      <w:start w:val="1"/>
      <w:numFmt w:val="bullet"/>
      <w:lvlText w:val="o"/>
      <w:lvlJc w:val="left"/>
      <w:pPr>
        <w:ind w:left="3957" w:hanging="360"/>
      </w:pPr>
      <w:rPr>
        <w:rFonts w:ascii="Courier New" w:hAnsi="Courier New" w:hint="default"/>
      </w:rPr>
    </w:lvl>
    <w:lvl w:ilvl="5" w:tplc="5D9ECA24" w:tentative="1">
      <w:start w:val="1"/>
      <w:numFmt w:val="bullet"/>
      <w:lvlText w:val=""/>
      <w:lvlJc w:val="left"/>
      <w:pPr>
        <w:ind w:left="4677" w:hanging="360"/>
      </w:pPr>
      <w:rPr>
        <w:rFonts w:ascii="Wingdings" w:hAnsi="Wingdings" w:hint="default"/>
      </w:rPr>
    </w:lvl>
    <w:lvl w:ilvl="6" w:tplc="6BC01A16" w:tentative="1">
      <w:start w:val="1"/>
      <w:numFmt w:val="bullet"/>
      <w:lvlText w:val=""/>
      <w:lvlJc w:val="left"/>
      <w:pPr>
        <w:ind w:left="5397" w:hanging="360"/>
      </w:pPr>
      <w:rPr>
        <w:rFonts w:ascii="Symbol" w:hAnsi="Symbol" w:hint="default"/>
      </w:rPr>
    </w:lvl>
    <w:lvl w:ilvl="7" w:tplc="14FA1A80" w:tentative="1">
      <w:start w:val="1"/>
      <w:numFmt w:val="bullet"/>
      <w:lvlText w:val="o"/>
      <w:lvlJc w:val="left"/>
      <w:pPr>
        <w:ind w:left="6117" w:hanging="360"/>
      </w:pPr>
      <w:rPr>
        <w:rFonts w:ascii="Courier New" w:hAnsi="Courier New" w:hint="default"/>
      </w:rPr>
    </w:lvl>
    <w:lvl w:ilvl="8" w:tplc="207EF76E" w:tentative="1">
      <w:start w:val="1"/>
      <w:numFmt w:val="bullet"/>
      <w:lvlText w:val=""/>
      <w:lvlJc w:val="left"/>
      <w:pPr>
        <w:ind w:left="6837" w:hanging="360"/>
      </w:pPr>
      <w:rPr>
        <w:rFonts w:ascii="Wingdings" w:hAnsi="Wingdings" w:hint="default"/>
      </w:rPr>
    </w:lvl>
  </w:abstractNum>
  <w:abstractNum w:abstractNumId="18">
    <w:nsid w:val="183E4986"/>
    <w:multiLevelType w:val="multilevel"/>
    <w:tmpl w:val="E75E8EFE"/>
    <w:lvl w:ilvl="0">
      <w:start w:val="2"/>
      <w:numFmt w:val="decimal"/>
      <w:lvlText w:val="%1."/>
      <w:lvlJc w:val="left"/>
      <w:pPr>
        <w:ind w:left="564" w:hanging="564"/>
      </w:pPr>
      <w:rPr>
        <w:rFonts w:hint="default"/>
      </w:rPr>
    </w:lvl>
    <w:lvl w:ilvl="1">
      <w:start w:val="8"/>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pStyle w:val="Pealkiri41"/>
      <w:lvlText w:val="%1.%2.%3.%4."/>
      <w:lvlJc w:val="left"/>
      <w:pPr>
        <w:ind w:left="7020" w:hanging="1080"/>
      </w:pPr>
      <w:rPr>
        <w:rFonts w:hint="default"/>
      </w:rPr>
    </w:lvl>
    <w:lvl w:ilvl="4">
      <w:start w:val="1"/>
      <w:numFmt w:val="decimal"/>
      <w:lvlText w:val="%1.%2.%3.%4.%5."/>
      <w:lvlJc w:val="left"/>
      <w:pPr>
        <w:ind w:left="9360" w:hanging="144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680" w:hanging="180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8000" w:hanging="2160"/>
      </w:pPr>
      <w:rPr>
        <w:rFonts w:hint="default"/>
      </w:rPr>
    </w:lvl>
  </w:abstractNum>
  <w:abstractNum w:abstractNumId="19">
    <w:nsid w:val="195F0B3B"/>
    <w:multiLevelType w:val="multilevel"/>
    <w:tmpl w:val="0714F1E2"/>
    <w:numStyleLink w:val="Pealkirjad"/>
  </w:abstractNum>
  <w:abstractNum w:abstractNumId="20">
    <w:nsid w:val="1BE66EE8"/>
    <w:multiLevelType w:val="hybridMultilevel"/>
    <w:tmpl w:val="35904C6C"/>
    <w:lvl w:ilvl="0" w:tplc="04250001">
      <w:start w:val="1"/>
      <w:numFmt w:val="decimal"/>
      <w:lvlText w:val="%1."/>
      <w:lvlJc w:val="left"/>
      <w:pPr>
        <w:tabs>
          <w:tab w:val="num" w:pos="720"/>
        </w:tabs>
        <w:ind w:left="720" w:hanging="360"/>
      </w:pPr>
      <w:rPr>
        <w:rFonts w:cs="Times New Roman"/>
      </w:rPr>
    </w:lvl>
    <w:lvl w:ilvl="1" w:tplc="04250003">
      <w:start w:val="1"/>
      <w:numFmt w:val="lowerLetter"/>
      <w:pStyle w:val="Heading413pt"/>
      <w:lvlText w:val="%2."/>
      <w:lvlJc w:val="left"/>
      <w:pPr>
        <w:tabs>
          <w:tab w:val="num" w:pos="1440"/>
        </w:tabs>
        <w:ind w:left="1440" w:hanging="360"/>
      </w:pPr>
      <w:rPr>
        <w:rFonts w:cs="Times New Roman"/>
      </w:rPr>
    </w:lvl>
    <w:lvl w:ilvl="2" w:tplc="04250005">
      <w:start w:val="1"/>
      <w:numFmt w:val="lowerRoman"/>
      <w:lvlText w:val="%3."/>
      <w:lvlJc w:val="right"/>
      <w:pPr>
        <w:tabs>
          <w:tab w:val="num" w:pos="2160"/>
        </w:tabs>
        <w:ind w:left="2160" w:hanging="180"/>
      </w:pPr>
      <w:rPr>
        <w:rFonts w:cs="Times New Roman"/>
      </w:rPr>
    </w:lvl>
    <w:lvl w:ilvl="3" w:tplc="04250001">
      <w:start w:val="1"/>
      <w:numFmt w:val="decimal"/>
      <w:lvlText w:val="%4."/>
      <w:lvlJc w:val="left"/>
      <w:pPr>
        <w:tabs>
          <w:tab w:val="num" w:pos="2880"/>
        </w:tabs>
        <w:ind w:left="2880" w:hanging="360"/>
      </w:pPr>
      <w:rPr>
        <w:rFonts w:cs="Times New Roman"/>
      </w:rPr>
    </w:lvl>
    <w:lvl w:ilvl="4" w:tplc="04250003">
      <w:start w:val="1"/>
      <w:numFmt w:val="lowerLetter"/>
      <w:lvlText w:val="%5."/>
      <w:lvlJc w:val="left"/>
      <w:pPr>
        <w:tabs>
          <w:tab w:val="num" w:pos="3600"/>
        </w:tabs>
        <w:ind w:left="3600" w:hanging="360"/>
      </w:pPr>
      <w:rPr>
        <w:rFonts w:cs="Times New Roman"/>
      </w:rPr>
    </w:lvl>
    <w:lvl w:ilvl="5" w:tplc="04250005">
      <w:start w:val="1"/>
      <w:numFmt w:val="lowerRoman"/>
      <w:lvlText w:val="%6."/>
      <w:lvlJc w:val="right"/>
      <w:pPr>
        <w:tabs>
          <w:tab w:val="num" w:pos="4320"/>
        </w:tabs>
        <w:ind w:left="4320" w:hanging="180"/>
      </w:pPr>
      <w:rPr>
        <w:rFonts w:cs="Times New Roman"/>
      </w:rPr>
    </w:lvl>
    <w:lvl w:ilvl="6" w:tplc="04250001">
      <w:start w:val="1"/>
      <w:numFmt w:val="decimal"/>
      <w:lvlText w:val="%7."/>
      <w:lvlJc w:val="left"/>
      <w:pPr>
        <w:tabs>
          <w:tab w:val="num" w:pos="5040"/>
        </w:tabs>
        <w:ind w:left="5040" w:hanging="360"/>
      </w:pPr>
      <w:rPr>
        <w:rFonts w:cs="Times New Roman"/>
      </w:rPr>
    </w:lvl>
    <w:lvl w:ilvl="7" w:tplc="04250003">
      <w:start w:val="1"/>
      <w:numFmt w:val="lowerLetter"/>
      <w:lvlText w:val="%8."/>
      <w:lvlJc w:val="left"/>
      <w:pPr>
        <w:tabs>
          <w:tab w:val="num" w:pos="5760"/>
        </w:tabs>
        <w:ind w:left="5760" w:hanging="360"/>
      </w:pPr>
      <w:rPr>
        <w:rFonts w:cs="Times New Roman"/>
      </w:rPr>
    </w:lvl>
    <w:lvl w:ilvl="8" w:tplc="04250005">
      <w:start w:val="1"/>
      <w:numFmt w:val="lowerRoman"/>
      <w:lvlText w:val="%9."/>
      <w:lvlJc w:val="right"/>
      <w:pPr>
        <w:tabs>
          <w:tab w:val="num" w:pos="6480"/>
        </w:tabs>
        <w:ind w:left="6480" w:hanging="180"/>
      </w:pPr>
      <w:rPr>
        <w:rFonts w:cs="Times New Roman"/>
      </w:rPr>
    </w:lvl>
  </w:abstractNum>
  <w:abstractNum w:abstractNumId="21">
    <w:nsid w:val="1D4176D6"/>
    <w:multiLevelType w:val="hybridMultilevel"/>
    <w:tmpl w:val="9C9C7DE4"/>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nsid w:val="224C035D"/>
    <w:multiLevelType w:val="hybridMultilevel"/>
    <w:tmpl w:val="AEEAE9D0"/>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61E89BFC">
      <w:start w:val="1"/>
      <w:numFmt w:val="lowerLetter"/>
      <w:lvlText w:val="%3)"/>
      <w:lvlJc w:val="left"/>
      <w:pPr>
        <w:ind w:left="2340" w:hanging="360"/>
      </w:pPr>
      <w:rPr>
        <w:rFonts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24324D15"/>
    <w:multiLevelType w:val="hybridMultilevel"/>
    <w:tmpl w:val="BECE841A"/>
    <w:lvl w:ilvl="0" w:tplc="DB4C84E2">
      <w:start w:val="1"/>
      <w:numFmt w:val="decimal"/>
      <w:lvlText w:val="%1)"/>
      <w:lvlJc w:val="left"/>
      <w:pPr>
        <w:ind w:left="1080" w:hanging="360"/>
      </w:pPr>
      <w:rPr>
        <w:rFont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4">
    <w:nsid w:val="243708A4"/>
    <w:multiLevelType w:val="hybridMultilevel"/>
    <w:tmpl w:val="68DC26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252A7427"/>
    <w:multiLevelType w:val="multilevel"/>
    <w:tmpl w:val="BCB28B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55E4CA5"/>
    <w:multiLevelType w:val="hybridMultilevel"/>
    <w:tmpl w:val="263054D6"/>
    <w:lvl w:ilvl="0" w:tplc="04250001">
      <w:start w:val="1"/>
      <w:numFmt w:val="bullet"/>
      <w:lvlText w:val=""/>
      <w:lvlJc w:val="left"/>
      <w:pPr>
        <w:ind w:left="1097"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2B5F2524"/>
    <w:multiLevelType w:val="hybridMultilevel"/>
    <w:tmpl w:val="FA80C0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nsid w:val="2DBA0563"/>
    <w:multiLevelType w:val="multilevel"/>
    <w:tmpl w:val="BEC893D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4.%2.1."/>
      <w:lvlJc w:val="left"/>
      <w:pPr>
        <w:ind w:left="228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9">
    <w:nsid w:val="2F271702"/>
    <w:multiLevelType w:val="hybridMultilevel"/>
    <w:tmpl w:val="CE16D6EC"/>
    <w:lvl w:ilvl="0" w:tplc="0425000F">
      <w:start w:val="1"/>
      <w:numFmt w:val="decimal"/>
      <w:lvlText w:val="%1."/>
      <w:lvlJc w:val="left"/>
      <w:pPr>
        <w:ind w:left="1097" w:hanging="360"/>
      </w:pPr>
      <w:rPr>
        <w:rFonts w:hint="default"/>
        <w:b/>
        <w:sz w:val="22"/>
      </w:rPr>
    </w:lvl>
    <w:lvl w:ilvl="1" w:tplc="74C631C0" w:tentative="1">
      <w:start w:val="1"/>
      <w:numFmt w:val="bullet"/>
      <w:lvlText w:val="o"/>
      <w:lvlJc w:val="left"/>
      <w:pPr>
        <w:ind w:left="1797" w:hanging="360"/>
      </w:pPr>
      <w:rPr>
        <w:rFonts w:ascii="Courier New" w:hAnsi="Courier New" w:hint="default"/>
      </w:rPr>
    </w:lvl>
    <w:lvl w:ilvl="2" w:tplc="EEDC3106" w:tentative="1">
      <w:start w:val="1"/>
      <w:numFmt w:val="bullet"/>
      <w:lvlText w:val=""/>
      <w:lvlJc w:val="left"/>
      <w:pPr>
        <w:ind w:left="2517" w:hanging="360"/>
      </w:pPr>
      <w:rPr>
        <w:rFonts w:ascii="Wingdings" w:hAnsi="Wingdings" w:hint="default"/>
      </w:rPr>
    </w:lvl>
    <w:lvl w:ilvl="3" w:tplc="2A64B850" w:tentative="1">
      <w:start w:val="1"/>
      <w:numFmt w:val="bullet"/>
      <w:lvlText w:val=""/>
      <w:lvlJc w:val="left"/>
      <w:pPr>
        <w:ind w:left="3237" w:hanging="360"/>
      </w:pPr>
      <w:rPr>
        <w:rFonts w:ascii="Symbol" w:hAnsi="Symbol" w:hint="default"/>
      </w:rPr>
    </w:lvl>
    <w:lvl w:ilvl="4" w:tplc="89088C9A" w:tentative="1">
      <w:start w:val="1"/>
      <w:numFmt w:val="bullet"/>
      <w:lvlText w:val="o"/>
      <w:lvlJc w:val="left"/>
      <w:pPr>
        <w:ind w:left="3957" w:hanging="360"/>
      </w:pPr>
      <w:rPr>
        <w:rFonts w:ascii="Courier New" w:hAnsi="Courier New" w:hint="default"/>
      </w:rPr>
    </w:lvl>
    <w:lvl w:ilvl="5" w:tplc="5D9ECA24" w:tentative="1">
      <w:start w:val="1"/>
      <w:numFmt w:val="bullet"/>
      <w:lvlText w:val=""/>
      <w:lvlJc w:val="left"/>
      <w:pPr>
        <w:ind w:left="4677" w:hanging="360"/>
      </w:pPr>
      <w:rPr>
        <w:rFonts w:ascii="Wingdings" w:hAnsi="Wingdings" w:hint="default"/>
      </w:rPr>
    </w:lvl>
    <w:lvl w:ilvl="6" w:tplc="6BC01A16" w:tentative="1">
      <w:start w:val="1"/>
      <w:numFmt w:val="bullet"/>
      <w:lvlText w:val=""/>
      <w:lvlJc w:val="left"/>
      <w:pPr>
        <w:ind w:left="5397" w:hanging="360"/>
      </w:pPr>
      <w:rPr>
        <w:rFonts w:ascii="Symbol" w:hAnsi="Symbol" w:hint="default"/>
      </w:rPr>
    </w:lvl>
    <w:lvl w:ilvl="7" w:tplc="14FA1A80" w:tentative="1">
      <w:start w:val="1"/>
      <w:numFmt w:val="bullet"/>
      <w:lvlText w:val="o"/>
      <w:lvlJc w:val="left"/>
      <w:pPr>
        <w:ind w:left="6117" w:hanging="360"/>
      </w:pPr>
      <w:rPr>
        <w:rFonts w:ascii="Courier New" w:hAnsi="Courier New" w:hint="default"/>
      </w:rPr>
    </w:lvl>
    <w:lvl w:ilvl="8" w:tplc="207EF76E" w:tentative="1">
      <w:start w:val="1"/>
      <w:numFmt w:val="bullet"/>
      <w:lvlText w:val=""/>
      <w:lvlJc w:val="left"/>
      <w:pPr>
        <w:ind w:left="6837" w:hanging="360"/>
      </w:pPr>
      <w:rPr>
        <w:rFonts w:ascii="Wingdings" w:hAnsi="Wingdings" w:hint="default"/>
      </w:rPr>
    </w:lvl>
  </w:abstractNum>
  <w:abstractNum w:abstractNumId="30">
    <w:nsid w:val="2F353900"/>
    <w:multiLevelType w:val="multilevel"/>
    <w:tmpl w:val="0714F1E2"/>
    <w:numStyleLink w:val="Pealkirjad"/>
  </w:abstractNum>
  <w:abstractNum w:abstractNumId="31">
    <w:nsid w:val="30501A6D"/>
    <w:multiLevelType w:val="hybridMultilevel"/>
    <w:tmpl w:val="38BA91A2"/>
    <w:lvl w:ilvl="0" w:tplc="44ACCA9E">
      <w:start w:val="1"/>
      <w:numFmt w:val="decimal"/>
      <w:lvlText w:val="%1)"/>
      <w:lvlJc w:val="left"/>
      <w:pPr>
        <w:ind w:left="720" w:hanging="360"/>
      </w:pPr>
      <w:rPr>
        <w:rFonts w:ascii="Calibri" w:eastAsia="Calibri" w:hAnsi="Calibri" w:cs="Times New Roman"/>
      </w:rPr>
    </w:lvl>
    <w:lvl w:ilvl="1" w:tplc="59F8D3F8">
      <w:start w:val="1"/>
      <w:numFmt w:val="decimal"/>
      <w:lvlText w:val="%2."/>
      <w:lvlJc w:val="left"/>
      <w:pPr>
        <w:ind w:left="1440" w:hanging="360"/>
      </w:pPr>
      <w:rPr>
        <w:rFonts w:ascii="Georgia" w:eastAsia="Times New Roman" w:hAnsi="Georgia" w:cs="Times New Roman"/>
      </w:rPr>
    </w:lvl>
    <w:lvl w:ilvl="2" w:tplc="04250001">
      <w:start w:val="1"/>
      <w:numFmt w:val="bullet"/>
      <w:lvlText w:val=""/>
      <w:lvlJc w:val="left"/>
      <w:pPr>
        <w:tabs>
          <w:tab w:val="num" w:pos="2160"/>
        </w:tabs>
        <w:ind w:left="2160" w:hanging="360"/>
      </w:pPr>
      <w:rPr>
        <w:rFonts w:ascii="Symbol" w:hAnsi="Symbol" w:hint="default"/>
      </w:r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32">
    <w:nsid w:val="3215192A"/>
    <w:multiLevelType w:val="hybridMultilevel"/>
    <w:tmpl w:val="3ABCB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nsid w:val="32FA6544"/>
    <w:multiLevelType w:val="hybridMultilevel"/>
    <w:tmpl w:val="683645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nsid w:val="34283155"/>
    <w:multiLevelType w:val="hybridMultilevel"/>
    <w:tmpl w:val="835490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nsid w:val="342F3EA5"/>
    <w:multiLevelType w:val="hybridMultilevel"/>
    <w:tmpl w:val="FA9CDD56"/>
    <w:lvl w:ilvl="0" w:tplc="25F0C20C">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34793B90"/>
    <w:multiLevelType w:val="hybridMultilevel"/>
    <w:tmpl w:val="8D8EEE9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nsid w:val="3698214E"/>
    <w:multiLevelType w:val="hybridMultilevel"/>
    <w:tmpl w:val="51882F62"/>
    <w:lvl w:ilvl="0" w:tplc="0425000F">
      <w:start w:val="1"/>
      <w:numFmt w:val="decimal"/>
      <w:lvlText w:val="%1."/>
      <w:lvlJc w:val="left"/>
      <w:pPr>
        <w:ind w:left="717" w:hanging="360"/>
      </w:pPr>
      <w:rPr>
        <w:rFonts w:hint="default"/>
      </w:rPr>
    </w:lvl>
    <w:lvl w:ilvl="1" w:tplc="04250003">
      <w:start w:val="1"/>
      <w:numFmt w:val="bullet"/>
      <w:lvlText w:val="o"/>
      <w:lvlJc w:val="left"/>
      <w:pPr>
        <w:ind w:left="2160" w:hanging="360"/>
      </w:pPr>
      <w:rPr>
        <w:rFonts w:ascii="Courier New" w:hAnsi="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38">
    <w:nsid w:val="456036AD"/>
    <w:multiLevelType w:val="hybridMultilevel"/>
    <w:tmpl w:val="9AFAFE74"/>
    <w:lvl w:ilvl="0" w:tplc="44ACCA9E">
      <w:start w:val="1"/>
      <w:numFmt w:val="decimal"/>
      <w:lvlText w:val="%1)"/>
      <w:lvlJc w:val="left"/>
      <w:pPr>
        <w:ind w:left="720" w:hanging="360"/>
      </w:pPr>
      <w:rPr>
        <w:rFonts w:ascii="Calibri" w:eastAsia="Calibri" w:hAnsi="Calibri" w:cs="Times New Roman"/>
      </w:rPr>
    </w:lvl>
    <w:lvl w:ilvl="1" w:tplc="22521864">
      <w:start w:val="1"/>
      <w:numFmt w:val="bullet"/>
      <w:pStyle w:val="ListParagraph"/>
      <w:lvlText w:val=""/>
      <w:lvlJc w:val="left"/>
      <w:pPr>
        <w:ind w:left="1440" w:hanging="360"/>
      </w:pPr>
      <w:rPr>
        <w:rFonts w:ascii="Symbol" w:hAnsi="Symbol" w:hint="default"/>
      </w:rPr>
    </w:lvl>
    <w:lvl w:ilvl="2" w:tplc="04250001">
      <w:start w:val="1"/>
      <w:numFmt w:val="bullet"/>
      <w:lvlText w:val=""/>
      <w:lvlJc w:val="left"/>
      <w:pPr>
        <w:tabs>
          <w:tab w:val="num" w:pos="2160"/>
        </w:tabs>
        <w:ind w:left="2160" w:hanging="360"/>
      </w:pPr>
      <w:rPr>
        <w:rFonts w:ascii="Symbol" w:hAnsi="Symbol" w:hint="default"/>
      </w:rPr>
    </w:lvl>
    <w:lvl w:ilvl="3" w:tplc="0425000F">
      <w:start w:val="1"/>
      <w:numFmt w:val="decimal"/>
      <w:lvlText w:val="%4."/>
      <w:lvlJc w:val="left"/>
      <w:pPr>
        <w:tabs>
          <w:tab w:val="num" w:pos="2880"/>
        </w:tabs>
        <w:ind w:left="2880" w:hanging="360"/>
      </w:pPr>
    </w:lvl>
    <w:lvl w:ilvl="4" w:tplc="04250019">
      <w:start w:val="1"/>
      <w:numFmt w:val="decimal"/>
      <w:lvlText w:val="%5."/>
      <w:lvlJc w:val="left"/>
      <w:pPr>
        <w:tabs>
          <w:tab w:val="num" w:pos="3600"/>
        </w:tabs>
        <w:ind w:left="3600" w:hanging="360"/>
      </w:pPr>
    </w:lvl>
    <w:lvl w:ilvl="5" w:tplc="0425001B">
      <w:start w:val="1"/>
      <w:numFmt w:val="decimal"/>
      <w:lvlText w:val="%6."/>
      <w:lvlJc w:val="left"/>
      <w:pPr>
        <w:tabs>
          <w:tab w:val="num" w:pos="4320"/>
        </w:tabs>
        <w:ind w:left="4320" w:hanging="360"/>
      </w:pPr>
    </w:lvl>
    <w:lvl w:ilvl="6" w:tplc="0425000F">
      <w:start w:val="1"/>
      <w:numFmt w:val="decimal"/>
      <w:lvlText w:val="%7."/>
      <w:lvlJc w:val="left"/>
      <w:pPr>
        <w:tabs>
          <w:tab w:val="num" w:pos="5040"/>
        </w:tabs>
        <w:ind w:left="5040" w:hanging="360"/>
      </w:pPr>
    </w:lvl>
    <w:lvl w:ilvl="7" w:tplc="04250019">
      <w:start w:val="1"/>
      <w:numFmt w:val="decimal"/>
      <w:lvlText w:val="%8."/>
      <w:lvlJc w:val="left"/>
      <w:pPr>
        <w:tabs>
          <w:tab w:val="num" w:pos="5760"/>
        </w:tabs>
        <w:ind w:left="5760" w:hanging="360"/>
      </w:pPr>
    </w:lvl>
    <w:lvl w:ilvl="8" w:tplc="0425001B">
      <w:start w:val="1"/>
      <w:numFmt w:val="decimal"/>
      <w:lvlText w:val="%9."/>
      <w:lvlJc w:val="left"/>
      <w:pPr>
        <w:tabs>
          <w:tab w:val="num" w:pos="6480"/>
        </w:tabs>
        <w:ind w:left="6480" w:hanging="360"/>
      </w:pPr>
    </w:lvl>
  </w:abstractNum>
  <w:abstractNum w:abstractNumId="39">
    <w:nsid w:val="475305B1"/>
    <w:multiLevelType w:val="hybridMultilevel"/>
    <w:tmpl w:val="89FAB8E6"/>
    <w:lvl w:ilvl="0" w:tplc="0E321114">
      <w:start w:val="1"/>
      <w:numFmt w:val="bullet"/>
      <w:pStyle w:val="Loend1"/>
      <w:lvlText w:val="-"/>
      <w:lvlJc w:val="left"/>
      <w:pPr>
        <w:ind w:left="717" w:hanging="360"/>
      </w:pPr>
      <w:rPr>
        <w:rFonts w:ascii="Georgia" w:eastAsia="Times New Roman" w:hAnsi="Georgia" w:cs="Times New Roman" w:hint="default"/>
      </w:rPr>
    </w:lvl>
    <w:lvl w:ilvl="1" w:tplc="04250003">
      <w:start w:val="1"/>
      <w:numFmt w:val="bullet"/>
      <w:lvlText w:val="o"/>
      <w:lvlJc w:val="left"/>
      <w:pPr>
        <w:ind w:left="2160" w:hanging="360"/>
      </w:pPr>
      <w:rPr>
        <w:rFonts w:ascii="Courier New" w:hAnsi="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0">
    <w:nsid w:val="47722B85"/>
    <w:multiLevelType w:val="multilevel"/>
    <w:tmpl w:val="8BBC423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4C371DC1"/>
    <w:multiLevelType w:val="singleLevel"/>
    <w:tmpl w:val="8076B216"/>
    <w:lvl w:ilvl="0">
      <w:start w:val="1"/>
      <w:numFmt w:val="bullet"/>
      <w:pStyle w:val="taanep"/>
      <w:lvlText w:val=""/>
      <w:lvlJc w:val="left"/>
      <w:pPr>
        <w:tabs>
          <w:tab w:val="num" w:pos="644"/>
        </w:tabs>
        <w:ind w:left="360" w:hanging="76"/>
      </w:pPr>
      <w:rPr>
        <w:rFonts w:ascii="Symbol" w:hAnsi="Symbol" w:hint="default"/>
      </w:rPr>
    </w:lvl>
  </w:abstractNum>
  <w:abstractNum w:abstractNumId="42">
    <w:nsid w:val="4D311183"/>
    <w:multiLevelType w:val="hybridMultilevel"/>
    <w:tmpl w:val="30FCB02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nsid w:val="4D950F1C"/>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1417C39"/>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4AF0D82"/>
    <w:multiLevelType w:val="multilevel"/>
    <w:tmpl w:val="ECFC424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5F25F67"/>
    <w:multiLevelType w:val="multilevel"/>
    <w:tmpl w:val="C63433FA"/>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bullet"/>
      <w:lvlText w:val=""/>
      <w:lvlJc w:val="left"/>
      <w:pPr>
        <w:ind w:left="2088" w:hanging="648"/>
      </w:pPr>
      <w:rPr>
        <w:rFonts w:ascii="Symbol" w:hAnsi="Symbol" w:hint="default"/>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7">
    <w:nsid w:val="59ED1425"/>
    <w:multiLevelType w:val="multilevel"/>
    <w:tmpl w:val="133674CE"/>
    <w:lvl w:ilvl="0">
      <w:start w:val="3"/>
      <w:numFmt w:val="decimal"/>
      <w:lvlText w:val="%1."/>
      <w:lvlJc w:val="left"/>
      <w:pPr>
        <w:ind w:left="576" w:hanging="576"/>
      </w:pPr>
      <w:rPr>
        <w:rFonts w:hint="default"/>
      </w:rPr>
    </w:lvl>
    <w:lvl w:ilvl="1">
      <w:start w:val="4"/>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8">
    <w:nsid w:val="5AE25EEE"/>
    <w:multiLevelType w:val="multilevel"/>
    <w:tmpl w:val="ECFC424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BD94EAD"/>
    <w:multiLevelType w:val="hybridMultilevel"/>
    <w:tmpl w:val="4C7E09DC"/>
    <w:lvl w:ilvl="0" w:tplc="C338E20E">
      <w:start w:val="2008"/>
      <w:numFmt w:val="bullet"/>
      <w:lvlText w:val="-"/>
      <w:lvlJc w:val="left"/>
      <w:pPr>
        <w:ind w:left="720" w:hanging="360"/>
      </w:pPr>
      <w:rPr>
        <w:rFonts w:ascii="Georgia" w:eastAsia="Times New Roman" w:hAnsi="Georgia" w:hint="default"/>
      </w:rPr>
    </w:lvl>
    <w:lvl w:ilvl="1" w:tplc="04250019" w:tentative="1">
      <w:start w:val="1"/>
      <w:numFmt w:val="bullet"/>
      <w:lvlText w:val="o"/>
      <w:lvlJc w:val="left"/>
      <w:pPr>
        <w:ind w:left="1440" w:hanging="360"/>
      </w:pPr>
      <w:rPr>
        <w:rFonts w:ascii="Courier New" w:hAnsi="Courier New" w:hint="default"/>
      </w:rPr>
    </w:lvl>
    <w:lvl w:ilvl="2" w:tplc="0425001B" w:tentative="1">
      <w:start w:val="1"/>
      <w:numFmt w:val="bullet"/>
      <w:lvlText w:val=""/>
      <w:lvlJc w:val="left"/>
      <w:pPr>
        <w:ind w:left="2160" w:hanging="360"/>
      </w:pPr>
      <w:rPr>
        <w:rFonts w:ascii="Wingdings" w:hAnsi="Wingdings" w:hint="default"/>
      </w:rPr>
    </w:lvl>
    <w:lvl w:ilvl="3" w:tplc="0425000F" w:tentative="1">
      <w:start w:val="1"/>
      <w:numFmt w:val="bullet"/>
      <w:lvlText w:val=""/>
      <w:lvlJc w:val="left"/>
      <w:pPr>
        <w:ind w:left="2880" w:hanging="360"/>
      </w:pPr>
      <w:rPr>
        <w:rFonts w:ascii="Symbol" w:hAnsi="Symbol" w:hint="default"/>
      </w:rPr>
    </w:lvl>
    <w:lvl w:ilvl="4" w:tplc="04250019">
      <w:start w:val="1"/>
      <w:numFmt w:val="bullet"/>
      <w:pStyle w:val="Pealkiri51"/>
      <w:lvlText w:val="o"/>
      <w:lvlJc w:val="left"/>
      <w:pPr>
        <w:ind w:left="3600" w:hanging="360"/>
      </w:pPr>
      <w:rPr>
        <w:rFonts w:ascii="Courier New" w:hAnsi="Courier New" w:hint="default"/>
      </w:rPr>
    </w:lvl>
    <w:lvl w:ilvl="5" w:tplc="0425001B" w:tentative="1">
      <w:start w:val="1"/>
      <w:numFmt w:val="bullet"/>
      <w:lvlText w:val=""/>
      <w:lvlJc w:val="left"/>
      <w:pPr>
        <w:ind w:left="4320" w:hanging="360"/>
      </w:pPr>
      <w:rPr>
        <w:rFonts w:ascii="Wingdings" w:hAnsi="Wingdings" w:hint="default"/>
      </w:rPr>
    </w:lvl>
    <w:lvl w:ilvl="6" w:tplc="0425000F" w:tentative="1">
      <w:start w:val="1"/>
      <w:numFmt w:val="bullet"/>
      <w:lvlText w:val=""/>
      <w:lvlJc w:val="left"/>
      <w:pPr>
        <w:ind w:left="5040" w:hanging="360"/>
      </w:pPr>
      <w:rPr>
        <w:rFonts w:ascii="Symbol" w:hAnsi="Symbol" w:hint="default"/>
      </w:rPr>
    </w:lvl>
    <w:lvl w:ilvl="7" w:tplc="04250019" w:tentative="1">
      <w:start w:val="1"/>
      <w:numFmt w:val="bullet"/>
      <w:lvlText w:val="o"/>
      <w:lvlJc w:val="left"/>
      <w:pPr>
        <w:ind w:left="5760" w:hanging="360"/>
      </w:pPr>
      <w:rPr>
        <w:rFonts w:ascii="Courier New" w:hAnsi="Courier New" w:hint="default"/>
      </w:rPr>
    </w:lvl>
    <w:lvl w:ilvl="8" w:tplc="0425001B" w:tentative="1">
      <w:start w:val="1"/>
      <w:numFmt w:val="bullet"/>
      <w:lvlText w:val=""/>
      <w:lvlJc w:val="left"/>
      <w:pPr>
        <w:ind w:left="6480" w:hanging="360"/>
      </w:pPr>
      <w:rPr>
        <w:rFonts w:ascii="Wingdings" w:hAnsi="Wingdings" w:hint="default"/>
      </w:rPr>
    </w:lvl>
  </w:abstractNum>
  <w:abstractNum w:abstractNumId="50">
    <w:nsid w:val="5C1B464D"/>
    <w:multiLevelType w:val="hybridMultilevel"/>
    <w:tmpl w:val="5C2A23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nsid w:val="5CFB5DF8"/>
    <w:multiLevelType w:val="hybridMultilevel"/>
    <w:tmpl w:val="9510F620"/>
    <w:lvl w:ilvl="0" w:tplc="04250001">
      <w:start w:val="1"/>
      <w:numFmt w:val="decimal"/>
      <w:lvlText w:val="%1)"/>
      <w:lvlJc w:val="left"/>
      <w:pPr>
        <w:ind w:left="720" w:hanging="360"/>
      </w:pPr>
      <w:rPr>
        <w:rFonts w:hint="default"/>
        <w:b/>
        <w:i w:val="0"/>
      </w:rPr>
    </w:lvl>
    <w:lvl w:ilvl="1" w:tplc="04250003">
      <w:start w:val="1"/>
      <w:numFmt w:val="lowerLetter"/>
      <w:lvlText w:val="%2."/>
      <w:lvlJc w:val="left"/>
      <w:pPr>
        <w:ind w:left="1440" w:hanging="360"/>
      </w:pPr>
    </w:lvl>
    <w:lvl w:ilvl="2" w:tplc="04250005" w:tentative="1">
      <w:start w:val="1"/>
      <w:numFmt w:val="lowerRoman"/>
      <w:lvlText w:val="%3."/>
      <w:lvlJc w:val="right"/>
      <w:pPr>
        <w:ind w:left="2160" w:hanging="180"/>
      </w:pPr>
    </w:lvl>
    <w:lvl w:ilvl="3" w:tplc="04250001" w:tentative="1">
      <w:start w:val="1"/>
      <w:numFmt w:val="decimal"/>
      <w:lvlText w:val="%4."/>
      <w:lvlJc w:val="left"/>
      <w:pPr>
        <w:ind w:left="2880" w:hanging="360"/>
      </w:pPr>
    </w:lvl>
    <w:lvl w:ilvl="4" w:tplc="04250003" w:tentative="1">
      <w:start w:val="1"/>
      <w:numFmt w:val="lowerLetter"/>
      <w:lvlText w:val="%5."/>
      <w:lvlJc w:val="left"/>
      <w:pPr>
        <w:ind w:left="3600" w:hanging="360"/>
      </w:pPr>
    </w:lvl>
    <w:lvl w:ilvl="5" w:tplc="04250005" w:tentative="1">
      <w:start w:val="1"/>
      <w:numFmt w:val="lowerRoman"/>
      <w:lvlText w:val="%6."/>
      <w:lvlJc w:val="right"/>
      <w:pPr>
        <w:ind w:left="4320" w:hanging="180"/>
      </w:pPr>
    </w:lvl>
    <w:lvl w:ilvl="6" w:tplc="04250001" w:tentative="1">
      <w:start w:val="1"/>
      <w:numFmt w:val="decimal"/>
      <w:lvlText w:val="%7."/>
      <w:lvlJc w:val="left"/>
      <w:pPr>
        <w:ind w:left="5040" w:hanging="360"/>
      </w:pPr>
    </w:lvl>
    <w:lvl w:ilvl="7" w:tplc="04250003" w:tentative="1">
      <w:start w:val="1"/>
      <w:numFmt w:val="lowerLetter"/>
      <w:lvlText w:val="%8."/>
      <w:lvlJc w:val="left"/>
      <w:pPr>
        <w:ind w:left="5760" w:hanging="360"/>
      </w:pPr>
    </w:lvl>
    <w:lvl w:ilvl="8" w:tplc="04250005" w:tentative="1">
      <w:start w:val="1"/>
      <w:numFmt w:val="lowerRoman"/>
      <w:lvlText w:val="%9."/>
      <w:lvlJc w:val="right"/>
      <w:pPr>
        <w:ind w:left="6480" w:hanging="180"/>
      </w:pPr>
    </w:lvl>
  </w:abstractNum>
  <w:abstractNum w:abstractNumId="52">
    <w:nsid w:val="5D4571E9"/>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05481A"/>
    <w:multiLevelType w:val="hybridMultilevel"/>
    <w:tmpl w:val="8424FACE"/>
    <w:lvl w:ilvl="0" w:tplc="53D0A3AE">
      <w:start w:val="1"/>
      <w:numFmt w:val="decimal"/>
      <w:lvlText w:val="%1."/>
      <w:lvlJc w:val="left"/>
      <w:pPr>
        <w:ind w:left="720" w:hanging="360"/>
      </w:pPr>
      <w:rPr>
        <w:rFonts w:hint="default"/>
        <w:b/>
      </w:rPr>
    </w:lvl>
    <w:lvl w:ilvl="1" w:tplc="6ACEEED4" w:tentative="1">
      <w:start w:val="1"/>
      <w:numFmt w:val="lowerLetter"/>
      <w:lvlText w:val="%2."/>
      <w:lvlJc w:val="left"/>
      <w:pPr>
        <w:ind w:left="1440" w:hanging="360"/>
      </w:pPr>
    </w:lvl>
    <w:lvl w:ilvl="2" w:tplc="FBBABB60" w:tentative="1">
      <w:start w:val="1"/>
      <w:numFmt w:val="lowerRoman"/>
      <w:lvlText w:val="%3."/>
      <w:lvlJc w:val="right"/>
      <w:pPr>
        <w:ind w:left="2160" w:hanging="180"/>
      </w:pPr>
    </w:lvl>
    <w:lvl w:ilvl="3" w:tplc="F7EA678A" w:tentative="1">
      <w:start w:val="1"/>
      <w:numFmt w:val="decimal"/>
      <w:lvlText w:val="%4."/>
      <w:lvlJc w:val="left"/>
      <w:pPr>
        <w:ind w:left="2880" w:hanging="360"/>
      </w:pPr>
    </w:lvl>
    <w:lvl w:ilvl="4" w:tplc="8A52E02E" w:tentative="1">
      <w:start w:val="1"/>
      <w:numFmt w:val="lowerLetter"/>
      <w:lvlText w:val="%5."/>
      <w:lvlJc w:val="left"/>
      <w:pPr>
        <w:ind w:left="3600" w:hanging="360"/>
      </w:pPr>
    </w:lvl>
    <w:lvl w:ilvl="5" w:tplc="EE92EECE" w:tentative="1">
      <w:start w:val="1"/>
      <w:numFmt w:val="lowerRoman"/>
      <w:lvlText w:val="%6."/>
      <w:lvlJc w:val="right"/>
      <w:pPr>
        <w:ind w:left="4320" w:hanging="180"/>
      </w:pPr>
    </w:lvl>
    <w:lvl w:ilvl="6" w:tplc="DED2B8C8" w:tentative="1">
      <w:start w:val="1"/>
      <w:numFmt w:val="decimal"/>
      <w:lvlText w:val="%7."/>
      <w:lvlJc w:val="left"/>
      <w:pPr>
        <w:ind w:left="5040" w:hanging="360"/>
      </w:pPr>
    </w:lvl>
    <w:lvl w:ilvl="7" w:tplc="5A9C90A8" w:tentative="1">
      <w:start w:val="1"/>
      <w:numFmt w:val="lowerLetter"/>
      <w:lvlText w:val="%8."/>
      <w:lvlJc w:val="left"/>
      <w:pPr>
        <w:ind w:left="5760" w:hanging="360"/>
      </w:pPr>
    </w:lvl>
    <w:lvl w:ilvl="8" w:tplc="E4145660" w:tentative="1">
      <w:start w:val="1"/>
      <w:numFmt w:val="lowerRoman"/>
      <w:lvlText w:val="%9."/>
      <w:lvlJc w:val="right"/>
      <w:pPr>
        <w:ind w:left="6480" w:hanging="180"/>
      </w:pPr>
    </w:lvl>
  </w:abstractNum>
  <w:abstractNum w:abstractNumId="54">
    <w:nsid w:val="61A67762"/>
    <w:multiLevelType w:val="hybridMultilevel"/>
    <w:tmpl w:val="92E6082E"/>
    <w:lvl w:ilvl="0" w:tplc="ABCAEC22">
      <w:start w:val="1"/>
      <w:numFmt w:val="bullet"/>
      <w:lvlText w:val=""/>
      <w:lvlJc w:val="left"/>
      <w:pPr>
        <w:ind w:left="768" w:hanging="360"/>
      </w:pPr>
      <w:rPr>
        <w:rFonts w:ascii="Symbol" w:hAnsi="Symbol" w:hint="default"/>
      </w:rPr>
    </w:lvl>
    <w:lvl w:ilvl="1" w:tplc="04250019" w:tentative="1">
      <w:start w:val="1"/>
      <w:numFmt w:val="bullet"/>
      <w:lvlText w:val="o"/>
      <w:lvlJc w:val="left"/>
      <w:pPr>
        <w:ind w:left="1488" w:hanging="360"/>
      </w:pPr>
      <w:rPr>
        <w:rFonts w:ascii="Courier New" w:hAnsi="Courier New" w:cs="Courier New" w:hint="default"/>
      </w:rPr>
    </w:lvl>
    <w:lvl w:ilvl="2" w:tplc="0425001B" w:tentative="1">
      <w:start w:val="1"/>
      <w:numFmt w:val="bullet"/>
      <w:lvlText w:val=""/>
      <w:lvlJc w:val="left"/>
      <w:pPr>
        <w:ind w:left="2208" w:hanging="360"/>
      </w:pPr>
      <w:rPr>
        <w:rFonts w:ascii="Wingdings" w:hAnsi="Wingdings" w:hint="default"/>
      </w:rPr>
    </w:lvl>
    <w:lvl w:ilvl="3" w:tplc="0425000F" w:tentative="1">
      <w:start w:val="1"/>
      <w:numFmt w:val="bullet"/>
      <w:lvlText w:val=""/>
      <w:lvlJc w:val="left"/>
      <w:pPr>
        <w:ind w:left="2928" w:hanging="360"/>
      </w:pPr>
      <w:rPr>
        <w:rFonts w:ascii="Symbol" w:hAnsi="Symbol" w:hint="default"/>
      </w:rPr>
    </w:lvl>
    <w:lvl w:ilvl="4" w:tplc="04250019" w:tentative="1">
      <w:start w:val="1"/>
      <w:numFmt w:val="bullet"/>
      <w:lvlText w:val="o"/>
      <w:lvlJc w:val="left"/>
      <w:pPr>
        <w:ind w:left="3648" w:hanging="360"/>
      </w:pPr>
      <w:rPr>
        <w:rFonts w:ascii="Courier New" w:hAnsi="Courier New" w:cs="Courier New" w:hint="default"/>
      </w:rPr>
    </w:lvl>
    <w:lvl w:ilvl="5" w:tplc="0425001B" w:tentative="1">
      <w:start w:val="1"/>
      <w:numFmt w:val="bullet"/>
      <w:lvlText w:val=""/>
      <w:lvlJc w:val="left"/>
      <w:pPr>
        <w:ind w:left="4368" w:hanging="360"/>
      </w:pPr>
      <w:rPr>
        <w:rFonts w:ascii="Wingdings" w:hAnsi="Wingdings" w:hint="default"/>
      </w:rPr>
    </w:lvl>
    <w:lvl w:ilvl="6" w:tplc="0425000F" w:tentative="1">
      <w:start w:val="1"/>
      <w:numFmt w:val="bullet"/>
      <w:lvlText w:val=""/>
      <w:lvlJc w:val="left"/>
      <w:pPr>
        <w:ind w:left="5088" w:hanging="360"/>
      </w:pPr>
      <w:rPr>
        <w:rFonts w:ascii="Symbol" w:hAnsi="Symbol" w:hint="default"/>
      </w:rPr>
    </w:lvl>
    <w:lvl w:ilvl="7" w:tplc="04250019" w:tentative="1">
      <w:start w:val="1"/>
      <w:numFmt w:val="bullet"/>
      <w:lvlText w:val="o"/>
      <w:lvlJc w:val="left"/>
      <w:pPr>
        <w:ind w:left="5808" w:hanging="360"/>
      </w:pPr>
      <w:rPr>
        <w:rFonts w:ascii="Courier New" w:hAnsi="Courier New" w:cs="Courier New" w:hint="default"/>
      </w:rPr>
    </w:lvl>
    <w:lvl w:ilvl="8" w:tplc="0425001B" w:tentative="1">
      <w:start w:val="1"/>
      <w:numFmt w:val="bullet"/>
      <w:lvlText w:val=""/>
      <w:lvlJc w:val="left"/>
      <w:pPr>
        <w:ind w:left="6528" w:hanging="360"/>
      </w:pPr>
      <w:rPr>
        <w:rFonts w:ascii="Wingdings" w:hAnsi="Wingdings" w:hint="default"/>
      </w:rPr>
    </w:lvl>
  </w:abstractNum>
  <w:abstractNum w:abstractNumId="55">
    <w:nsid w:val="633A64E0"/>
    <w:multiLevelType w:val="hybridMultilevel"/>
    <w:tmpl w:val="FD2E85F0"/>
    <w:lvl w:ilvl="0" w:tplc="04250001">
      <w:start w:val="1"/>
      <w:numFmt w:val="bullet"/>
      <w:pStyle w:val="List"/>
      <w:lvlText w:val=""/>
      <w:lvlJc w:val="left"/>
      <w:pPr>
        <w:ind w:left="1437" w:hanging="360"/>
      </w:pPr>
      <w:rPr>
        <w:rFonts w:ascii="Symbol" w:hAnsi="Symbol" w:hint="default"/>
      </w:rPr>
    </w:lvl>
    <w:lvl w:ilvl="1" w:tplc="04250003">
      <w:start w:val="1"/>
      <w:numFmt w:val="bullet"/>
      <w:lvlText w:val="o"/>
      <w:lvlJc w:val="left"/>
      <w:pPr>
        <w:ind w:left="2157" w:hanging="360"/>
      </w:pPr>
      <w:rPr>
        <w:rFonts w:ascii="Courier New" w:hAnsi="Courier New" w:hint="default"/>
      </w:rPr>
    </w:lvl>
    <w:lvl w:ilvl="2" w:tplc="04250005" w:tentative="1">
      <w:start w:val="1"/>
      <w:numFmt w:val="bullet"/>
      <w:lvlText w:val=""/>
      <w:lvlJc w:val="left"/>
      <w:pPr>
        <w:ind w:left="2877" w:hanging="360"/>
      </w:pPr>
      <w:rPr>
        <w:rFonts w:ascii="Wingdings" w:hAnsi="Wingdings" w:hint="default"/>
      </w:rPr>
    </w:lvl>
    <w:lvl w:ilvl="3" w:tplc="04250001" w:tentative="1">
      <w:start w:val="1"/>
      <w:numFmt w:val="bullet"/>
      <w:lvlText w:val=""/>
      <w:lvlJc w:val="left"/>
      <w:pPr>
        <w:ind w:left="3597" w:hanging="360"/>
      </w:pPr>
      <w:rPr>
        <w:rFonts w:ascii="Symbol" w:hAnsi="Symbol" w:hint="default"/>
      </w:rPr>
    </w:lvl>
    <w:lvl w:ilvl="4" w:tplc="04250003" w:tentative="1">
      <w:start w:val="1"/>
      <w:numFmt w:val="bullet"/>
      <w:lvlText w:val="o"/>
      <w:lvlJc w:val="left"/>
      <w:pPr>
        <w:ind w:left="4317" w:hanging="360"/>
      </w:pPr>
      <w:rPr>
        <w:rFonts w:ascii="Courier New" w:hAnsi="Courier New" w:hint="default"/>
      </w:rPr>
    </w:lvl>
    <w:lvl w:ilvl="5" w:tplc="04250005" w:tentative="1">
      <w:start w:val="1"/>
      <w:numFmt w:val="bullet"/>
      <w:lvlText w:val=""/>
      <w:lvlJc w:val="left"/>
      <w:pPr>
        <w:ind w:left="5037" w:hanging="360"/>
      </w:pPr>
      <w:rPr>
        <w:rFonts w:ascii="Wingdings" w:hAnsi="Wingdings" w:hint="default"/>
      </w:rPr>
    </w:lvl>
    <w:lvl w:ilvl="6" w:tplc="04250001" w:tentative="1">
      <w:start w:val="1"/>
      <w:numFmt w:val="bullet"/>
      <w:lvlText w:val=""/>
      <w:lvlJc w:val="left"/>
      <w:pPr>
        <w:ind w:left="5757" w:hanging="360"/>
      </w:pPr>
      <w:rPr>
        <w:rFonts w:ascii="Symbol" w:hAnsi="Symbol" w:hint="default"/>
      </w:rPr>
    </w:lvl>
    <w:lvl w:ilvl="7" w:tplc="04250003" w:tentative="1">
      <w:start w:val="1"/>
      <w:numFmt w:val="bullet"/>
      <w:lvlText w:val="o"/>
      <w:lvlJc w:val="left"/>
      <w:pPr>
        <w:ind w:left="6477" w:hanging="360"/>
      </w:pPr>
      <w:rPr>
        <w:rFonts w:ascii="Courier New" w:hAnsi="Courier New" w:hint="default"/>
      </w:rPr>
    </w:lvl>
    <w:lvl w:ilvl="8" w:tplc="04250005" w:tentative="1">
      <w:start w:val="1"/>
      <w:numFmt w:val="bullet"/>
      <w:lvlText w:val=""/>
      <w:lvlJc w:val="left"/>
      <w:pPr>
        <w:ind w:left="7197" w:hanging="360"/>
      </w:pPr>
      <w:rPr>
        <w:rFonts w:ascii="Wingdings" w:hAnsi="Wingdings" w:hint="default"/>
      </w:rPr>
    </w:lvl>
  </w:abstractNum>
  <w:abstractNum w:abstractNumId="56">
    <w:nsid w:val="66B60EBC"/>
    <w:multiLevelType w:val="multilevel"/>
    <w:tmpl w:val="F4EA414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7545357"/>
    <w:multiLevelType w:val="multilevel"/>
    <w:tmpl w:val="5936C4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75C7FA1"/>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8A02136"/>
    <w:multiLevelType w:val="hybridMultilevel"/>
    <w:tmpl w:val="AD88CC0C"/>
    <w:lvl w:ilvl="0" w:tplc="FB52FF60">
      <w:start w:val="1"/>
      <w:numFmt w:val="bullet"/>
      <w:lvlText w:val=""/>
      <w:lvlJc w:val="left"/>
      <w:pPr>
        <w:ind w:left="720" w:hanging="360"/>
      </w:pPr>
      <w:rPr>
        <w:rFonts w:ascii="Symbol" w:hAnsi="Symbol" w:hint="default"/>
        <w:b/>
      </w:rPr>
    </w:lvl>
    <w:lvl w:ilvl="1" w:tplc="D444DC9C">
      <w:start w:val="1"/>
      <w:numFmt w:val="lowerLetter"/>
      <w:lvlText w:val="%2."/>
      <w:lvlJc w:val="left"/>
      <w:pPr>
        <w:ind w:left="1440" w:hanging="360"/>
      </w:pPr>
    </w:lvl>
    <w:lvl w:ilvl="2" w:tplc="E0D861BA" w:tentative="1">
      <w:start w:val="1"/>
      <w:numFmt w:val="lowerRoman"/>
      <w:lvlText w:val="%3."/>
      <w:lvlJc w:val="right"/>
      <w:pPr>
        <w:ind w:left="2160" w:hanging="180"/>
      </w:pPr>
    </w:lvl>
    <w:lvl w:ilvl="3" w:tplc="7EA62A72" w:tentative="1">
      <w:start w:val="1"/>
      <w:numFmt w:val="decimal"/>
      <w:lvlText w:val="%4."/>
      <w:lvlJc w:val="left"/>
      <w:pPr>
        <w:ind w:left="2880" w:hanging="360"/>
      </w:pPr>
    </w:lvl>
    <w:lvl w:ilvl="4" w:tplc="C57CD01A" w:tentative="1">
      <w:start w:val="1"/>
      <w:numFmt w:val="lowerLetter"/>
      <w:lvlText w:val="%5."/>
      <w:lvlJc w:val="left"/>
      <w:pPr>
        <w:ind w:left="3600" w:hanging="360"/>
      </w:pPr>
    </w:lvl>
    <w:lvl w:ilvl="5" w:tplc="09729C42" w:tentative="1">
      <w:start w:val="1"/>
      <w:numFmt w:val="lowerRoman"/>
      <w:lvlText w:val="%6."/>
      <w:lvlJc w:val="right"/>
      <w:pPr>
        <w:ind w:left="4320" w:hanging="180"/>
      </w:pPr>
    </w:lvl>
    <w:lvl w:ilvl="6" w:tplc="F4F26BB0" w:tentative="1">
      <w:start w:val="1"/>
      <w:numFmt w:val="decimal"/>
      <w:lvlText w:val="%7."/>
      <w:lvlJc w:val="left"/>
      <w:pPr>
        <w:ind w:left="5040" w:hanging="360"/>
      </w:pPr>
    </w:lvl>
    <w:lvl w:ilvl="7" w:tplc="DE1A4A04" w:tentative="1">
      <w:start w:val="1"/>
      <w:numFmt w:val="lowerLetter"/>
      <w:lvlText w:val="%8."/>
      <w:lvlJc w:val="left"/>
      <w:pPr>
        <w:ind w:left="5760" w:hanging="360"/>
      </w:pPr>
    </w:lvl>
    <w:lvl w:ilvl="8" w:tplc="F35CBF1C" w:tentative="1">
      <w:start w:val="1"/>
      <w:numFmt w:val="lowerRoman"/>
      <w:lvlText w:val="%9."/>
      <w:lvlJc w:val="right"/>
      <w:pPr>
        <w:ind w:left="6480" w:hanging="180"/>
      </w:pPr>
    </w:lvl>
  </w:abstractNum>
  <w:abstractNum w:abstractNumId="60">
    <w:nsid w:val="697A3763"/>
    <w:multiLevelType w:val="multilevel"/>
    <w:tmpl w:val="BCB28B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6A9F347C"/>
    <w:multiLevelType w:val="multilevel"/>
    <w:tmpl w:val="298077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D3A1D8F"/>
    <w:multiLevelType w:val="hybridMultilevel"/>
    <w:tmpl w:val="519AE970"/>
    <w:lvl w:ilvl="0" w:tplc="9F68E260">
      <w:start w:val="1"/>
      <w:numFmt w:val="bullet"/>
      <w:lvlText w:val="o"/>
      <w:lvlJc w:val="left"/>
      <w:pPr>
        <w:ind w:left="1512" w:hanging="360"/>
      </w:pPr>
      <w:rPr>
        <w:rFonts w:ascii="Courier New" w:hAnsi="Courier New" w:cs="Courier New" w:hint="default"/>
      </w:rPr>
    </w:lvl>
    <w:lvl w:ilvl="1" w:tplc="3634DE30" w:tentative="1">
      <w:start w:val="1"/>
      <w:numFmt w:val="bullet"/>
      <w:lvlText w:val="o"/>
      <w:lvlJc w:val="left"/>
      <w:pPr>
        <w:ind w:left="2232" w:hanging="360"/>
      </w:pPr>
      <w:rPr>
        <w:rFonts w:ascii="Courier New" w:hAnsi="Courier New" w:cs="Courier New" w:hint="default"/>
      </w:rPr>
    </w:lvl>
    <w:lvl w:ilvl="2" w:tplc="8BFA610A" w:tentative="1">
      <w:start w:val="1"/>
      <w:numFmt w:val="bullet"/>
      <w:lvlText w:val=""/>
      <w:lvlJc w:val="left"/>
      <w:pPr>
        <w:ind w:left="2952" w:hanging="360"/>
      </w:pPr>
      <w:rPr>
        <w:rFonts w:ascii="Wingdings" w:hAnsi="Wingdings" w:hint="default"/>
      </w:rPr>
    </w:lvl>
    <w:lvl w:ilvl="3" w:tplc="42286AC6" w:tentative="1">
      <w:start w:val="1"/>
      <w:numFmt w:val="bullet"/>
      <w:lvlText w:val=""/>
      <w:lvlJc w:val="left"/>
      <w:pPr>
        <w:ind w:left="3672" w:hanging="360"/>
      </w:pPr>
      <w:rPr>
        <w:rFonts w:ascii="Symbol" w:hAnsi="Symbol" w:hint="default"/>
      </w:rPr>
    </w:lvl>
    <w:lvl w:ilvl="4" w:tplc="D0B2CF50" w:tentative="1">
      <w:start w:val="1"/>
      <w:numFmt w:val="bullet"/>
      <w:lvlText w:val="o"/>
      <w:lvlJc w:val="left"/>
      <w:pPr>
        <w:ind w:left="4392" w:hanging="360"/>
      </w:pPr>
      <w:rPr>
        <w:rFonts w:ascii="Courier New" w:hAnsi="Courier New" w:cs="Courier New" w:hint="default"/>
      </w:rPr>
    </w:lvl>
    <w:lvl w:ilvl="5" w:tplc="B5B8E4AA" w:tentative="1">
      <w:start w:val="1"/>
      <w:numFmt w:val="bullet"/>
      <w:lvlText w:val=""/>
      <w:lvlJc w:val="left"/>
      <w:pPr>
        <w:ind w:left="5112" w:hanging="360"/>
      </w:pPr>
      <w:rPr>
        <w:rFonts w:ascii="Wingdings" w:hAnsi="Wingdings" w:hint="default"/>
      </w:rPr>
    </w:lvl>
    <w:lvl w:ilvl="6" w:tplc="149AA8D4" w:tentative="1">
      <w:start w:val="1"/>
      <w:numFmt w:val="bullet"/>
      <w:lvlText w:val=""/>
      <w:lvlJc w:val="left"/>
      <w:pPr>
        <w:ind w:left="5832" w:hanging="360"/>
      </w:pPr>
      <w:rPr>
        <w:rFonts w:ascii="Symbol" w:hAnsi="Symbol" w:hint="default"/>
      </w:rPr>
    </w:lvl>
    <w:lvl w:ilvl="7" w:tplc="6C3A4C52" w:tentative="1">
      <w:start w:val="1"/>
      <w:numFmt w:val="bullet"/>
      <w:lvlText w:val="o"/>
      <w:lvlJc w:val="left"/>
      <w:pPr>
        <w:ind w:left="6552" w:hanging="360"/>
      </w:pPr>
      <w:rPr>
        <w:rFonts w:ascii="Courier New" w:hAnsi="Courier New" w:cs="Courier New" w:hint="default"/>
      </w:rPr>
    </w:lvl>
    <w:lvl w:ilvl="8" w:tplc="570CFAA4" w:tentative="1">
      <w:start w:val="1"/>
      <w:numFmt w:val="bullet"/>
      <w:lvlText w:val=""/>
      <w:lvlJc w:val="left"/>
      <w:pPr>
        <w:ind w:left="7272" w:hanging="360"/>
      </w:pPr>
      <w:rPr>
        <w:rFonts w:ascii="Wingdings" w:hAnsi="Wingdings" w:hint="default"/>
      </w:rPr>
    </w:lvl>
  </w:abstractNum>
  <w:abstractNum w:abstractNumId="63">
    <w:nsid w:val="6E0D43B9"/>
    <w:multiLevelType w:val="multilevel"/>
    <w:tmpl w:val="5936C4A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E64535C"/>
    <w:multiLevelType w:val="multilevel"/>
    <w:tmpl w:val="C63433F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F73610B"/>
    <w:multiLevelType w:val="hybridMultilevel"/>
    <w:tmpl w:val="5986F1AC"/>
    <w:lvl w:ilvl="0" w:tplc="8A80D3DC">
      <w:start w:val="1"/>
      <w:numFmt w:val="bullet"/>
      <w:lvlText w:val=""/>
      <w:lvlJc w:val="left"/>
      <w:pPr>
        <w:ind w:left="720" w:hanging="360"/>
      </w:pPr>
      <w:rPr>
        <w:rFonts w:ascii="Symbol" w:hAnsi="Symbol" w:hint="default"/>
      </w:rPr>
    </w:lvl>
    <w:lvl w:ilvl="1" w:tplc="2BE0B65C" w:tentative="1">
      <w:start w:val="1"/>
      <w:numFmt w:val="bullet"/>
      <w:lvlText w:val="o"/>
      <w:lvlJc w:val="left"/>
      <w:pPr>
        <w:ind w:left="1440" w:hanging="360"/>
      </w:pPr>
      <w:rPr>
        <w:rFonts w:ascii="Courier New" w:hAnsi="Courier New" w:cs="Courier New" w:hint="default"/>
      </w:rPr>
    </w:lvl>
    <w:lvl w:ilvl="2" w:tplc="8152884A" w:tentative="1">
      <w:start w:val="1"/>
      <w:numFmt w:val="bullet"/>
      <w:lvlText w:val=""/>
      <w:lvlJc w:val="left"/>
      <w:pPr>
        <w:ind w:left="2160" w:hanging="360"/>
      </w:pPr>
      <w:rPr>
        <w:rFonts w:ascii="Wingdings" w:hAnsi="Wingdings" w:hint="default"/>
      </w:rPr>
    </w:lvl>
    <w:lvl w:ilvl="3" w:tplc="F9D28F94" w:tentative="1">
      <w:start w:val="1"/>
      <w:numFmt w:val="bullet"/>
      <w:lvlText w:val=""/>
      <w:lvlJc w:val="left"/>
      <w:pPr>
        <w:ind w:left="2880" w:hanging="360"/>
      </w:pPr>
      <w:rPr>
        <w:rFonts w:ascii="Symbol" w:hAnsi="Symbol" w:hint="default"/>
      </w:rPr>
    </w:lvl>
    <w:lvl w:ilvl="4" w:tplc="BB505D44" w:tentative="1">
      <w:start w:val="1"/>
      <w:numFmt w:val="bullet"/>
      <w:lvlText w:val="o"/>
      <w:lvlJc w:val="left"/>
      <w:pPr>
        <w:ind w:left="3600" w:hanging="360"/>
      </w:pPr>
      <w:rPr>
        <w:rFonts w:ascii="Courier New" w:hAnsi="Courier New" w:cs="Courier New" w:hint="default"/>
      </w:rPr>
    </w:lvl>
    <w:lvl w:ilvl="5" w:tplc="628E3990" w:tentative="1">
      <w:start w:val="1"/>
      <w:numFmt w:val="bullet"/>
      <w:lvlText w:val=""/>
      <w:lvlJc w:val="left"/>
      <w:pPr>
        <w:ind w:left="4320" w:hanging="360"/>
      </w:pPr>
      <w:rPr>
        <w:rFonts w:ascii="Wingdings" w:hAnsi="Wingdings" w:hint="default"/>
      </w:rPr>
    </w:lvl>
    <w:lvl w:ilvl="6" w:tplc="CED20D64" w:tentative="1">
      <w:start w:val="1"/>
      <w:numFmt w:val="bullet"/>
      <w:lvlText w:val=""/>
      <w:lvlJc w:val="left"/>
      <w:pPr>
        <w:ind w:left="5040" w:hanging="360"/>
      </w:pPr>
      <w:rPr>
        <w:rFonts w:ascii="Symbol" w:hAnsi="Symbol" w:hint="default"/>
      </w:rPr>
    </w:lvl>
    <w:lvl w:ilvl="7" w:tplc="12E89B14" w:tentative="1">
      <w:start w:val="1"/>
      <w:numFmt w:val="bullet"/>
      <w:lvlText w:val="o"/>
      <w:lvlJc w:val="left"/>
      <w:pPr>
        <w:ind w:left="5760" w:hanging="360"/>
      </w:pPr>
      <w:rPr>
        <w:rFonts w:ascii="Courier New" w:hAnsi="Courier New" w:cs="Courier New" w:hint="default"/>
      </w:rPr>
    </w:lvl>
    <w:lvl w:ilvl="8" w:tplc="EF9A94A6" w:tentative="1">
      <w:start w:val="1"/>
      <w:numFmt w:val="bullet"/>
      <w:lvlText w:val=""/>
      <w:lvlJc w:val="left"/>
      <w:pPr>
        <w:ind w:left="6480" w:hanging="360"/>
      </w:pPr>
      <w:rPr>
        <w:rFonts w:ascii="Wingdings" w:hAnsi="Wingdings" w:hint="default"/>
      </w:rPr>
    </w:lvl>
  </w:abstractNum>
  <w:abstractNum w:abstractNumId="66">
    <w:nsid w:val="70303CEA"/>
    <w:multiLevelType w:val="multilevel"/>
    <w:tmpl w:val="298077C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0D61E5D"/>
    <w:multiLevelType w:val="multilevel"/>
    <w:tmpl w:val="F4EA4140"/>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6057D88"/>
    <w:multiLevelType w:val="hybridMultilevel"/>
    <w:tmpl w:val="366C226A"/>
    <w:lvl w:ilvl="0" w:tplc="04250001">
      <w:start w:val="1"/>
      <w:numFmt w:val="decimal"/>
      <w:pStyle w:val="4Pealkiri"/>
      <w:lvlText w:val="1.1.1.%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250003" w:tentative="1">
      <w:start w:val="1"/>
      <w:numFmt w:val="lowerLetter"/>
      <w:lvlText w:val="%2."/>
      <w:lvlJc w:val="left"/>
      <w:pPr>
        <w:ind w:left="1080" w:hanging="360"/>
      </w:pPr>
      <w:rPr>
        <w:rFonts w:cs="Times New Roman"/>
      </w:rPr>
    </w:lvl>
    <w:lvl w:ilvl="2" w:tplc="04250005" w:tentative="1">
      <w:start w:val="1"/>
      <w:numFmt w:val="lowerRoman"/>
      <w:lvlText w:val="%3."/>
      <w:lvlJc w:val="right"/>
      <w:pPr>
        <w:ind w:left="1800" w:hanging="180"/>
      </w:pPr>
      <w:rPr>
        <w:rFonts w:cs="Times New Roman"/>
      </w:rPr>
    </w:lvl>
    <w:lvl w:ilvl="3" w:tplc="04250001" w:tentative="1">
      <w:start w:val="1"/>
      <w:numFmt w:val="decimal"/>
      <w:lvlText w:val="%4."/>
      <w:lvlJc w:val="left"/>
      <w:pPr>
        <w:ind w:left="2520" w:hanging="360"/>
      </w:pPr>
      <w:rPr>
        <w:rFonts w:cs="Times New Roman"/>
      </w:rPr>
    </w:lvl>
    <w:lvl w:ilvl="4" w:tplc="04250003" w:tentative="1">
      <w:start w:val="1"/>
      <w:numFmt w:val="lowerLetter"/>
      <w:lvlText w:val="%5."/>
      <w:lvlJc w:val="left"/>
      <w:pPr>
        <w:ind w:left="3240" w:hanging="360"/>
      </w:pPr>
      <w:rPr>
        <w:rFonts w:cs="Times New Roman"/>
      </w:rPr>
    </w:lvl>
    <w:lvl w:ilvl="5" w:tplc="04250005" w:tentative="1">
      <w:start w:val="1"/>
      <w:numFmt w:val="lowerRoman"/>
      <w:lvlText w:val="%6."/>
      <w:lvlJc w:val="right"/>
      <w:pPr>
        <w:ind w:left="3960" w:hanging="180"/>
      </w:pPr>
      <w:rPr>
        <w:rFonts w:cs="Times New Roman"/>
      </w:rPr>
    </w:lvl>
    <w:lvl w:ilvl="6" w:tplc="04250001" w:tentative="1">
      <w:start w:val="1"/>
      <w:numFmt w:val="decimal"/>
      <w:lvlText w:val="%7."/>
      <w:lvlJc w:val="left"/>
      <w:pPr>
        <w:ind w:left="4680" w:hanging="360"/>
      </w:pPr>
      <w:rPr>
        <w:rFonts w:cs="Times New Roman"/>
      </w:rPr>
    </w:lvl>
    <w:lvl w:ilvl="7" w:tplc="04250003" w:tentative="1">
      <w:start w:val="1"/>
      <w:numFmt w:val="lowerLetter"/>
      <w:lvlText w:val="%8."/>
      <w:lvlJc w:val="left"/>
      <w:pPr>
        <w:ind w:left="5400" w:hanging="360"/>
      </w:pPr>
      <w:rPr>
        <w:rFonts w:cs="Times New Roman"/>
      </w:rPr>
    </w:lvl>
    <w:lvl w:ilvl="8" w:tplc="04250005" w:tentative="1">
      <w:start w:val="1"/>
      <w:numFmt w:val="lowerRoman"/>
      <w:lvlText w:val="%9."/>
      <w:lvlJc w:val="right"/>
      <w:pPr>
        <w:ind w:left="6120" w:hanging="180"/>
      </w:pPr>
      <w:rPr>
        <w:rFonts w:cs="Times New Roman"/>
      </w:rPr>
    </w:lvl>
  </w:abstractNum>
  <w:abstractNum w:abstractNumId="69">
    <w:nsid w:val="76696E74"/>
    <w:multiLevelType w:val="hybridMultilevel"/>
    <w:tmpl w:val="8C82D80A"/>
    <w:lvl w:ilvl="0" w:tplc="0425000F">
      <w:start w:val="1"/>
      <w:numFmt w:val="decimal"/>
      <w:lvlText w:val="%1."/>
      <w:lvlJc w:val="left"/>
      <w:pPr>
        <w:ind w:left="1077" w:hanging="360"/>
      </w:pPr>
    </w:lvl>
    <w:lvl w:ilvl="1" w:tplc="04250019" w:tentative="1">
      <w:start w:val="1"/>
      <w:numFmt w:val="lowerLetter"/>
      <w:lvlText w:val="%2."/>
      <w:lvlJc w:val="left"/>
      <w:pPr>
        <w:ind w:left="1797" w:hanging="360"/>
      </w:pPr>
    </w:lvl>
    <w:lvl w:ilvl="2" w:tplc="0425001B" w:tentative="1">
      <w:start w:val="1"/>
      <w:numFmt w:val="lowerRoman"/>
      <w:lvlText w:val="%3."/>
      <w:lvlJc w:val="right"/>
      <w:pPr>
        <w:ind w:left="2517" w:hanging="180"/>
      </w:pPr>
    </w:lvl>
    <w:lvl w:ilvl="3" w:tplc="0425000F" w:tentative="1">
      <w:start w:val="1"/>
      <w:numFmt w:val="decimal"/>
      <w:lvlText w:val="%4."/>
      <w:lvlJc w:val="left"/>
      <w:pPr>
        <w:ind w:left="3237" w:hanging="360"/>
      </w:pPr>
    </w:lvl>
    <w:lvl w:ilvl="4" w:tplc="04250019" w:tentative="1">
      <w:start w:val="1"/>
      <w:numFmt w:val="lowerLetter"/>
      <w:lvlText w:val="%5."/>
      <w:lvlJc w:val="left"/>
      <w:pPr>
        <w:ind w:left="3957" w:hanging="360"/>
      </w:pPr>
    </w:lvl>
    <w:lvl w:ilvl="5" w:tplc="0425001B" w:tentative="1">
      <w:start w:val="1"/>
      <w:numFmt w:val="lowerRoman"/>
      <w:lvlText w:val="%6."/>
      <w:lvlJc w:val="right"/>
      <w:pPr>
        <w:ind w:left="4677" w:hanging="180"/>
      </w:pPr>
    </w:lvl>
    <w:lvl w:ilvl="6" w:tplc="0425000F" w:tentative="1">
      <w:start w:val="1"/>
      <w:numFmt w:val="decimal"/>
      <w:lvlText w:val="%7."/>
      <w:lvlJc w:val="left"/>
      <w:pPr>
        <w:ind w:left="5397" w:hanging="360"/>
      </w:pPr>
    </w:lvl>
    <w:lvl w:ilvl="7" w:tplc="04250019" w:tentative="1">
      <w:start w:val="1"/>
      <w:numFmt w:val="lowerLetter"/>
      <w:lvlText w:val="%8."/>
      <w:lvlJc w:val="left"/>
      <w:pPr>
        <w:ind w:left="6117" w:hanging="360"/>
      </w:pPr>
    </w:lvl>
    <w:lvl w:ilvl="8" w:tplc="0425001B" w:tentative="1">
      <w:start w:val="1"/>
      <w:numFmt w:val="lowerRoman"/>
      <w:lvlText w:val="%9."/>
      <w:lvlJc w:val="right"/>
      <w:pPr>
        <w:ind w:left="6837" w:hanging="180"/>
      </w:pPr>
    </w:lvl>
  </w:abstractNum>
  <w:abstractNum w:abstractNumId="70">
    <w:nsid w:val="770954D3"/>
    <w:multiLevelType w:val="multilevel"/>
    <w:tmpl w:val="5F2A392E"/>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A16711A"/>
    <w:multiLevelType w:val="hybridMultilevel"/>
    <w:tmpl w:val="D82A7AD4"/>
    <w:lvl w:ilvl="0" w:tplc="DB4C84E2">
      <w:start w:val="1"/>
      <w:numFmt w:val="decimal"/>
      <w:lvlText w:val="%1)"/>
      <w:lvlJc w:val="left"/>
      <w:pPr>
        <w:ind w:left="1065" w:hanging="360"/>
      </w:pPr>
      <w:rPr>
        <w:rFonts w:hint="default"/>
      </w:rPr>
    </w:lvl>
    <w:lvl w:ilvl="1" w:tplc="04250019">
      <w:start w:val="1"/>
      <w:numFmt w:val="lowerLetter"/>
      <w:lvlText w:val="%2."/>
      <w:lvlJc w:val="left"/>
      <w:pPr>
        <w:ind w:left="1785" w:hanging="360"/>
      </w:pPr>
    </w:lvl>
    <w:lvl w:ilvl="2" w:tplc="A1D0193C">
      <w:start w:val="1"/>
      <w:numFmt w:val="decimal"/>
      <w:lvlText w:val="%3."/>
      <w:lvlJc w:val="left"/>
      <w:pPr>
        <w:ind w:left="2685" w:hanging="360"/>
      </w:pPr>
      <w:rPr>
        <w:rFonts w:hint="default"/>
      </w:r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72">
    <w:nsid w:val="7C661587"/>
    <w:multiLevelType w:val="hybridMultilevel"/>
    <w:tmpl w:val="5DA2758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8"/>
  </w:num>
  <w:num w:numId="2">
    <w:abstractNumId w:val="55"/>
  </w:num>
  <w:num w:numId="3">
    <w:abstractNumId w:val="20"/>
  </w:num>
  <w:num w:numId="4">
    <w:abstractNumId w:val="39"/>
  </w:num>
  <w:num w:numId="5">
    <w:abstractNumId w:val="41"/>
  </w:num>
  <w:num w:numId="6">
    <w:abstractNumId w:val="17"/>
  </w:num>
  <w:num w:numId="7">
    <w:abstractNumId w:val="10"/>
  </w:num>
  <w:num w:numId="8">
    <w:abstractNumId w:val="68"/>
  </w:num>
  <w:num w:numId="9">
    <w:abstractNumId w:val="40"/>
  </w:num>
  <w:num w:numId="10">
    <w:abstractNumId w:val="49"/>
  </w:num>
  <w:num w:numId="11">
    <w:abstractNumId w:val="37"/>
  </w:num>
  <w:num w:numId="12">
    <w:abstractNumId w:val="30"/>
  </w:num>
  <w:num w:numId="13">
    <w:abstractNumId w:val="14"/>
  </w:num>
  <w:num w:numId="14">
    <w:abstractNumId w:val="18"/>
  </w:num>
  <w:num w:numId="15">
    <w:abstractNumId w:val="36"/>
  </w:num>
  <w:num w:numId="16">
    <w:abstractNumId w:val="29"/>
  </w:num>
  <w:num w:numId="17">
    <w:abstractNumId w:val="69"/>
  </w:num>
  <w:num w:numId="18">
    <w:abstractNumId w:val="22"/>
  </w:num>
  <w:num w:numId="19">
    <w:abstractNumId w:val="34"/>
  </w:num>
  <w:num w:numId="20">
    <w:abstractNumId w:val="63"/>
  </w:num>
  <w:num w:numId="21">
    <w:abstractNumId w:val="19"/>
  </w:num>
  <w:num w:numId="22">
    <w:abstractNumId w:val="38"/>
  </w:num>
  <w:num w:numId="23">
    <w:abstractNumId w:val="8"/>
  </w:num>
  <w:num w:numId="24">
    <w:abstractNumId w:val="1"/>
  </w:num>
  <w:num w:numId="25">
    <w:abstractNumId w:val="72"/>
  </w:num>
  <w:num w:numId="26">
    <w:abstractNumId w:val="15"/>
  </w:num>
  <w:num w:numId="27">
    <w:abstractNumId w:val="31"/>
  </w:num>
  <w:num w:numId="28">
    <w:abstractNumId w:val="26"/>
  </w:num>
  <w:num w:numId="29">
    <w:abstractNumId w:val="9"/>
  </w:num>
  <w:num w:numId="30">
    <w:abstractNumId w:val="21"/>
  </w:num>
  <w:num w:numId="31">
    <w:abstractNumId w:val="70"/>
  </w:num>
  <w:num w:numId="32">
    <w:abstractNumId w:val="35"/>
  </w:num>
  <w:num w:numId="33">
    <w:abstractNumId w:val="71"/>
  </w:num>
  <w:num w:numId="34">
    <w:abstractNumId w:val="23"/>
  </w:num>
  <w:num w:numId="35">
    <w:abstractNumId w:val="57"/>
  </w:num>
  <w:num w:numId="36">
    <w:abstractNumId w:val="47"/>
  </w:num>
  <w:num w:numId="37">
    <w:abstractNumId w:val="3"/>
  </w:num>
  <w:num w:numId="38">
    <w:abstractNumId w:val="11"/>
  </w:num>
  <w:num w:numId="39">
    <w:abstractNumId w:val="0"/>
  </w:num>
  <w:num w:numId="40">
    <w:abstractNumId w:val="6"/>
  </w:num>
  <w:num w:numId="41">
    <w:abstractNumId w:val="33"/>
  </w:num>
  <w:num w:numId="42">
    <w:abstractNumId w:val="27"/>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4"/>
  </w:num>
  <w:num w:numId="46">
    <w:abstractNumId w:val="48"/>
  </w:num>
  <w:num w:numId="47">
    <w:abstractNumId w:val="32"/>
  </w:num>
  <w:num w:numId="48">
    <w:abstractNumId w:val="65"/>
  </w:num>
  <w:num w:numId="49">
    <w:abstractNumId w:val="59"/>
  </w:num>
  <w:num w:numId="50">
    <w:abstractNumId w:val="54"/>
  </w:num>
  <w:num w:numId="51">
    <w:abstractNumId w:val="4"/>
  </w:num>
  <w:num w:numId="52">
    <w:abstractNumId w:val="61"/>
  </w:num>
  <w:num w:numId="53">
    <w:abstractNumId w:val="66"/>
  </w:num>
  <w:num w:numId="54">
    <w:abstractNumId w:val="13"/>
  </w:num>
  <w:num w:numId="55">
    <w:abstractNumId w:val="43"/>
  </w:num>
  <w:num w:numId="56">
    <w:abstractNumId w:val="46"/>
  </w:num>
  <w:num w:numId="57">
    <w:abstractNumId w:val="64"/>
  </w:num>
  <w:num w:numId="58">
    <w:abstractNumId w:val="51"/>
  </w:num>
  <w:num w:numId="59">
    <w:abstractNumId w:val="58"/>
  </w:num>
  <w:num w:numId="60">
    <w:abstractNumId w:val="5"/>
  </w:num>
  <w:num w:numId="61">
    <w:abstractNumId w:val="44"/>
  </w:num>
  <w:num w:numId="62">
    <w:abstractNumId w:val="52"/>
  </w:num>
  <w:num w:numId="63">
    <w:abstractNumId w:val="45"/>
  </w:num>
  <w:num w:numId="64">
    <w:abstractNumId w:val="67"/>
  </w:num>
  <w:num w:numId="65">
    <w:abstractNumId w:val="56"/>
  </w:num>
  <w:num w:numId="66">
    <w:abstractNumId w:val="62"/>
  </w:num>
  <w:num w:numId="67">
    <w:abstractNumId w:val="12"/>
  </w:num>
  <w:num w:numId="68">
    <w:abstractNumId w:val="50"/>
  </w:num>
  <w:num w:numId="69">
    <w:abstractNumId w:val="53"/>
  </w:num>
  <w:num w:numId="70">
    <w:abstractNumId w:val="7"/>
  </w:num>
  <w:num w:numId="71">
    <w:abstractNumId w:val="60"/>
  </w:num>
  <w:num w:numId="72">
    <w:abstractNumId w:val="25"/>
  </w:num>
  <w:num w:numId="73">
    <w:abstractNumId w:val="42"/>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grammar="clean"/>
  <w:stylePaneFormatFilter w:val="102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368B4"/>
    <w:rsid w:val="00002B4D"/>
    <w:rsid w:val="000040D7"/>
    <w:rsid w:val="00006B2E"/>
    <w:rsid w:val="000070B6"/>
    <w:rsid w:val="0001180E"/>
    <w:rsid w:val="00013B1D"/>
    <w:rsid w:val="00014B43"/>
    <w:rsid w:val="000161C3"/>
    <w:rsid w:val="00016723"/>
    <w:rsid w:val="00017210"/>
    <w:rsid w:val="00022DCA"/>
    <w:rsid w:val="00025B9E"/>
    <w:rsid w:val="00026482"/>
    <w:rsid w:val="0003324D"/>
    <w:rsid w:val="0003350A"/>
    <w:rsid w:val="00036103"/>
    <w:rsid w:val="000374B3"/>
    <w:rsid w:val="00037D60"/>
    <w:rsid w:val="00042D92"/>
    <w:rsid w:val="00042ED2"/>
    <w:rsid w:val="00045FCB"/>
    <w:rsid w:val="0004607F"/>
    <w:rsid w:val="00050D45"/>
    <w:rsid w:val="00050DF1"/>
    <w:rsid w:val="000564E7"/>
    <w:rsid w:val="0006747C"/>
    <w:rsid w:val="0008128C"/>
    <w:rsid w:val="00082CE0"/>
    <w:rsid w:val="000872C4"/>
    <w:rsid w:val="000873C9"/>
    <w:rsid w:val="00087AFE"/>
    <w:rsid w:val="00087D1C"/>
    <w:rsid w:val="00093804"/>
    <w:rsid w:val="00094EC1"/>
    <w:rsid w:val="0009787B"/>
    <w:rsid w:val="000A109B"/>
    <w:rsid w:val="000A15D9"/>
    <w:rsid w:val="000A2B2C"/>
    <w:rsid w:val="000A532C"/>
    <w:rsid w:val="000A7958"/>
    <w:rsid w:val="000B1318"/>
    <w:rsid w:val="000B43C4"/>
    <w:rsid w:val="000B7A8C"/>
    <w:rsid w:val="000C134A"/>
    <w:rsid w:val="000C3F50"/>
    <w:rsid w:val="000C4E22"/>
    <w:rsid w:val="000C7848"/>
    <w:rsid w:val="000D7FE0"/>
    <w:rsid w:val="000E15F7"/>
    <w:rsid w:val="000E26E5"/>
    <w:rsid w:val="000E5304"/>
    <w:rsid w:val="000E59B3"/>
    <w:rsid w:val="000F0978"/>
    <w:rsid w:val="000F3178"/>
    <w:rsid w:val="000F33C8"/>
    <w:rsid w:val="000F3617"/>
    <w:rsid w:val="000F4498"/>
    <w:rsid w:val="000F5685"/>
    <w:rsid w:val="000F575A"/>
    <w:rsid w:val="00101612"/>
    <w:rsid w:val="001017B9"/>
    <w:rsid w:val="00105224"/>
    <w:rsid w:val="00106B07"/>
    <w:rsid w:val="0010708E"/>
    <w:rsid w:val="00111366"/>
    <w:rsid w:val="00111D27"/>
    <w:rsid w:val="00117794"/>
    <w:rsid w:val="00124539"/>
    <w:rsid w:val="00126C27"/>
    <w:rsid w:val="001277F7"/>
    <w:rsid w:val="00130B96"/>
    <w:rsid w:val="00131159"/>
    <w:rsid w:val="001328CC"/>
    <w:rsid w:val="00145AF8"/>
    <w:rsid w:val="00150713"/>
    <w:rsid w:val="0015306A"/>
    <w:rsid w:val="001548F7"/>
    <w:rsid w:val="0015528F"/>
    <w:rsid w:val="00155CA6"/>
    <w:rsid w:val="00157FCB"/>
    <w:rsid w:val="00161C57"/>
    <w:rsid w:val="00165B7C"/>
    <w:rsid w:val="00171A6F"/>
    <w:rsid w:val="00171A73"/>
    <w:rsid w:val="00175F5E"/>
    <w:rsid w:val="001800A1"/>
    <w:rsid w:val="00182DD1"/>
    <w:rsid w:val="001830B2"/>
    <w:rsid w:val="001861FE"/>
    <w:rsid w:val="00190A17"/>
    <w:rsid w:val="00190D38"/>
    <w:rsid w:val="00191D5A"/>
    <w:rsid w:val="00192049"/>
    <w:rsid w:val="00193309"/>
    <w:rsid w:val="00196467"/>
    <w:rsid w:val="001A1010"/>
    <w:rsid w:val="001A3448"/>
    <w:rsid w:val="001A3689"/>
    <w:rsid w:val="001A3759"/>
    <w:rsid w:val="001A5030"/>
    <w:rsid w:val="001A68C5"/>
    <w:rsid w:val="001A7A4A"/>
    <w:rsid w:val="001B0656"/>
    <w:rsid w:val="001B6551"/>
    <w:rsid w:val="001B7146"/>
    <w:rsid w:val="001B7477"/>
    <w:rsid w:val="001C0095"/>
    <w:rsid w:val="001C34FE"/>
    <w:rsid w:val="001D487B"/>
    <w:rsid w:val="001D5E1C"/>
    <w:rsid w:val="001D7741"/>
    <w:rsid w:val="001F02DD"/>
    <w:rsid w:val="002031AA"/>
    <w:rsid w:val="0020482B"/>
    <w:rsid w:val="00204DC6"/>
    <w:rsid w:val="00206485"/>
    <w:rsid w:val="002064EE"/>
    <w:rsid w:val="00206A32"/>
    <w:rsid w:val="00214500"/>
    <w:rsid w:val="00214713"/>
    <w:rsid w:val="00214E83"/>
    <w:rsid w:val="00217F1E"/>
    <w:rsid w:val="0022136B"/>
    <w:rsid w:val="00222270"/>
    <w:rsid w:val="00224725"/>
    <w:rsid w:val="002247A6"/>
    <w:rsid w:val="00224BA2"/>
    <w:rsid w:val="00225A5C"/>
    <w:rsid w:val="00225F8B"/>
    <w:rsid w:val="00227C08"/>
    <w:rsid w:val="002321EE"/>
    <w:rsid w:val="00233501"/>
    <w:rsid w:val="00235598"/>
    <w:rsid w:val="00240B61"/>
    <w:rsid w:val="00244426"/>
    <w:rsid w:val="00244899"/>
    <w:rsid w:val="00245F22"/>
    <w:rsid w:val="00246E0D"/>
    <w:rsid w:val="002516C8"/>
    <w:rsid w:val="0025193D"/>
    <w:rsid w:val="00252C58"/>
    <w:rsid w:val="00254D89"/>
    <w:rsid w:val="002701A0"/>
    <w:rsid w:val="00272211"/>
    <w:rsid w:val="00277F1F"/>
    <w:rsid w:val="002827CD"/>
    <w:rsid w:val="002829BE"/>
    <w:rsid w:val="00282FAF"/>
    <w:rsid w:val="002835CB"/>
    <w:rsid w:val="0028394D"/>
    <w:rsid w:val="00283F09"/>
    <w:rsid w:val="00286EBE"/>
    <w:rsid w:val="00287AE2"/>
    <w:rsid w:val="00291618"/>
    <w:rsid w:val="0029169B"/>
    <w:rsid w:val="00291CA5"/>
    <w:rsid w:val="002924FD"/>
    <w:rsid w:val="00294D16"/>
    <w:rsid w:val="00296449"/>
    <w:rsid w:val="00296B09"/>
    <w:rsid w:val="002A1AD6"/>
    <w:rsid w:val="002A218B"/>
    <w:rsid w:val="002A5EFE"/>
    <w:rsid w:val="002A6807"/>
    <w:rsid w:val="002A7E15"/>
    <w:rsid w:val="002B3DDC"/>
    <w:rsid w:val="002C3644"/>
    <w:rsid w:val="002C3EE4"/>
    <w:rsid w:val="002C578E"/>
    <w:rsid w:val="002C7292"/>
    <w:rsid w:val="002C7366"/>
    <w:rsid w:val="002D0695"/>
    <w:rsid w:val="002D3CEB"/>
    <w:rsid w:val="002D40CC"/>
    <w:rsid w:val="002E1A84"/>
    <w:rsid w:val="002E227C"/>
    <w:rsid w:val="002E44A2"/>
    <w:rsid w:val="002E51A0"/>
    <w:rsid w:val="002F0C2F"/>
    <w:rsid w:val="002F1DEB"/>
    <w:rsid w:val="002F1EC3"/>
    <w:rsid w:val="002F2E49"/>
    <w:rsid w:val="002F30E9"/>
    <w:rsid w:val="002F3B79"/>
    <w:rsid w:val="002F4668"/>
    <w:rsid w:val="002F4A30"/>
    <w:rsid w:val="00300D68"/>
    <w:rsid w:val="0030194E"/>
    <w:rsid w:val="00306412"/>
    <w:rsid w:val="003068E2"/>
    <w:rsid w:val="0031153F"/>
    <w:rsid w:val="003134A2"/>
    <w:rsid w:val="00313B01"/>
    <w:rsid w:val="00325BF1"/>
    <w:rsid w:val="00325D46"/>
    <w:rsid w:val="003268AC"/>
    <w:rsid w:val="00326A80"/>
    <w:rsid w:val="003342BF"/>
    <w:rsid w:val="003345FE"/>
    <w:rsid w:val="003410E8"/>
    <w:rsid w:val="00341C2F"/>
    <w:rsid w:val="00341FC4"/>
    <w:rsid w:val="0034492A"/>
    <w:rsid w:val="0034626E"/>
    <w:rsid w:val="0034698C"/>
    <w:rsid w:val="003469C1"/>
    <w:rsid w:val="00351253"/>
    <w:rsid w:val="00354B1D"/>
    <w:rsid w:val="00355220"/>
    <w:rsid w:val="00355FB9"/>
    <w:rsid w:val="00356168"/>
    <w:rsid w:val="003608EA"/>
    <w:rsid w:val="00363113"/>
    <w:rsid w:val="00364953"/>
    <w:rsid w:val="00364A85"/>
    <w:rsid w:val="0037089E"/>
    <w:rsid w:val="00373551"/>
    <w:rsid w:val="00373C14"/>
    <w:rsid w:val="00375B68"/>
    <w:rsid w:val="00376B95"/>
    <w:rsid w:val="00377D2C"/>
    <w:rsid w:val="003858FA"/>
    <w:rsid w:val="00390A98"/>
    <w:rsid w:val="00393482"/>
    <w:rsid w:val="00397FD7"/>
    <w:rsid w:val="003A022E"/>
    <w:rsid w:val="003A4885"/>
    <w:rsid w:val="003A5C7A"/>
    <w:rsid w:val="003A6D67"/>
    <w:rsid w:val="003B20EC"/>
    <w:rsid w:val="003B7E1A"/>
    <w:rsid w:val="003C1291"/>
    <w:rsid w:val="003C30C0"/>
    <w:rsid w:val="003C3230"/>
    <w:rsid w:val="003C33DD"/>
    <w:rsid w:val="003C3BE7"/>
    <w:rsid w:val="003D1560"/>
    <w:rsid w:val="003D475D"/>
    <w:rsid w:val="003D7EC1"/>
    <w:rsid w:val="003E2024"/>
    <w:rsid w:val="003E359D"/>
    <w:rsid w:val="003E3702"/>
    <w:rsid w:val="003E47F3"/>
    <w:rsid w:val="003F7342"/>
    <w:rsid w:val="003F7BFF"/>
    <w:rsid w:val="004020CA"/>
    <w:rsid w:val="00405003"/>
    <w:rsid w:val="00415394"/>
    <w:rsid w:val="00416194"/>
    <w:rsid w:val="0041660B"/>
    <w:rsid w:val="0042276B"/>
    <w:rsid w:val="004260E1"/>
    <w:rsid w:val="00432351"/>
    <w:rsid w:val="00434B1C"/>
    <w:rsid w:val="00440350"/>
    <w:rsid w:val="0044558A"/>
    <w:rsid w:val="0044678A"/>
    <w:rsid w:val="00452355"/>
    <w:rsid w:val="00456D23"/>
    <w:rsid w:val="00460542"/>
    <w:rsid w:val="00460647"/>
    <w:rsid w:val="004640E7"/>
    <w:rsid w:val="00467742"/>
    <w:rsid w:val="00471809"/>
    <w:rsid w:val="00473F94"/>
    <w:rsid w:val="00474D36"/>
    <w:rsid w:val="00475835"/>
    <w:rsid w:val="0047711E"/>
    <w:rsid w:val="00477322"/>
    <w:rsid w:val="00484E9E"/>
    <w:rsid w:val="0048675E"/>
    <w:rsid w:val="00487CF5"/>
    <w:rsid w:val="00487EC2"/>
    <w:rsid w:val="004927C2"/>
    <w:rsid w:val="004A1F89"/>
    <w:rsid w:val="004A68A5"/>
    <w:rsid w:val="004A7D33"/>
    <w:rsid w:val="004B010C"/>
    <w:rsid w:val="004B026D"/>
    <w:rsid w:val="004B0D7A"/>
    <w:rsid w:val="004B602B"/>
    <w:rsid w:val="004C3701"/>
    <w:rsid w:val="004C5960"/>
    <w:rsid w:val="004D0BF3"/>
    <w:rsid w:val="004E009A"/>
    <w:rsid w:val="004E4A61"/>
    <w:rsid w:val="004E53F0"/>
    <w:rsid w:val="004F1ED0"/>
    <w:rsid w:val="004F23CF"/>
    <w:rsid w:val="004F4989"/>
    <w:rsid w:val="004F4E8F"/>
    <w:rsid w:val="004F50EF"/>
    <w:rsid w:val="004F5682"/>
    <w:rsid w:val="0050093F"/>
    <w:rsid w:val="00501C45"/>
    <w:rsid w:val="00503D45"/>
    <w:rsid w:val="0050624D"/>
    <w:rsid w:val="00515388"/>
    <w:rsid w:val="0051711C"/>
    <w:rsid w:val="0052093C"/>
    <w:rsid w:val="00524F93"/>
    <w:rsid w:val="00526B7C"/>
    <w:rsid w:val="005341B6"/>
    <w:rsid w:val="005376E8"/>
    <w:rsid w:val="00543270"/>
    <w:rsid w:val="005447F3"/>
    <w:rsid w:val="005458FB"/>
    <w:rsid w:val="00546781"/>
    <w:rsid w:val="005503F9"/>
    <w:rsid w:val="00555024"/>
    <w:rsid w:val="00560CF5"/>
    <w:rsid w:val="005624A4"/>
    <w:rsid w:val="005630A9"/>
    <w:rsid w:val="00567166"/>
    <w:rsid w:val="00567891"/>
    <w:rsid w:val="00567D01"/>
    <w:rsid w:val="00575929"/>
    <w:rsid w:val="005762C9"/>
    <w:rsid w:val="00577CD2"/>
    <w:rsid w:val="00580443"/>
    <w:rsid w:val="00580AD1"/>
    <w:rsid w:val="00582EA4"/>
    <w:rsid w:val="00583618"/>
    <w:rsid w:val="005836A9"/>
    <w:rsid w:val="00584F33"/>
    <w:rsid w:val="00587A47"/>
    <w:rsid w:val="0059027F"/>
    <w:rsid w:val="00590E94"/>
    <w:rsid w:val="005911FC"/>
    <w:rsid w:val="00592B57"/>
    <w:rsid w:val="00593F12"/>
    <w:rsid w:val="00595935"/>
    <w:rsid w:val="00596264"/>
    <w:rsid w:val="005973C2"/>
    <w:rsid w:val="005A2FC1"/>
    <w:rsid w:val="005A4BB5"/>
    <w:rsid w:val="005B05B6"/>
    <w:rsid w:val="005B0860"/>
    <w:rsid w:val="005B166B"/>
    <w:rsid w:val="005B2368"/>
    <w:rsid w:val="005B2CCA"/>
    <w:rsid w:val="005B2CFE"/>
    <w:rsid w:val="005B3156"/>
    <w:rsid w:val="005B5F3E"/>
    <w:rsid w:val="005B69A6"/>
    <w:rsid w:val="005B777A"/>
    <w:rsid w:val="005C0892"/>
    <w:rsid w:val="005C0924"/>
    <w:rsid w:val="005C3E88"/>
    <w:rsid w:val="005C436C"/>
    <w:rsid w:val="005D1539"/>
    <w:rsid w:val="005D49F0"/>
    <w:rsid w:val="005E0388"/>
    <w:rsid w:val="005E7C37"/>
    <w:rsid w:val="005F1F89"/>
    <w:rsid w:val="005F4E0A"/>
    <w:rsid w:val="005F65E0"/>
    <w:rsid w:val="005F7CB0"/>
    <w:rsid w:val="00605428"/>
    <w:rsid w:val="00607A43"/>
    <w:rsid w:val="00607E04"/>
    <w:rsid w:val="006105A3"/>
    <w:rsid w:val="00611B1A"/>
    <w:rsid w:val="00613135"/>
    <w:rsid w:val="00614066"/>
    <w:rsid w:val="00615AA6"/>
    <w:rsid w:val="00617207"/>
    <w:rsid w:val="00620CDA"/>
    <w:rsid w:val="00621D31"/>
    <w:rsid w:val="00624FD4"/>
    <w:rsid w:val="00634ED7"/>
    <w:rsid w:val="00635636"/>
    <w:rsid w:val="006363C2"/>
    <w:rsid w:val="00644EFB"/>
    <w:rsid w:val="006466CD"/>
    <w:rsid w:val="00646745"/>
    <w:rsid w:val="0064715C"/>
    <w:rsid w:val="006532D6"/>
    <w:rsid w:val="00653B5A"/>
    <w:rsid w:val="00655E30"/>
    <w:rsid w:val="00662F39"/>
    <w:rsid w:val="00664F86"/>
    <w:rsid w:val="006652C3"/>
    <w:rsid w:val="00666499"/>
    <w:rsid w:val="00675679"/>
    <w:rsid w:val="00680515"/>
    <w:rsid w:val="006828BB"/>
    <w:rsid w:val="00683014"/>
    <w:rsid w:val="00683BB5"/>
    <w:rsid w:val="00687D86"/>
    <w:rsid w:val="00694822"/>
    <w:rsid w:val="006A05FE"/>
    <w:rsid w:val="006A342B"/>
    <w:rsid w:val="006A4B36"/>
    <w:rsid w:val="006B0920"/>
    <w:rsid w:val="006B747E"/>
    <w:rsid w:val="006C538F"/>
    <w:rsid w:val="006E2944"/>
    <w:rsid w:val="006F5A24"/>
    <w:rsid w:val="006F6DF0"/>
    <w:rsid w:val="00701055"/>
    <w:rsid w:val="007022D9"/>
    <w:rsid w:val="00702F60"/>
    <w:rsid w:val="00705454"/>
    <w:rsid w:val="0070627E"/>
    <w:rsid w:val="00710207"/>
    <w:rsid w:val="00711216"/>
    <w:rsid w:val="00711E81"/>
    <w:rsid w:val="00712073"/>
    <w:rsid w:val="00712A9B"/>
    <w:rsid w:val="00716D1C"/>
    <w:rsid w:val="00720466"/>
    <w:rsid w:val="00720B39"/>
    <w:rsid w:val="007220B0"/>
    <w:rsid w:val="0072543C"/>
    <w:rsid w:val="0072575D"/>
    <w:rsid w:val="00725BCB"/>
    <w:rsid w:val="007274CE"/>
    <w:rsid w:val="00730922"/>
    <w:rsid w:val="0074067A"/>
    <w:rsid w:val="00741404"/>
    <w:rsid w:val="0074621A"/>
    <w:rsid w:val="00746C6C"/>
    <w:rsid w:val="00747999"/>
    <w:rsid w:val="00760B62"/>
    <w:rsid w:val="0076163E"/>
    <w:rsid w:val="00761B62"/>
    <w:rsid w:val="0076641A"/>
    <w:rsid w:val="00767283"/>
    <w:rsid w:val="0076771D"/>
    <w:rsid w:val="00767B42"/>
    <w:rsid w:val="00770686"/>
    <w:rsid w:val="00772EDC"/>
    <w:rsid w:val="0077640C"/>
    <w:rsid w:val="00787B46"/>
    <w:rsid w:val="0079267E"/>
    <w:rsid w:val="00794DAB"/>
    <w:rsid w:val="00796223"/>
    <w:rsid w:val="007A3DF4"/>
    <w:rsid w:val="007A6C74"/>
    <w:rsid w:val="007B1A6E"/>
    <w:rsid w:val="007B1E24"/>
    <w:rsid w:val="007B286A"/>
    <w:rsid w:val="007B2A98"/>
    <w:rsid w:val="007B3C24"/>
    <w:rsid w:val="007C1959"/>
    <w:rsid w:val="007C7DCF"/>
    <w:rsid w:val="007D3801"/>
    <w:rsid w:val="007D6217"/>
    <w:rsid w:val="007D788C"/>
    <w:rsid w:val="007E0A35"/>
    <w:rsid w:val="007E54C1"/>
    <w:rsid w:val="007E5C8C"/>
    <w:rsid w:val="007E624D"/>
    <w:rsid w:val="00801F56"/>
    <w:rsid w:val="008023F9"/>
    <w:rsid w:val="00803161"/>
    <w:rsid w:val="00804061"/>
    <w:rsid w:val="008044C2"/>
    <w:rsid w:val="00805166"/>
    <w:rsid w:val="00806A6F"/>
    <w:rsid w:val="008121E8"/>
    <w:rsid w:val="00812A6C"/>
    <w:rsid w:val="008143DB"/>
    <w:rsid w:val="008147DB"/>
    <w:rsid w:val="00816FE3"/>
    <w:rsid w:val="0082564A"/>
    <w:rsid w:val="0083069E"/>
    <w:rsid w:val="00835FBC"/>
    <w:rsid w:val="0083751B"/>
    <w:rsid w:val="0083753C"/>
    <w:rsid w:val="008402C2"/>
    <w:rsid w:val="0084063D"/>
    <w:rsid w:val="0084071E"/>
    <w:rsid w:val="00841BF0"/>
    <w:rsid w:val="00841F15"/>
    <w:rsid w:val="00860D37"/>
    <w:rsid w:val="008651A8"/>
    <w:rsid w:val="00865A07"/>
    <w:rsid w:val="0086756C"/>
    <w:rsid w:val="008701C3"/>
    <w:rsid w:val="00871BA2"/>
    <w:rsid w:val="0087409C"/>
    <w:rsid w:val="0087616B"/>
    <w:rsid w:val="008764CA"/>
    <w:rsid w:val="00876D2E"/>
    <w:rsid w:val="00877FE4"/>
    <w:rsid w:val="00882B95"/>
    <w:rsid w:val="00884169"/>
    <w:rsid w:val="0088490D"/>
    <w:rsid w:val="00886B7B"/>
    <w:rsid w:val="00891404"/>
    <w:rsid w:val="00891E0F"/>
    <w:rsid w:val="008A22D9"/>
    <w:rsid w:val="008A7A65"/>
    <w:rsid w:val="008B2D86"/>
    <w:rsid w:val="008B41D8"/>
    <w:rsid w:val="008B4445"/>
    <w:rsid w:val="008B495A"/>
    <w:rsid w:val="008B5144"/>
    <w:rsid w:val="008C0F2D"/>
    <w:rsid w:val="008C6582"/>
    <w:rsid w:val="008C674F"/>
    <w:rsid w:val="008C7619"/>
    <w:rsid w:val="008D1276"/>
    <w:rsid w:val="008D1E67"/>
    <w:rsid w:val="008E454C"/>
    <w:rsid w:val="008E48A7"/>
    <w:rsid w:val="008E5F11"/>
    <w:rsid w:val="008E6122"/>
    <w:rsid w:val="008F01FA"/>
    <w:rsid w:val="008F10B6"/>
    <w:rsid w:val="008F3395"/>
    <w:rsid w:val="008F381A"/>
    <w:rsid w:val="008F5270"/>
    <w:rsid w:val="008F7C00"/>
    <w:rsid w:val="008F7C49"/>
    <w:rsid w:val="008F7FC7"/>
    <w:rsid w:val="00901225"/>
    <w:rsid w:val="00902B45"/>
    <w:rsid w:val="00904BFE"/>
    <w:rsid w:val="009059A4"/>
    <w:rsid w:val="009075C8"/>
    <w:rsid w:val="0090770C"/>
    <w:rsid w:val="00907A55"/>
    <w:rsid w:val="00907C14"/>
    <w:rsid w:val="00907F99"/>
    <w:rsid w:val="00911760"/>
    <w:rsid w:val="00925BDA"/>
    <w:rsid w:val="00927E04"/>
    <w:rsid w:val="00931541"/>
    <w:rsid w:val="00935023"/>
    <w:rsid w:val="00936000"/>
    <w:rsid w:val="00944F40"/>
    <w:rsid w:val="0094634D"/>
    <w:rsid w:val="00950DEC"/>
    <w:rsid w:val="00953AFB"/>
    <w:rsid w:val="00953D51"/>
    <w:rsid w:val="00955181"/>
    <w:rsid w:val="00963B7D"/>
    <w:rsid w:val="00965D75"/>
    <w:rsid w:val="0096784B"/>
    <w:rsid w:val="00976BD4"/>
    <w:rsid w:val="0098052C"/>
    <w:rsid w:val="00982CAE"/>
    <w:rsid w:val="00983271"/>
    <w:rsid w:val="00984112"/>
    <w:rsid w:val="009866D1"/>
    <w:rsid w:val="00992A34"/>
    <w:rsid w:val="00995299"/>
    <w:rsid w:val="00995D10"/>
    <w:rsid w:val="009964AA"/>
    <w:rsid w:val="009A5D20"/>
    <w:rsid w:val="009B0611"/>
    <w:rsid w:val="009B1E6F"/>
    <w:rsid w:val="009B1F17"/>
    <w:rsid w:val="009B2B61"/>
    <w:rsid w:val="009B3618"/>
    <w:rsid w:val="009B3755"/>
    <w:rsid w:val="009B4D10"/>
    <w:rsid w:val="009B6141"/>
    <w:rsid w:val="009B72E2"/>
    <w:rsid w:val="009B7BEE"/>
    <w:rsid w:val="009C28E7"/>
    <w:rsid w:val="009C4E5F"/>
    <w:rsid w:val="009D0F77"/>
    <w:rsid w:val="009D3D9C"/>
    <w:rsid w:val="009D5354"/>
    <w:rsid w:val="009D6EF8"/>
    <w:rsid w:val="009E241C"/>
    <w:rsid w:val="009E65F8"/>
    <w:rsid w:val="009F2323"/>
    <w:rsid w:val="009F4409"/>
    <w:rsid w:val="00A00452"/>
    <w:rsid w:val="00A10DB1"/>
    <w:rsid w:val="00A170DA"/>
    <w:rsid w:val="00A21522"/>
    <w:rsid w:val="00A24C2A"/>
    <w:rsid w:val="00A24E00"/>
    <w:rsid w:val="00A26BE6"/>
    <w:rsid w:val="00A27F4D"/>
    <w:rsid w:val="00A32036"/>
    <w:rsid w:val="00A32889"/>
    <w:rsid w:val="00A427F2"/>
    <w:rsid w:val="00A428A0"/>
    <w:rsid w:val="00A43F80"/>
    <w:rsid w:val="00A443B8"/>
    <w:rsid w:val="00A50E3B"/>
    <w:rsid w:val="00A576E5"/>
    <w:rsid w:val="00A57AEC"/>
    <w:rsid w:val="00A619D4"/>
    <w:rsid w:val="00A6306C"/>
    <w:rsid w:val="00A70529"/>
    <w:rsid w:val="00A75493"/>
    <w:rsid w:val="00A80246"/>
    <w:rsid w:val="00A84522"/>
    <w:rsid w:val="00A84A90"/>
    <w:rsid w:val="00A85FDC"/>
    <w:rsid w:val="00A9012B"/>
    <w:rsid w:val="00A94B1F"/>
    <w:rsid w:val="00A96232"/>
    <w:rsid w:val="00A96708"/>
    <w:rsid w:val="00A96803"/>
    <w:rsid w:val="00AA0DE5"/>
    <w:rsid w:val="00AA67C7"/>
    <w:rsid w:val="00AA6BFB"/>
    <w:rsid w:val="00AA6CF5"/>
    <w:rsid w:val="00AB300A"/>
    <w:rsid w:val="00AC01F1"/>
    <w:rsid w:val="00AC06E0"/>
    <w:rsid w:val="00AC0C68"/>
    <w:rsid w:val="00AC7C76"/>
    <w:rsid w:val="00AD064D"/>
    <w:rsid w:val="00AD2F05"/>
    <w:rsid w:val="00AD3982"/>
    <w:rsid w:val="00AD63E9"/>
    <w:rsid w:val="00AE0046"/>
    <w:rsid w:val="00AE5BF8"/>
    <w:rsid w:val="00AE7478"/>
    <w:rsid w:val="00AF25C5"/>
    <w:rsid w:val="00AF25E0"/>
    <w:rsid w:val="00AF28E6"/>
    <w:rsid w:val="00AF32D6"/>
    <w:rsid w:val="00B02540"/>
    <w:rsid w:val="00B03CD5"/>
    <w:rsid w:val="00B0412C"/>
    <w:rsid w:val="00B0729B"/>
    <w:rsid w:val="00B07B1C"/>
    <w:rsid w:val="00B10F8C"/>
    <w:rsid w:val="00B10FAC"/>
    <w:rsid w:val="00B1214E"/>
    <w:rsid w:val="00B174C1"/>
    <w:rsid w:val="00B17DC5"/>
    <w:rsid w:val="00B263F8"/>
    <w:rsid w:val="00B3041A"/>
    <w:rsid w:val="00B308A5"/>
    <w:rsid w:val="00B30C2A"/>
    <w:rsid w:val="00B3546A"/>
    <w:rsid w:val="00B35D2F"/>
    <w:rsid w:val="00B361D1"/>
    <w:rsid w:val="00B3789F"/>
    <w:rsid w:val="00B4731B"/>
    <w:rsid w:val="00B5060C"/>
    <w:rsid w:val="00B5130B"/>
    <w:rsid w:val="00B5232C"/>
    <w:rsid w:val="00B543BF"/>
    <w:rsid w:val="00B55D35"/>
    <w:rsid w:val="00B56DDB"/>
    <w:rsid w:val="00B57D4D"/>
    <w:rsid w:val="00B60264"/>
    <w:rsid w:val="00B6286C"/>
    <w:rsid w:val="00B6319C"/>
    <w:rsid w:val="00B67ED9"/>
    <w:rsid w:val="00B71C82"/>
    <w:rsid w:val="00B73BF7"/>
    <w:rsid w:val="00B75B6E"/>
    <w:rsid w:val="00B7629F"/>
    <w:rsid w:val="00B8357C"/>
    <w:rsid w:val="00B853DB"/>
    <w:rsid w:val="00B85F21"/>
    <w:rsid w:val="00B956FC"/>
    <w:rsid w:val="00B97BAE"/>
    <w:rsid w:val="00BA62A1"/>
    <w:rsid w:val="00BB2DAD"/>
    <w:rsid w:val="00BC0BC1"/>
    <w:rsid w:val="00BC11A2"/>
    <w:rsid w:val="00BC1923"/>
    <w:rsid w:val="00BC328B"/>
    <w:rsid w:val="00BD10AA"/>
    <w:rsid w:val="00BD5FBE"/>
    <w:rsid w:val="00BD68B1"/>
    <w:rsid w:val="00BE0AF0"/>
    <w:rsid w:val="00BE1D76"/>
    <w:rsid w:val="00BE6343"/>
    <w:rsid w:val="00BF0821"/>
    <w:rsid w:val="00BF21E4"/>
    <w:rsid w:val="00BF405F"/>
    <w:rsid w:val="00BF6DC6"/>
    <w:rsid w:val="00C00480"/>
    <w:rsid w:val="00C007CE"/>
    <w:rsid w:val="00C05050"/>
    <w:rsid w:val="00C12E5F"/>
    <w:rsid w:val="00C12FD1"/>
    <w:rsid w:val="00C163E3"/>
    <w:rsid w:val="00C178AF"/>
    <w:rsid w:val="00C206DA"/>
    <w:rsid w:val="00C20719"/>
    <w:rsid w:val="00C24324"/>
    <w:rsid w:val="00C33A39"/>
    <w:rsid w:val="00C3456A"/>
    <w:rsid w:val="00C354F5"/>
    <w:rsid w:val="00C413E7"/>
    <w:rsid w:val="00C415BD"/>
    <w:rsid w:val="00C41DD4"/>
    <w:rsid w:val="00C42327"/>
    <w:rsid w:val="00C4384F"/>
    <w:rsid w:val="00C470A0"/>
    <w:rsid w:val="00C47ACC"/>
    <w:rsid w:val="00C50D33"/>
    <w:rsid w:val="00C53439"/>
    <w:rsid w:val="00C53823"/>
    <w:rsid w:val="00C55FAE"/>
    <w:rsid w:val="00C60479"/>
    <w:rsid w:val="00C62255"/>
    <w:rsid w:val="00C67C7D"/>
    <w:rsid w:val="00C73C9A"/>
    <w:rsid w:val="00C75D60"/>
    <w:rsid w:val="00C803F7"/>
    <w:rsid w:val="00C82D7B"/>
    <w:rsid w:val="00CA0572"/>
    <w:rsid w:val="00CA2372"/>
    <w:rsid w:val="00CA5402"/>
    <w:rsid w:val="00CB0F46"/>
    <w:rsid w:val="00CB27A6"/>
    <w:rsid w:val="00CB2C3B"/>
    <w:rsid w:val="00CB459E"/>
    <w:rsid w:val="00CB7078"/>
    <w:rsid w:val="00CC0328"/>
    <w:rsid w:val="00CC2295"/>
    <w:rsid w:val="00CC7DD6"/>
    <w:rsid w:val="00CD11D5"/>
    <w:rsid w:val="00CD371C"/>
    <w:rsid w:val="00CD5CE7"/>
    <w:rsid w:val="00CD70FB"/>
    <w:rsid w:val="00CE0FDC"/>
    <w:rsid w:val="00CE3A84"/>
    <w:rsid w:val="00CE594B"/>
    <w:rsid w:val="00CF1467"/>
    <w:rsid w:val="00CF4092"/>
    <w:rsid w:val="00CF4E41"/>
    <w:rsid w:val="00CF55D4"/>
    <w:rsid w:val="00CF576F"/>
    <w:rsid w:val="00CF75A2"/>
    <w:rsid w:val="00CF7A03"/>
    <w:rsid w:val="00D04EF1"/>
    <w:rsid w:val="00D10666"/>
    <w:rsid w:val="00D112AD"/>
    <w:rsid w:val="00D12926"/>
    <w:rsid w:val="00D32759"/>
    <w:rsid w:val="00D368B4"/>
    <w:rsid w:val="00D374E8"/>
    <w:rsid w:val="00D41515"/>
    <w:rsid w:val="00D47161"/>
    <w:rsid w:val="00D47A67"/>
    <w:rsid w:val="00D5410A"/>
    <w:rsid w:val="00D550D9"/>
    <w:rsid w:val="00D55336"/>
    <w:rsid w:val="00D56E86"/>
    <w:rsid w:val="00D63D29"/>
    <w:rsid w:val="00D649E0"/>
    <w:rsid w:val="00D64E04"/>
    <w:rsid w:val="00D6564D"/>
    <w:rsid w:val="00D73092"/>
    <w:rsid w:val="00D7503C"/>
    <w:rsid w:val="00D75C2C"/>
    <w:rsid w:val="00D7628F"/>
    <w:rsid w:val="00D82BE0"/>
    <w:rsid w:val="00D860B1"/>
    <w:rsid w:val="00D87F48"/>
    <w:rsid w:val="00D91E46"/>
    <w:rsid w:val="00D92E38"/>
    <w:rsid w:val="00D94375"/>
    <w:rsid w:val="00D96AED"/>
    <w:rsid w:val="00DA0E91"/>
    <w:rsid w:val="00DA76BD"/>
    <w:rsid w:val="00DB13A9"/>
    <w:rsid w:val="00DB6ACB"/>
    <w:rsid w:val="00DC1992"/>
    <w:rsid w:val="00DC202D"/>
    <w:rsid w:val="00DC4A7A"/>
    <w:rsid w:val="00DC536B"/>
    <w:rsid w:val="00DD06CC"/>
    <w:rsid w:val="00DD6A87"/>
    <w:rsid w:val="00DD7B32"/>
    <w:rsid w:val="00DE06A2"/>
    <w:rsid w:val="00DE0FB5"/>
    <w:rsid w:val="00DE11CB"/>
    <w:rsid w:val="00DE3F4E"/>
    <w:rsid w:val="00DE4D54"/>
    <w:rsid w:val="00DF0312"/>
    <w:rsid w:val="00DF2F55"/>
    <w:rsid w:val="00DF38F6"/>
    <w:rsid w:val="00DF7FE1"/>
    <w:rsid w:val="00E00A65"/>
    <w:rsid w:val="00E01DA2"/>
    <w:rsid w:val="00E023DD"/>
    <w:rsid w:val="00E065E3"/>
    <w:rsid w:val="00E11EB3"/>
    <w:rsid w:val="00E11F88"/>
    <w:rsid w:val="00E140E0"/>
    <w:rsid w:val="00E218C0"/>
    <w:rsid w:val="00E250A4"/>
    <w:rsid w:val="00E34436"/>
    <w:rsid w:val="00E35869"/>
    <w:rsid w:val="00E373A0"/>
    <w:rsid w:val="00E408E6"/>
    <w:rsid w:val="00E417C8"/>
    <w:rsid w:val="00E420F1"/>
    <w:rsid w:val="00E44F3F"/>
    <w:rsid w:val="00E47FF1"/>
    <w:rsid w:val="00E50F1E"/>
    <w:rsid w:val="00E54E6C"/>
    <w:rsid w:val="00E5576D"/>
    <w:rsid w:val="00E568BF"/>
    <w:rsid w:val="00E56F4E"/>
    <w:rsid w:val="00E6073B"/>
    <w:rsid w:val="00E6152D"/>
    <w:rsid w:val="00E66985"/>
    <w:rsid w:val="00E74E12"/>
    <w:rsid w:val="00E779AE"/>
    <w:rsid w:val="00E77F34"/>
    <w:rsid w:val="00E95E64"/>
    <w:rsid w:val="00E96896"/>
    <w:rsid w:val="00EA00FD"/>
    <w:rsid w:val="00EA10F7"/>
    <w:rsid w:val="00EA2BFB"/>
    <w:rsid w:val="00EB517B"/>
    <w:rsid w:val="00EC1CAF"/>
    <w:rsid w:val="00EC4CE8"/>
    <w:rsid w:val="00ED24B2"/>
    <w:rsid w:val="00ED35D7"/>
    <w:rsid w:val="00EE0C91"/>
    <w:rsid w:val="00EE2D68"/>
    <w:rsid w:val="00EE5EFD"/>
    <w:rsid w:val="00EE7428"/>
    <w:rsid w:val="00EE7B96"/>
    <w:rsid w:val="00EF3B48"/>
    <w:rsid w:val="00EF5CD7"/>
    <w:rsid w:val="00EF6461"/>
    <w:rsid w:val="00F01DE7"/>
    <w:rsid w:val="00F02153"/>
    <w:rsid w:val="00F02351"/>
    <w:rsid w:val="00F0440D"/>
    <w:rsid w:val="00F10486"/>
    <w:rsid w:val="00F1140A"/>
    <w:rsid w:val="00F14A12"/>
    <w:rsid w:val="00F21AB1"/>
    <w:rsid w:val="00F2258F"/>
    <w:rsid w:val="00F2421C"/>
    <w:rsid w:val="00F25072"/>
    <w:rsid w:val="00F34CF8"/>
    <w:rsid w:val="00F376EC"/>
    <w:rsid w:val="00F412B3"/>
    <w:rsid w:val="00F44AF8"/>
    <w:rsid w:val="00F52C49"/>
    <w:rsid w:val="00F54966"/>
    <w:rsid w:val="00F54DE0"/>
    <w:rsid w:val="00F56CBF"/>
    <w:rsid w:val="00F61967"/>
    <w:rsid w:val="00F61C1E"/>
    <w:rsid w:val="00F7156C"/>
    <w:rsid w:val="00F7237C"/>
    <w:rsid w:val="00F724AD"/>
    <w:rsid w:val="00F727DA"/>
    <w:rsid w:val="00F7540A"/>
    <w:rsid w:val="00F77192"/>
    <w:rsid w:val="00F859AC"/>
    <w:rsid w:val="00F85BC2"/>
    <w:rsid w:val="00F86DBE"/>
    <w:rsid w:val="00F94C1F"/>
    <w:rsid w:val="00F95174"/>
    <w:rsid w:val="00F96800"/>
    <w:rsid w:val="00F971F4"/>
    <w:rsid w:val="00F97B52"/>
    <w:rsid w:val="00FA1E35"/>
    <w:rsid w:val="00FA3D40"/>
    <w:rsid w:val="00FA4857"/>
    <w:rsid w:val="00FA5894"/>
    <w:rsid w:val="00FA69E0"/>
    <w:rsid w:val="00FA7076"/>
    <w:rsid w:val="00FA7A49"/>
    <w:rsid w:val="00FB04FE"/>
    <w:rsid w:val="00FB2C9E"/>
    <w:rsid w:val="00FB5DCD"/>
    <w:rsid w:val="00FC2E0B"/>
    <w:rsid w:val="00FC326E"/>
    <w:rsid w:val="00FC43DA"/>
    <w:rsid w:val="00FC5469"/>
    <w:rsid w:val="00FD3A71"/>
    <w:rsid w:val="00FD7830"/>
    <w:rsid w:val="00FE1632"/>
    <w:rsid w:val="00FE16C5"/>
    <w:rsid w:val="00FE256A"/>
    <w:rsid w:val="00FE27DF"/>
    <w:rsid w:val="00FE2E29"/>
    <w:rsid w:val="00FE67F3"/>
    <w:rsid w:val="00FE6D10"/>
    <w:rsid w:val="00FE6DF9"/>
    <w:rsid w:val="00FE7591"/>
    <w:rsid w:val="00FF4F49"/>
    <w:rsid w:val="00FF61EC"/>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C45"/>
    <w:pPr>
      <w:spacing w:before="200"/>
      <w:jc w:val="both"/>
    </w:pPr>
    <w:rPr>
      <w:rFonts w:ascii="Georgia" w:hAnsi="Georgia"/>
      <w:sz w:val="22"/>
      <w:szCs w:val="22"/>
      <w:lang w:eastAsia="en-US"/>
    </w:rPr>
  </w:style>
  <w:style w:type="paragraph" w:styleId="Heading1">
    <w:name w:val="heading 1"/>
    <w:aliases w:val="Tiitellehe pealkiri"/>
    <w:basedOn w:val="Normal"/>
    <w:next w:val="Normal"/>
    <w:link w:val="Heading1Char"/>
    <w:uiPriority w:val="9"/>
    <w:qFormat/>
    <w:rsid w:val="00F2258F"/>
    <w:pPr>
      <w:keepNext/>
      <w:keepLines/>
      <w:spacing w:before="480" w:after="360"/>
      <w:outlineLvl w:val="0"/>
    </w:pPr>
    <w:rPr>
      <w:rFonts w:asciiTheme="majorHAnsi" w:eastAsiaTheme="majorEastAsia" w:hAnsiTheme="majorHAnsi" w:cstheme="majorBidi"/>
      <w:b/>
      <w:bCs/>
      <w:color w:val="0070C0"/>
      <w:sz w:val="44"/>
      <w:szCs w:val="28"/>
    </w:rPr>
  </w:style>
  <w:style w:type="paragraph" w:styleId="Heading2">
    <w:name w:val="heading 2"/>
    <w:aliases w:val="Väike pealkiri"/>
    <w:basedOn w:val="Normal"/>
    <w:next w:val="Normal"/>
    <w:link w:val="Heading2Char"/>
    <w:uiPriority w:val="9"/>
    <w:unhideWhenUsed/>
    <w:qFormat/>
    <w:rsid w:val="00F2258F"/>
    <w:pPr>
      <w:keepNext/>
      <w:spacing w:before="480" w:after="240"/>
      <w:outlineLvl w:val="1"/>
    </w:pPr>
    <w:rPr>
      <w:rFonts w:asciiTheme="majorHAnsi" w:eastAsiaTheme="majorEastAsia" w:hAnsiTheme="majorHAnsi" w:cstheme="majorBidi"/>
      <w:bCs/>
      <w:iCs/>
      <w:color w:val="0070C0"/>
      <w:sz w:val="36"/>
      <w:szCs w:val="28"/>
    </w:rPr>
  </w:style>
  <w:style w:type="paragraph" w:styleId="Heading3">
    <w:name w:val="heading 3"/>
    <w:aliases w:val="1Pealkiri"/>
    <w:basedOn w:val="Heading2"/>
    <w:next w:val="Heading4"/>
    <w:link w:val="Heading3Char"/>
    <w:uiPriority w:val="9"/>
    <w:qFormat/>
    <w:rsid w:val="00487CF5"/>
    <w:pPr>
      <w:numPr>
        <w:numId w:val="7"/>
      </w:numPr>
      <w:suppressAutoHyphens/>
      <w:spacing w:before="360" w:after="120"/>
      <w:ind w:left="714" w:hanging="357"/>
      <w:jc w:val="left"/>
      <w:outlineLvl w:val="2"/>
    </w:pPr>
    <w:rPr>
      <w:rFonts w:ascii="Georgia" w:eastAsia="Times New Roman" w:hAnsi="Georgia" w:cs="Calibri"/>
      <w:iCs w:val="0"/>
      <w:noProof/>
      <w:color w:val="1C9AD7"/>
      <w:sz w:val="48"/>
    </w:rPr>
  </w:style>
  <w:style w:type="paragraph" w:styleId="Heading4">
    <w:name w:val="heading 4"/>
    <w:basedOn w:val="2Pealkiri"/>
    <w:next w:val="Normal"/>
    <w:link w:val="Heading4Char"/>
    <w:uiPriority w:val="9"/>
    <w:qFormat/>
    <w:rsid w:val="00487CF5"/>
    <w:pPr>
      <w:numPr>
        <w:ilvl w:val="3"/>
        <w:numId w:val="9"/>
      </w:numPr>
      <w:tabs>
        <w:tab w:val="num" w:pos="360"/>
      </w:tabs>
      <w:spacing w:before="240" w:after="0"/>
      <w:ind w:left="3597" w:hanging="360"/>
      <w:outlineLvl w:val="3"/>
    </w:pPr>
    <w:rPr>
      <w:rFonts w:cs="Calibri"/>
      <w:bCs w:val="0"/>
      <w:sz w:val="22"/>
      <w:szCs w:val="22"/>
    </w:rPr>
  </w:style>
  <w:style w:type="paragraph" w:styleId="Heading5">
    <w:name w:val="heading 5"/>
    <w:basedOn w:val="Normal"/>
    <w:next w:val="Normal"/>
    <w:link w:val="Heading5Char"/>
    <w:uiPriority w:val="9"/>
    <w:unhideWhenUsed/>
    <w:qFormat/>
    <w:rsid w:val="00487CF5"/>
    <w:pPr>
      <w:outlineLvl w:val="4"/>
    </w:pPr>
    <w:rPr>
      <w:rFonts w:eastAsia="Times New Roman"/>
      <w:b/>
      <w:bCs/>
      <w:i/>
      <w:iCs/>
      <w:noProof/>
      <w:szCs w:val="26"/>
    </w:rPr>
  </w:style>
  <w:style w:type="paragraph" w:styleId="Heading6">
    <w:name w:val="heading 6"/>
    <w:basedOn w:val="Normal"/>
    <w:next w:val="Normal"/>
    <w:link w:val="Heading6Char"/>
    <w:uiPriority w:val="9"/>
    <w:unhideWhenUsed/>
    <w:qFormat/>
    <w:rsid w:val="00487CF5"/>
    <w:pPr>
      <w:numPr>
        <w:ilvl w:val="5"/>
        <w:numId w:val="1"/>
      </w:numPr>
      <w:spacing w:after="60"/>
      <w:outlineLvl w:val="5"/>
    </w:pPr>
    <w:rPr>
      <w:rFonts w:ascii="Calibri" w:eastAsia="Times New Roman" w:hAnsi="Calibri"/>
      <w:b/>
      <w:bCs/>
      <w:noProof/>
      <w:szCs w:val="21"/>
    </w:rPr>
  </w:style>
  <w:style w:type="paragraph" w:styleId="Heading7">
    <w:name w:val="heading 7"/>
    <w:basedOn w:val="Normal"/>
    <w:next w:val="Normal"/>
    <w:link w:val="Heading7Char"/>
    <w:uiPriority w:val="9"/>
    <w:unhideWhenUsed/>
    <w:qFormat/>
    <w:rsid w:val="00487CF5"/>
    <w:pPr>
      <w:numPr>
        <w:ilvl w:val="6"/>
        <w:numId w:val="1"/>
      </w:numPr>
      <w:spacing w:after="60"/>
      <w:outlineLvl w:val="6"/>
    </w:pPr>
    <w:rPr>
      <w:rFonts w:ascii="Calibri" w:eastAsia="Times New Roman" w:hAnsi="Calibri"/>
      <w:noProof/>
      <w:sz w:val="24"/>
      <w:szCs w:val="24"/>
    </w:rPr>
  </w:style>
  <w:style w:type="paragraph" w:styleId="Heading8">
    <w:name w:val="heading 8"/>
    <w:basedOn w:val="Normal"/>
    <w:next w:val="Normal"/>
    <w:link w:val="Heading8Char"/>
    <w:uiPriority w:val="9"/>
    <w:unhideWhenUsed/>
    <w:qFormat/>
    <w:rsid w:val="00487CF5"/>
    <w:pPr>
      <w:numPr>
        <w:ilvl w:val="7"/>
        <w:numId w:val="1"/>
      </w:numPr>
      <w:spacing w:after="60"/>
      <w:outlineLvl w:val="7"/>
    </w:pPr>
    <w:rPr>
      <w:rFonts w:ascii="Calibri" w:eastAsia="Times New Roman" w:hAnsi="Calibri"/>
      <w:i/>
      <w:iCs/>
      <w:noProof/>
      <w:sz w:val="24"/>
      <w:szCs w:val="24"/>
    </w:rPr>
  </w:style>
  <w:style w:type="paragraph" w:styleId="Heading9">
    <w:name w:val="heading 9"/>
    <w:basedOn w:val="Normal"/>
    <w:next w:val="Normal"/>
    <w:link w:val="Heading9Char"/>
    <w:uiPriority w:val="9"/>
    <w:unhideWhenUsed/>
    <w:qFormat/>
    <w:rsid w:val="00487CF5"/>
    <w:pPr>
      <w:numPr>
        <w:ilvl w:val="8"/>
        <w:numId w:val="1"/>
      </w:numPr>
      <w:spacing w:after="60"/>
      <w:outlineLvl w:val="8"/>
    </w:pPr>
    <w:rPr>
      <w:rFonts w:ascii="Cambria" w:eastAsia="Times New Roman" w:hAnsi="Cambria"/>
      <w:noProo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ik">
    <w:name w:val="Liik"/>
    <w:autoRedefine/>
    <w:qFormat/>
    <w:rsid w:val="00CA2372"/>
    <w:pPr>
      <w:jc w:val="center"/>
    </w:pPr>
    <w:rPr>
      <w:rFonts w:ascii="Roboto Condensed" w:eastAsia="SimSun" w:hAnsi="Roboto Condensed"/>
      <w:noProof/>
      <w:color w:val="0070C0"/>
      <w:kern w:val="24"/>
      <w:sz w:val="52"/>
      <w:szCs w:val="24"/>
      <w:lang w:eastAsia="zh-CN" w:bidi="hi-IN"/>
    </w:rPr>
  </w:style>
  <w:style w:type="character" w:styleId="BookTitle">
    <w:name w:val="Book Title"/>
    <w:basedOn w:val="DefaultParagraphFont"/>
    <w:uiPriority w:val="33"/>
    <w:qFormat/>
    <w:rsid w:val="00CA2372"/>
    <w:rPr>
      <w:b/>
      <w:bCs/>
      <w:smallCaps/>
      <w:spacing w:val="5"/>
    </w:rPr>
  </w:style>
  <w:style w:type="character" w:customStyle="1" w:styleId="Heading1Char">
    <w:name w:val="Heading 1 Char"/>
    <w:aliases w:val="Tiitellehe pealkiri Char"/>
    <w:basedOn w:val="DefaultParagraphFont"/>
    <w:link w:val="Heading1"/>
    <w:uiPriority w:val="9"/>
    <w:rsid w:val="00F2258F"/>
    <w:rPr>
      <w:rFonts w:asciiTheme="majorHAnsi" w:eastAsiaTheme="majorEastAsia" w:hAnsiTheme="majorHAnsi" w:cstheme="majorBidi"/>
      <w:b/>
      <w:bCs/>
      <w:color w:val="0070C0"/>
      <w:sz w:val="44"/>
      <w:szCs w:val="28"/>
      <w:lang w:eastAsia="en-US"/>
    </w:rPr>
  </w:style>
  <w:style w:type="character" w:customStyle="1" w:styleId="Heading3Char">
    <w:name w:val="Heading 3 Char"/>
    <w:aliases w:val="1Pealkiri Char"/>
    <w:basedOn w:val="DefaultParagraphFont"/>
    <w:link w:val="Heading3"/>
    <w:uiPriority w:val="9"/>
    <w:rsid w:val="00487CF5"/>
    <w:rPr>
      <w:rFonts w:ascii="Georgia" w:eastAsia="Times New Roman" w:hAnsi="Georgia" w:cs="Calibri"/>
      <w:bCs/>
      <w:noProof/>
      <w:color w:val="1C9AD7"/>
      <w:sz w:val="48"/>
      <w:szCs w:val="28"/>
      <w:lang w:eastAsia="en-US"/>
    </w:rPr>
  </w:style>
  <w:style w:type="character" w:customStyle="1" w:styleId="Heading4Char">
    <w:name w:val="Heading 4 Char"/>
    <w:basedOn w:val="DefaultParagraphFont"/>
    <w:link w:val="Heading4"/>
    <w:uiPriority w:val="9"/>
    <w:rsid w:val="00487CF5"/>
    <w:rPr>
      <w:rFonts w:ascii="Georgia" w:eastAsia="Times New Roman" w:hAnsi="Georgia" w:cs="Calibri"/>
      <w:noProof/>
      <w:color w:val="1C9AD7"/>
      <w:sz w:val="22"/>
      <w:szCs w:val="22"/>
      <w:lang w:eastAsia="en-US"/>
    </w:rPr>
  </w:style>
  <w:style w:type="paragraph" w:styleId="CommentText">
    <w:name w:val="annotation text"/>
    <w:basedOn w:val="Normal"/>
    <w:link w:val="CommentTextChar"/>
    <w:uiPriority w:val="99"/>
    <w:rsid w:val="00CA2372"/>
    <w:pPr>
      <w:spacing w:after="120"/>
    </w:pPr>
    <w:rPr>
      <w:rFonts w:eastAsia="Times New Roman"/>
      <w:sz w:val="20"/>
      <w:szCs w:val="20"/>
    </w:rPr>
  </w:style>
  <w:style w:type="character" w:customStyle="1" w:styleId="CommentTextChar">
    <w:name w:val="Comment Text Char"/>
    <w:basedOn w:val="DefaultParagraphFont"/>
    <w:link w:val="CommentText"/>
    <w:uiPriority w:val="99"/>
    <w:rsid w:val="00CA2372"/>
    <w:rPr>
      <w:rFonts w:eastAsia="Times New Roman"/>
      <w:lang w:eastAsia="en-US"/>
    </w:rPr>
  </w:style>
  <w:style w:type="character" w:styleId="CommentReference">
    <w:name w:val="annotation reference"/>
    <w:basedOn w:val="DefaultParagraphFont"/>
    <w:uiPriority w:val="99"/>
    <w:unhideWhenUsed/>
    <w:rsid w:val="00CA2372"/>
    <w:rPr>
      <w:rFonts w:cs="Times New Roman"/>
      <w:sz w:val="16"/>
      <w:szCs w:val="16"/>
    </w:rPr>
  </w:style>
  <w:style w:type="paragraph" w:styleId="ListParagraph">
    <w:name w:val="List Paragraph"/>
    <w:aliases w:val="Mummuga loetelu"/>
    <w:basedOn w:val="Normal"/>
    <w:link w:val="ListParagraphChar"/>
    <w:uiPriority w:val="34"/>
    <w:qFormat/>
    <w:rsid w:val="00AA6BFB"/>
    <w:pPr>
      <w:numPr>
        <w:ilvl w:val="1"/>
        <w:numId w:val="22"/>
      </w:numPr>
      <w:spacing w:before="120" w:after="120"/>
      <w:ind w:left="641" w:hanging="357"/>
    </w:pPr>
    <w:rPr>
      <w:rFonts w:eastAsia="Times New Roman"/>
      <w:szCs w:val="24"/>
      <w:lang w:eastAsia="et-EE"/>
    </w:rPr>
  </w:style>
  <w:style w:type="character" w:customStyle="1" w:styleId="ListParagraphChar">
    <w:name w:val="List Paragraph Char"/>
    <w:aliases w:val="Mummuga loetelu Char"/>
    <w:basedOn w:val="DefaultParagraphFont"/>
    <w:link w:val="ListParagraph"/>
    <w:uiPriority w:val="34"/>
    <w:locked/>
    <w:rsid w:val="00AA6BFB"/>
    <w:rPr>
      <w:rFonts w:ascii="Georgia" w:eastAsia="Times New Roman" w:hAnsi="Georgia"/>
      <w:sz w:val="22"/>
      <w:szCs w:val="24"/>
    </w:rPr>
  </w:style>
  <w:style w:type="paragraph" w:styleId="NormalWeb">
    <w:name w:val="Normal (Web)"/>
    <w:basedOn w:val="Normal"/>
    <w:uiPriority w:val="99"/>
    <w:rsid w:val="00CA2372"/>
    <w:pPr>
      <w:suppressAutoHyphens/>
      <w:spacing w:before="280" w:after="280"/>
    </w:pPr>
    <w:rPr>
      <w:rFonts w:ascii="Times New Roman" w:eastAsia="Times New Roman" w:hAnsi="Times New Roman"/>
      <w:sz w:val="24"/>
      <w:szCs w:val="24"/>
      <w:lang w:val="en-US" w:eastAsia="ar-SA"/>
    </w:rPr>
  </w:style>
  <w:style w:type="character" w:customStyle="1" w:styleId="Heading2Char">
    <w:name w:val="Heading 2 Char"/>
    <w:aliases w:val="Väike pealkiri Char"/>
    <w:basedOn w:val="DefaultParagraphFont"/>
    <w:link w:val="Heading2"/>
    <w:uiPriority w:val="9"/>
    <w:rsid w:val="00F2258F"/>
    <w:rPr>
      <w:rFonts w:asciiTheme="majorHAnsi" w:eastAsiaTheme="majorEastAsia" w:hAnsiTheme="majorHAnsi" w:cstheme="majorBidi"/>
      <w:bCs/>
      <w:iCs/>
      <w:color w:val="0070C0"/>
      <w:sz w:val="36"/>
      <w:szCs w:val="28"/>
      <w:lang w:eastAsia="en-US"/>
    </w:rPr>
  </w:style>
  <w:style w:type="paragraph" w:styleId="BalloonText">
    <w:name w:val="Balloon Text"/>
    <w:basedOn w:val="Normal"/>
    <w:link w:val="BalloonTextChar"/>
    <w:uiPriority w:val="99"/>
    <w:semiHidden/>
    <w:unhideWhenUsed/>
    <w:rsid w:val="00CA2372"/>
    <w:rPr>
      <w:rFonts w:ascii="Tahoma" w:hAnsi="Tahoma" w:cs="Tahoma"/>
      <w:sz w:val="16"/>
      <w:szCs w:val="16"/>
    </w:rPr>
  </w:style>
  <w:style w:type="character" w:customStyle="1" w:styleId="BalloonTextChar">
    <w:name w:val="Balloon Text Char"/>
    <w:basedOn w:val="DefaultParagraphFont"/>
    <w:link w:val="BalloonText"/>
    <w:uiPriority w:val="99"/>
    <w:semiHidden/>
    <w:rsid w:val="00CA2372"/>
    <w:rPr>
      <w:rFonts w:ascii="Tahoma" w:hAnsi="Tahoma" w:cs="Tahoma"/>
      <w:sz w:val="16"/>
      <w:szCs w:val="16"/>
      <w:lang w:eastAsia="en-US"/>
    </w:rPr>
  </w:style>
  <w:style w:type="character" w:customStyle="1" w:styleId="Heading5Char">
    <w:name w:val="Heading 5 Char"/>
    <w:basedOn w:val="DefaultParagraphFont"/>
    <w:link w:val="Heading5"/>
    <w:uiPriority w:val="9"/>
    <w:rsid w:val="00487CF5"/>
    <w:rPr>
      <w:rFonts w:ascii="Georgia" w:eastAsia="Times New Roman" w:hAnsi="Georgia"/>
      <w:b/>
      <w:bCs/>
      <w:i/>
      <w:iCs/>
      <w:noProof/>
      <w:sz w:val="22"/>
      <w:szCs w:val="26"/>
      <w:lang w:eastAsia="en-US"/>
    </w:rPr>
  </w:style>
  <w:style w:type="character" w:customStyle="1" w:styleId="Heading6Char">
    <w:name w:val="Heading 6 Char"/>
    <w:basedOn w:val="DefaultParagraphFont"/>
    <w:link w:val="Heading6"/>
    <w:uiPriority w:val="9"/>
    <w:rsid w:val="00487CF5"/>
    <w:rPr>
      <w:rFonts w:eastAsia="Times New Roman"/>
      <w:b/>
      <w:bCs/>
      <w:noProof/>
      <w:sz w:val="22"/>
      <w:szCs w:val="21"/>
      <w:lang w:eastAsia="en-US"/>
    </w:rPr>
  </w:style>
  <w:style w:type="character" w:customStyle="1" w:styleId="Heading7Char">
    <w:name w:val="Heading 7 Char"/>
    <w:basedOn w:val="DefaultParagraphFont"/>
    <w:link w:val="Heading7"/>
    <w:uiPriority w:val="9"/>
    <w:rsid w:val="00487CF5"/>
    <w:rPr>
      <w:rFonts w:eastAsia="Times New Roman"/>
      <w:noProof/>
      <w:sz w:val="24"/>
      <w:szCs w:val="24"/>
      <w:lang w:eastAsia="en-US"/>
    </w:rPr>
  </w:style>
  <w:style w:type="character" w:customStyle="1" w:styleId="Heading8Char">
    <w:name w:val="Heading 8 Char"/>
    <w:basedOn w:val="DefaultParagraphFont"/>
    <w:link w:val="Heading8"/>
    <w:uiPriority w:val="9"/>
    <w:rsid w:val="00487CF5"/>
    <w:rPr>
      <w:rFonts w:eastAsia="Times New Roman"/>
      <w:i/>
      <w:iCs/>
      <w:noProof/>
      <w:sz w:val="24"/>
      <w:szCs w:val="24"/>
      <w:lang w:eastAsia="en-US"/>
    </w:rPr>
  </w:style>
  <w:style w:type="character" w:customStyle="1" w:styleId="Heading9Char">
    <w:name w:val="Heading 9 Char"/>
    <w:basedOn w:val="DefaultParagraphFont"/>
    <w:link w:val="Heading9"/>
    <w:uiPriority w:val="9"/>
    <w:rsid w:val="00487CF5"/>
    <w:rPr>
      <w:rFonts w:ascii="Cambria" w:eastAsia="Times New Roman" w:hAnsi="Cambria"/>
      <w:noProof/>
      <w:sz w:val="22"/>
      <w:szCs w:val="21"/>
      <w:lang w:eastAsia="en-US"/>
    </w:rPr>
  </w:style>
  <w:style w:type="paragraph" w:styleId="NoSpacing">
    <w:name w:val="No Spacing"/>
    <w:aliases w:val="Kuupäev tiitellehel"/>
    <w:link w:val="NoSpacingChar"/>
    <w:uiPriority w:val="1"/>
    <w:qFormat/>
    <w:rsid w:val="00487CF5"/>
    <w:rPr>
      <w:rFonts w:ascii="Georgia" w:eastAsia="Times New Roman" w:hAnsi="Georgia"/>
      <w:color w:val="FFFFFF"/>
      <w:sz w:val="28"/>
      <w:szCs w:val="22"/>
      <w:lang w:val="en-US" w:eastAsia="en-US"/>
    </w:rPr>
  </w:style>
  <w:style w:type="character" w:customStyle="1" w:styleId="NoSpacingChar">
    <w:name w:val="No Spacing Char"/>
    <w:aliases w:val="Kuupäev tiitellehel Char"/>
    <w:basedOn w:val="DefaultParagraphFont"/>
    <w:link w:val="NoSpacing"/>
    <w:uiPriority w:val="1"/>
    <w:locked/>
    <w:rsid w:val="00487CF5"/>
    <w:rPr>
      <w:rFonts w:ascii="Georgia" w:eastAsia="Times New Roman" w:hAnsi="Georgia"/>
      <w:color w:val="FFFFFF"/>
      <w:sz w:val="28"/>
      <w:szCs w:val="22"/>
      <w:lang w:val="en-US" w:eastAsia="en-US"/>
    </w:rPr>
  </w:style>
  <w:style w:type="character" w:styleId="Strong">
    <w:name w:val="Strong"/>
    <w:aliases w:val="Tekst bold"/>
    <w:basedOn w:val="DefaultParagraphFont"/>
    <w:uiPriority w:val="22"/>
    <w:qFormat/>
    <w:rsid w:val="00487CF5"/>
    <w:rPr>
      <w:rFonts w:ascii="Georgia" w:hAnsi="Georgia" w:cs="Times New Roman"/>
      <w:b/>
      <w:bCs/>
      <w:sz w:val="22"/>
    </w:rPr>
  </w:style>
  <w:style w:type="paragraph" w:styleId="Header">
    <w:name w:val="header"/>
    <w:basedOn w:val="Normal"/>
    <w:link w:val="HeaderChar"/>
    <w:uiPriority w:val="99"/>
    <w:rsid w:val="00487CF5"/>
    <w:pPr>
      <w:tabs>
        <w:tab w:val="center" w:pos="4536"/>
        <w:tab w:val="right" w:pos="9072"/>
      </w:tabs>
      <w:spacing w:after="120"/>
    </w:pPr>
    <w:rPr>
      <w:rFonts w:eastAsia="Times New Roman"/>
      <w:noProof/>
      <w:szCs w:val="21"/>
    </w:rPr>
  </w:style>
  <w:style w:type="character" w:customStyle="1" w:styleId="HeaderChar">
    <w:name w:val="Header Char"/>
    <w:basedOn w:val="DefaultParagraphFont"/>
    <w:link w:val="Header"/>
    <w:uiPriority w:val="99"/>
    <w:rsid w:val="00487CF5"/>
    <w:rPr>
      <w:rFonts w:ascii="Georgia" w:eastAsia="Times New Roman" w:hAnsi="Georgia"/>
      <w:noProof/>
      <w:sz w:val="22"/>
      <w:szCs w:val="21"/>
      <w:lang w:eastAsia="en-US"/>
    </w:rPr>
  </w:style>
  <w:style w:type="paragraph" w:styleId="Footer">
    <w:name w:val="footer"/>
    <w:basedOn w:val="Normal"/>
    <w:link w:val="FooterChar"/>
    <w:uiPriority w:val="99"/>
    <w:rsid w:val="00487CF5"/>
    <w:pPr>
      <w:tabs>
        <w:tab w:val="center" w:pos="4536"/>
        <w:tab w:val="right" w:pos="9072"/>
      </w:tabs>
      <w:spacing w:after="120"/>
    </w:pPr>
    <w:rPr>
      <w:rFonts w:eastAsia="Times New Roman"/>
      <w:noProof/>
      <w:szCs w:val="21"/>
    </w:rPr>
  </w:style>
  <w:style w:type="character" w:customStyle="1" w:styleId="FooterChar">
    <w:name w:val="Footer Char"/>
    <w:basedOn w:val="DefaultParagraphFont"/>
    <w:link w:val="Footer"/>
    <w:uiPriority w:val="99"/>
    <w:rsid w:val="00487CF5"/>
    <w:rPr>
      <w:rFonts w:ascii="Georgia" w:eastAsia="Times New Roman" w:hAnsi="Georgia"/>
      <w:noProof/>
      <w:sz w:val="22"/>
      <w:szCs w:val="21"/>
      <w:lang w:eastAsia="en-US"/>
    </w:rPr>
  </w:style>
  <w:style w:type="character" w:styleId="IntenseEmphasis">
    <w:name w:val="Intense Emphasis"/>
    <w:basedOn w:val="DefaultParagraphFont"/>
    <w:uiPriority w:val="21"/>
    <w:qFormat/>
    <w:rsid w:val="00487CF5"/>
    <w:rPr>
      <w:rFonts w:ascii="Georgia" w:hAnsi="Georgia" w:cs="Times New Roman"/>
      <w:color w:val="auto"/>
      <w:sz w:val="18"/>
    </w:rPr>
  </w:style>
  <w:style w:type="paragraph" w:customStyle="1" w:styleId="Alapealkiri1">
    <w:name w:val="Alapealkiri1"/>
    <w:basedOn w:val="WW-BodyText21"/>
    <w:link w:val="AlapealkiriChar"/>
    <w:autoRedefine/>
    <w:uiPriority w:val="99"/>
    <w:qFormat/>
    <w:rsid w:val="00487CF5"/>
  </w:style>
  <w:style w:type="character" w:customStyle="1" w:styleId="AlapealkiriChar">
    <w:name w:val="Alapealkiri Char"/>
    <w:basedOn w:val="DefaultParagraphFont"/>
    <w:link w:val="Alapealkiri1"/>
    <w:uiPriority w:val="99"/>
    <w:locked/>
    <w:rsid w:val="00487CF5"/>
    <w:rPr>
      <w:rFonts w:ascii="Times New Roman" w:eastAsia="Times New Roman" w:hAnsi="Times New Roman"/>
      <w:sz w:val="24"/>
      <w:szCs w:val="24"/>
      <w:lang w:val="en-AU" w:eastAsia="ar-SA"/>
    </w:rPr>
  </w:style>
  <w:style w:type="paragraph" w:customStyle="1" w:styleId="StyleCaptionBefore0ptAfter0pt">
    <w:name w:val="Style Caption + Before:  0 pt After:  0 pt"/>
    <w:basedOn w:val="Normal"/>
    <w:next w:val="Normal"/>
    <w:link w:val="StyleCaptionBefore0ptAfter0ptChar"/>
    <w:uiPriority w:val="99"/>
    <w:rsid w:val="00487CF5"/>
    <w:pPr>
      <w:spacing w:after="120"/>
      <w:jc w:val="left"/>
    </w:pPr>
    <w:rPr>
      <w:rFonts w:ascii="Times New Roman" w:eastAsia="Times New Roman" w:hAnsi="Times New Roman"/>
      <w:b/>
      <w:bCs/>
      <w:sz w:val="20"/>
      <w:szCs w:val="20"/>
    </w:rPr>
  </w:style>
  <w:style w:type="character" w:customStyle="1" w:styleId="StyleCaptionBefore0ptAfter0ptChar">
    <w:name w:val="Style Caption + Before:  0 pt After:  0 pt Char"/>
    <w:basedOn w:val="DefaultParagraphFont"/>
    <w:link w:val="StyleCaptionBefore0ptAfter0pt"/>
    <w:uiPriority w:val="99"/>
    <w:locked/>
    <w:rsid w:val="00487CF5"/>
    <w:rPr>
      <w:rFonts w:ascii="Times New Roman" w:eastAsia="Times New Roman" w:hAnsi="Times New Roman"/>
      <w:b/>
      <w:bCs/>
      <w:lang w:eastAsia="en-US"/>
    </w:rPr>
  </w:style>
  <w:style w:type="paragraph" w:customStyle="1" w:styleId="StyleAAuto">
    <w:name w:val="Style A + Auto"/>
    <w:basedOn w:val="Alapealkiri1"/>
    <w:link w:val="StyleAAutoChar"/>
    <w:uiPriority w:val="99"/>
    <w:rsid w:val="00487CF5"/>
    <w:rPr>
      <w:noProof/>
      <w:lang w:val="en-US" w:eastAsia="en-US"/>
    </w:rPr>
  </w:style>
  <w:style w:type="character" w:customStyle="1" w:styleId="StyleAAutoChar">
    <w:name w:val="Style A + Auto Char"/>
    <w:basedOn w:val="AlapealkiriChar"/>
    <w:link w:val="StyleAAuto"/>
    <w:uiPriority w:val="99"/>
    <w:locked/>
    <w:rsid w:val="00487CF5"/>
    <w:rPr>
      <w:noProof/>
      <w:lang w:val="en-US" w:eastAsia="en-US"/>
    </w:rPr>
  </w:style>
  <w:style w:type="character" w:styleId="SubtleEmphasis">
    <w:name w:val="Subtle Emphasis"/>
    <w:basedOn w:val="DefaultParagraphFont"/>
    <w:uiPriority w:val="19"/>
    <w:qFormat/>
    <w:rsid w:val="00487CF5"/>
    <w:rPr>
      <w:rFonts w:cs="Times New Roman"/>
      <w:i/>
      <w:iCs/>
      <w:color w:val="808080"/>
    </w:rPr>
  </w:style>
  <w:style w:type="paragraph" w:customStyle="1" w:styleId="B">
    <w:name w:val="B"/>
    <w:basedOn w:val="Heading1"/>
    <w:uiPriority w:val="99"/>
    <w:rsid w:val="00487CF5"/>
    <w:pPr>
      <w:keepLines w:val="0"/>
      <w:tabs>
        <w:tab w:val="num" w:pos="0"/>
      </w:tabs>
      <w:suppressAutoHyphens/>
      <w:spacing w:before="120" w:after="120"/>
      <w:jc w:val="left"/>
    </w:pPr>
    <w:rPr>
      <w:rFonts w:ascii="Arial" w:eastAsia="Times New Roman" w:hAnsi="Arial" w:cs="Arial"/>
      <w:color w:val="auto"/>
      <w:sz w:val="32"/>
      <w:szCs w:val="32"/>
      <w:lang w:eastAsia="ar-SA"/>
    </w:rPr>
  </w:style>
  <w:style w:type="paragraph" w:styleId="TOC1">
    <w:name w:val="toc 1"/>
    <w:basedOn w:val="Normal"/>
    <w:next w:val="Normal"/>
    <w:autoRedefine/>
    <w:uiPriority w:val="39"/>
    <w:rsid w:val="00487CF5"/>
    <w:pPr>
      <w:tabs>
        <w:tab w:val="left" w:pos="440"/>
        <w:tab w:val="right" w:leader="dot" w:pos="9061"/>
      </w:tabs>
      <w:spacing w:after="120"/>
    </w:pPr>
    <w:rPr>
      <w:rFonts w:eastAsia="Times New Roman"/>
      <w:noProof/>
      <w:sz w:val="24"/>
      <w:szCs w:val="21"/>
    </w:rPr>
  </w:style>
  <w:style w:type="paragraph" w:styleId="TOC2">
    <w:name w:val="toc 2"/>
    <w:basedOn w:val="Normal"/>
    <w:next w:val="Normal"/>
    <w:autoRedefine/>
    <w:uiPriority w:val="39"/>
    <w:rsid w:val="00487CF5"/>
    <w:pPr>
      <w:tabs>
        <w:tab w:val="left" w:pos="880"/>
        <w:tab w:val="right" w:leader="dot" w:pos="9061"/>
      </w:tabs>
      <w:spacing w:after="120"/>
      <w:ind w:left="221"/>
    </w:pPr>
    <w:rPr>
      <w:rFonts w:eastAsia="Times New Roman"/>
      <w:noProof/>
      <w:szCs w:val="21"/>
    </w:rPr>
  </w:style>
  <w:style w:type="character" w:styleId="Hyperlink">
    <w:name w:val="Hyperlink"/>
    <w:basedOn w:val="DefaultParagraphFont"/>
    <w:uiPriority w:val="99"/>
    <w:unhideWhenUsed/>
    <w:rsid w:val="00487CF5"/>
    <w:rPr>
      <w:rFonts w:cs="Times New Roman"/>
      <w:color w:val="0000FF"/>
      <w:u w:val="single"/>
    </w:rPr>
  </w:style>
  <w:style w:type="paragraph" w:styleId="TOC3">
    <w:name w:val="toc 3"/>
    <w:basedOn w:val="Normal"/>
    <w:next w:val="Normal"/>
    <w:autoRedefine/>
    <w:uiPriority w:val="39"/>
    <w:rsid w:val="00487CF5"/>
    <w:pPr>
      <w:tabs>
        <w:tab w:val="left" w:pos="1320"/>
        <w:tab w:val="right" w:leader="dot" w:pos="9060"/>
      </w:tabs>
      <w:spacing w:after="120"/>
      <w:ind w:left="440"/>
    </w:pPr>
    <w:rPr>
      <w:rFonts w:eastAsia="Times New Roman"/>
      <w:noProof/>
      <w:szCs w:val="21"/>
    </w:rPr>
  </w:style>
  <w:style w:type="paragraph" w:styleId="List">
    <w:name w:val="List"/>
    <w:basedOn w:val="Normal"/>
    <w:uiPriority w:val="99"/>
    <w:rsid w:val="00487CF5"/>
    <w:pPr>
      <w:numPr>
        <w:numId w:val="2"/>
      </w:numPr>
      <w:suppressAutoHyphens/>
      <w:spacing w:after="120"/>
      <w:ind w:left="426" w:hanging="426"/>
    </w:pPr>
    <w:rPr>
      <w:rFonts w:ascii="Calibri" w:eastAsia="Times New Roman" w:hAnsi="Calibri" w:cs="Calibri"/>
      <w:szCs w:val="21"/>
      <w:lang w:eastAsia="ar-SA"/>
    </w:rPr>
  </w:style>
  <w:style w:type="paragraph" w:customStyle="1" w:styleId="StyleStyleCaptionBefore0ptAfter0ptNotBold">
    <w:name w:val="Style Style Caption + Before:  0 pt After:  0 pt + Not Bold"/>
    <w:basedOn w:val="Normal"/>
    <w:link w:val="StyleStyleCaptionBefore0ptAfter0ptNotBoldChar"/>
    <w:uiPriority w:val="99"/>
    <w:rsid w:val="00487CF5"/>
    <w:pPr>
      <w:spacing w:after="120"/>
      <w:jc w:val="left"/>
    </w:pPr>
    <w:rPr>
      <w:rFonts w:ascii="Times New Roman" w:eastAsia="Times New Roman" w:hAnsi="Times New Roman"/>
      <w:sz w:val="20"/>
      <w:szCs w:val="20"/>
    </w:rPr>
  </w:style>
  <w:style w:type="character" w:customStyle="1" w:styleId="StyleStyleCaptionBefore0ptAfter0ptNotBoldChar">
    <w:name w:val="Style Style Caption + Before:  0 pt After:  0 pt + Not Bold Char"/>
    <w:basedOn w:val="DefaultParagraphFont"/>
    <w:link w:val="StyleStyleCaptionBefore0ptAfter0ptNotBold"/>
    <w:uiPriority w:val="99"/>
    <w:locked/>
    <w:rsid w:val="00487CF5"/>
    <w:rPr>
      <w:rFonts w:ascii="Times New Roman" w:eastAsia="Times New Roman" w:hAnsi="Times New Roman"/>
      <w:lang w:eastAsia="en-US"/>
    </w:rPr>
  </w:style>
  <w:style w:type="paragraph" w:customStyle="1" w:styleId="Suurpealkiri">
    <w:name w:val="Suur pealkiri"/>
    <w:basedOn w:val="Heading2"/>
    <w:next w:val="Normal"/>
    <w:link w:val="SuurpealkiriChar"/>
    <w:qFormat/>
    <w:rsid w:val="00487CF5"/>
    <w:pPr>
      <w:keepLines/>
      <w:pageBreakBefore/>
      <w:spacing w:before="360" w:after="120"/>
      <w:ind w:left="425" w:hanging="425"/>
      <w:jc w:val="left"/>
    </w:pPr>
    <w:rPr>
      <w:rFonts w:ascii="Georgia" w:eastAsia="Times New Roman" w:hAnsi="Georgia" w:cs="Times New Roman"/>
      <w:iCs w:val="0"/>
      <w:noProof/>
      <w:sz w:val="44"/>
      <w:szCs w:val="26"/>
    </w:rPr>
  </w:style>
  <w:style w:type="paragraph" w:customStyle="1" w:styleId="Tabel">
    <w:name w:val="Tabel"/>
    <w:basedOn w:val="StyleStyleCaptionBefore0ptAfter0ptNotBold"/>
    <w:link w:val="TabelChar"/>
    <w:qFormat/>
    <w:rsid w:val="00487CF5"/>
    <w:pPr>
      <w:keepNext/>
      <w:spacing w:after="0"/>
      <w:contextualSpacing/>
    </w:pPr>
    <w:rPr>
      <w:rFonts w:ascii="Georgia" w:hAnsi="Georgia" w:cs="Calibri"/>
      <w:sz w:val="18"/>
      <w:szCs w:val="18"/>
    </w:rPr>
  </w:style>
  <w:style w:type="character" w:customStyle="1" w:styleId="SuurpealkiriChar">
    <w:name w:val="Suur pealkiri Char"/>
    <w:basedOn w:val="Heading2Char"/>
    <w:link w:val="Suurpealkiri"/>
    <w:locked/>
    <w:rsid w:val="00487CF5"/>
    <w:rPr>
      <w:rFonts w:ascii="Georgia" w:eastAsia="Times New Roman" w:hAnsi="Georgia"/>
      <w:noProof/>
      <w:sz w:val="44"/>
      <w:szCs w:val="26"/>
    </w:rPr>
  </w:style>
  <w:style w:type="character" w:styleId="FootnoteReference">
    <w:name w:val="footnote reference"/>
    <w:aliases w:val="Footnote symbol,Ref,de nota al pie,-E Fußnotenzeichen"/>
    <w:basedOn w:val="DefaultParagraphFont"/>
    <w:uiPriority w:val="99"/>
    <w:rsid w:val="00487CF5"/>
    <w:rPr>
      <w:rFonts w:cs="Times New Roman"/>
      <w:vertAlign w:val="superscript"/>
    </w:rPr>
  </w:style>
  <w:style w:type="character" w:customStyle="1" w:styleId="TabelChar">
    <w:name w:val="Tabel Char"/>
    <w:basedOn w:val="StyleStyleCaptionBefore0ptAfter0ptNotBoldChar"/>
    <w:link w:val="Tabel"/>
    <w:locked/>
    <w:rsid w:val="00487CF5"/>
    <w:rPr>
      <w:rFonts w:ascii="Georgia" w:hAnsi="Georgia" w:cs="Calibri"/>
      <w:sz w:val="18"/>
      <w:szCs w:val="18"/>
    </w:rPr>
  </w:style>
  <w:style w:type="paragraph" w:styleId="FootnoteText">
    <w:name w:val="footnote text"/>
    <w:aliases w:val="Footnote Text Char Char Char Char,Footnote Text Char Char,Footnote Text Char Char Char Char Char,Footnote Text Char Char Char Char Char Char Char Char,Footnote Text Char Char Char,Footnote Text Char1,Footnote Text Char Char1,Schriftart: 9"/>
    <w:basedOn w:val="Normal"/>
    <w:link w:val="FootnoteTextChar"/>
    <w:uiPriority w:val="99"/>
    <w:rsid w:val="00487CF5"/>
    <w:pPr>
      <w:suppressAutoHyphens/>
      <w:spacing w:after="120"/>
      <w:jc w:val="left"/>
    </w:pPr>
    <w:rPr>
      <w:rFonts w:ascii="Times New Roman" w:eastAsia="Times New Roman" w:hAnsi="Times New Roman"/>
      <w:sz w:val="20"/>
      <w:szCs w:val="20"/>
      <w:lang w:eastAsia="ar-SA"/>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Footnote Text Char1 Char"/>
    <w:basedOn w:val="DefaultParagraphFont"/>
    <w:link w:val="FootnoteText"/>
    <w:uiPriority w:val="99"/>
    <w:rsid w:val="00487CF5"/>
    <w:rPr>
      <w:rFonts w:ascii="Times New Roman" w:eastAsia="Times New Roman" w:hAnsi="Times New Roman"/>
      <w:lang w:eastAsia="ar-SA"/>
    </w:rPr>
  </w:style>
  <w:style w:type="character" w:customStyle="1" w:styleId="FootnoteCharacters">
    <w:name w:val="Footnote Characters"/>
    <w:uiPriority w:val="99"/>
    <w:rsid w:val="00487CF5"/>
    <w:rPr>
      <w:vertAlign w:val="superscript"/>
    </w:rPr>
  </w:style>
  <w:style w:type="paragraph" w:customStyle="1" w:styleId="g">
    <w:name w:val="g"/>
    <w:uiPriority w:val="99"/>
    <w:rsid w:val="00487CF5"/>
    <w:rPr>
      <w:rFonts w:ascii="Arial" w:eastAsia="Times New Roman" w:hAnsi="Arial" w:cs="Arial"/>
      <w:b/>
      <w:bCs/>
      <w:caps/>
      <w:sz w:val="24"/>
      <w:szCs w:val="24"/>
      <w:lang w:eastAsia="ar-SA"/>
    </w:rPr>
  </w:style>
  <w:style w:type="paragraph" w:customStyle="1" w:styleId="Lisad">
    <w:name w:val="Lisad"/>
    <w:basedOn w:val="Heading3"/>
    <w:link w:val="LisadChar"/>
    <w:qFormat/>
    <w:rsid w:val="00487CF5"/>
    <w:pPr>
      <w:numPr>
        <w:numId w:val="0"/>
      </w:numPr>
      <w:spacing w:before="0"/>
    </w:pPr>
  </w:style>
  <w:style w:type="paragraph" w:customStyle="1" w:styleId="2Pealkiri">
    <w:name w:val="2Pealkiri"/>
    <w:basedOn w:val="Heading2"/>
    <w:link w:val="2PealkiriChar"/>
    <w:qFormat/>
    <w:rsid w:val="0034698C"/>
    <w:pPr>
      <w:keepLines/>
      <w:spacing w:before="360" w:after="120"/>
      <w:jc w:val="left"/>
    </w:pPr>
    <w:rPr>
      <w:rFonts w:ascii="Georgia" w:eastAsia="Times New Roman" w:hAnsi="Georgia" w:cs="Times New Roman"/>
      <w:iCs w:val="0"/>
      <w:noProof/>
      <w:color w:val="1C9AD7"/>
      <w:sz w:val="32"/>
      <w:szCs w:val="26"/>
    </w:rPr>
  </w:style>
  <w:style w:type="character" w:customStyle="1" w:styleId="LisadChar">
    <w:name w:val="Lisad Char"/>
    <w:basedOn w:val="Heading3Char"/>
    <w:link w:val="Lisad"/>
    <w:locked/>
    <w:rsid w:val="00487CF5"/>
  </w:style>
  <w:style w:type="paragraph" w:customStyle="1" w:styleId="Sisukord">
    <w:name w:val="Sisukord"/>
    <w:basedOn w:val="Normal"/>
    <w:link w:val="SisukordChar"/>
    <w:qFormat/>
    <w:rsid w:val="00487CF5"/>
    <w:pPr>
      <w:spacing w:before="120" w:after="120"/>
    </w:pPr>
    <w:rPr>
      <w:rFonts w:eastAsia="Times New Roman"/>
      <w:noProof/>
      <w:szCs w:val="21"/>
    </w:rPr>
  </w:style>
  <w:style w:type="character" w:customStyle="1" w:styleId="2PealkiriChar">
    <w:name w:val="2Pealkiri Char"/>
    <w:basedOn w:val="Heading2Char"/>
    <w:link w:val="2Pealkiri"/>
    <w:locked/>
    <w:rsid w:val="00013B1D"/>
    <w:rPr>
      <w:rFonts w:ascii="Georgia" w:eastAsia="Times New Roman" w:hAnsi="Georgia"/>
      <w:bCs/>
      <w:noProof/>
      <w:color w:val="1C9AD7"/>
      <w:sz w:val="32"/>
      <w:szCs w:val="26"/>
    </w:rPr>
  </w:style>
  <w:style w:type="character" w:customStyle="1" w:styleId="SisukordChar">
    <w:name w:val="Sisukord Char"/>
    <w:basedOn w:val="DefaultParagraphFont"/>
    <w:link w:val="Sisukord"/>
    <w:locked/>
    <w:rsid w:val="00487CF5"/>
    <w:rPr>
      <w:rFonts w:ascii="Georgia" w:eastAsia="Times New Roman" w:hAnsi="Georgia"/>
      <w:noProof/>
      <w:sz w:val="22"/>
      <w:szCs w:val="21"/>
      <w:lang w:eastAsia="en-US"/>
    </w:rPr>
  </w:style>
  <w:style w:type="paragraph" w:customStyle="1" w:styleId="Heading413pt">
    <w:name w:val="Heading 4 + 13 pt"/>
    <w:basedOn w:val="Heading4"/>
    <w:uiPriority w:val="99"/>
    <w:rsid w:val="00487CF5"/>
    <w:pPr>
      <w:keepLines w:val="0"/>
      <w:numPr>
        <w:ilvl w:val="1"/>
        <w:numId w:val="3"/>
      </w:numPr>
      <w:tabs>
        <w:tab w:val="clear" w:pos="1440"/>
      </w:tabs>
      <w:spacing w:after="60"/>
    </w:pPr>
    <w:rPr>
      <w:rFonts w:ascii="Times New Roman" w:hAnsi="Times New Roman"/>
      <w:i/>
      <w:kern w:val="32"/>
      <w:sz w:val="26"/>
      <w:szCs w:val="26"/>
      <w:lang w:eastAsia="et-EE"/>
    </w:rPr>
  </w:style>
  <w:style w:type="paragraph" w:customStyle="1" w:styleId="xl25">
    <w:name w:val="xl25"/>
    <w:basedOn w:val="Normal"/>
    <w:uiPriority w:val="99"/>
    <w:rsid w:val="00487CF5"/>
    <w:pPr>
      <w:spacing w:before="100" w:beforeAutospacing="1" w:after="100" w:afterAutospacing="1"/>
      <w:jc w:val="center"/>
    </w:pPr>
    <w:rPr>
      <w:rFonts w:ascii="Arial Unicode MS" w:eastAsia="Times New Roman" w:hAnsi="Times New Roman" w:cs="Arial Unicode MS"/>
      <w:sz w:val="18"/>
      <w:szCs w:val="18"/>
      <w:lang w:val="en-GB"/>
    </w:rPr>
  </w:style>
  <w:style w:type="paragraph" w:styleId="Caption">
    <w:name w:val="caption"/>
    <w:aliases w:val="Joonise pealkiri,Caption Tabel"/>
    <w:basedOn w:val="Tabel"/>
    <w:uiPriority w:val="35"/>
    <w:qFormat/>
    <w:rsid w:val="00EE7428"/>
    <w:rPr>
      <w:b/>
      <w:bCs/>
      <w:color w:val="0070C0"/>
    </w:rPr>
  </w:style>
  <w:style w:type="paragraph" w:styleId="TOCHeading">
    <w:name w:val="TOC Heading"/>
    <w:basedOn w:val="Heading1"/>
    <w:next w:val="Normal"/>
    <w:uiPriority w:val="39"/>
    <w:unhideWhenUsed/>
    <w:qFormat/>
    <w:rsid w:val="00487CF5"/>
    <w:pPr>
      <w:spacing w:after="120"/>
      <w:jc w:val="left"/>
      <w:outlineLvl w:val="9"/>
    </w:pPr>
    <w:rPr>
      <w:rFonts w:ascii="Cambria" w:eastAsia="Times New Roman" w:hAnsi="Cambria" w:cs="Times New Roman"/>
      <w:color w:val="365F91"/>
      <w:sz w:val="28"/>
    </w:rPr>
  </w:style>
  <w:style w:type="character" w:styleId="Emphasis">
    <w:name w:val="Emphasis"/>
    <w:basedOn w:val="DefaultParagraphFont"/>
    <w:uiPriority w:val="99"/>
    <w:qFormat/>
    <w:rsid w:val="00487CF5"/>
    <w:rPr>
      <w:rFonts w:cs="Times New Roman"/>
      <w:i/>
      <w:iCs/>
    </w:rPr>
  </w:style>
  <w:style w:type="paragraph" w:styleId="BodyText">
    <w:name w:val="Body Text"/>
    <w:basedOn w:val="Normal"/>
    <w:link w:val="BodyTextChar"/>
    <w:uiPriority w:val="99"/>
    <w:rsid w:val="00487CF5"/>
    <w:pPr>
      <w:suppressAutoHyphens/>
      <w:spacing w:after="120"/>
      <w:jc w:val="left"/>
    </w:pPr>
    <w:rPr>
      <w:rFonts w:ascii="Times New Roman" w:eastAsia="Times New Roman" w:hAnsi="Times New Roman"/>
      <w:sz w:val="24"/>
      <w:szCs w:val="24"/>
      <w:lang w:eastAsia="ar-SA"/>
    </w:rPr>
  </w:style>
  <w:style w:type="character" w:customStyle="1" w:styleId="BodyTextChar">
    <w:name w:val="Body Text Char"/>
    <w:basedOn w:val="DefaultParagraphFont"/>
    <w:link w:val="BodyText"/>
    <w:uiPriority w:val="99"/>
    <w:rsid w:val="00487CF5"/>
    <w:rPr>
      <w:rFonts w:ascii="Times New Roman" w:eastAsia="Times New Roman" w:hAnsi="Times New Roman"/>
      <w:sz w:val="24"/>
      <w:szCs w:val="24"/>
      <w:lang w:eastAsia="ar-SA"/>
    </w:rPr>
  </w:style>
  <w:style w:type="paragraph" w:customStyle="1" w:styleId="WW-TableContents111111111111111">
    <w:name w:val="WW-Table Contents111111111111111"/>
    <w:basedOn w:val="BodyText"/>
    <w:uiPriority w:val="99"/>
    <w:rsid w:val="00487CF5"/>
    <w:pPr>
      <w:widowControl w:val="0"/>
      <w:suppressLineNumbers/>
    </w:pPr>
  </w:style>
  <w:style w:type="paragraph" w:customStyle="1" w:styleId="WW-BodyText21">
    <w:name w:val="WW-Body Text 21"/>
    <w:basedOn w:val="Normal"/>
    <w:uiPriority w:val="99"/>
    <w:rsid w:val="00487CF5"/>
    <w:pPr>
      <w:suppressAutoHyphens/>
      <w:spacing w:after="120"/>
    </w:pPr>
    <w:rPr>
      <w:rFonts w:ascii="Times New Roman" w:eastAsia="Times New Roman" w:hAnsi="Times New Roman"/>
      <w:sz w:val="24"/>
      <w:szCs w:val="24"/>
      <w:lang w:val="en-AU" w:eastAsia="ar-SA"/>
    </w:rPr>
  </w:style>
  <w:style w:type="character" w:customStyle="1" w:styleId="KehatekstMrk">
    <w:name w:val="Kehatekst Märk"/>
    <w:basedOn w:val="DefaultParagraphFont"/>
    <w:uiPriority w:val="99"/>
    <w:rsid w:val="00487CF5"/>
    <w:rPr>
      <w:rFonts w:cs="Times New Roman"/>
      <w:sz w:val="24"/>
      <w:szCs w:val="24"/>
      <w:lang w:val="et-EE" w:eastAsia="ar-SA" w:bidi="ar-SA"/>
    </w:rPr>
  </w:style>
  <w:style w:type="paragraph" w:customStyle="1" w:styleId="C">
    <w:name w:val="C"/>
    <w:basedOn w:val="Heading1"/>
    <w:uiPriority w:val="99"/>
    <w:rsid w:val="00487CF5"/>
    <w:pPr>
      <w:keepLines w:val="0"/>
      <w:tabs>
        <w:tab w:val="num" w:pos="0"/>
      </w:tabs>
      <w:suppressAutoHyphens/>
      <w:spacing w:before="120" w:after="120"/>
    </w:pPr>
    <w:rPr>
      <w:rFonts w:ascii="Arial" w:eastAsia="Times New Roman" w:hAnsi="Arial" w:cs="Arial"/>
      <w:b w:val="0"/>
      <w:bCs w:val="0"/>
      <w:color w:val="auto"/>
      <w:sz w:val="32"/>
      <w:szCs w:val="32"/>
      <w:u w:val="single"/>
      <w:lang w:eastAsia="ar-SA"/>
    </w:rPr>
  </w:style>
  <w:style w:type="paragraph" w:customStyle="1" w:styleId="Index">
    <w:name w:val="Index"/>
    <w:basedOn w:val="Normal"/>
    <w:uiPriority w:val="99"/>
    <w:rsid w:val="00487CF5"/>
    <w:pPr>
      <w:suppressLineNumbers/>
      <w:suppressAutoHyphens/>
      <w:overflowPunct w:val="0"/>
      <w:autoSpaceDE w:val="0"/>
      <w:spacing w:after="120"/>
      <w:jc w:val="left"/>
      <w:textAlignment w:val="baseline"/>
    </w:pPr>
    <w:rPr>
      <w:rFonts w:ascii="Times New Roman" w:eastAsia="Times New Roman" w:hAnsi="Times New Roman"/>
      <w:sz w:val="24"/>
      <w:szCs w:val="24"/>
      <w:lang w:eastAsia="ar-SA"/>
    </w:rPr>
  </w:style>
  <w:style w:type="paragraph" w:customStyle="1" w:styleId="WW-BodyText2">
    <w:name w:val="WW-Body Text 2"/>
    <w:basedOn w:val="Normal"/>
    <w:uiPriority w:val="99"/>
    <w:rsid w:val="00487CF5"/>
    <w:pPr>
      <w:widowControl w:val="0"/>
      <w:suppressAutoHyphens/>
      <w:spacing w:after="120"/>
    </w:pPr>
    <w:rPr>
      <w:rFonts w:ascii="Times New Roman" w:eastAsia="Times New Roman" w:hAnsi="Times New Roman"/>
      <w:sz w:val="24"/>
      <w:szCs w:val="24"/>
      <w:lang w:eastAsia="ar-SA"/>
    </w:rPr>
  </w:style>
  <w:style w:type="character" w:customStyle="1" w:styleId="WW8Num1z0">
    <w:name w:val="WW8Num1z0"/>
    <w:uiPriority w:val="99"/>
    <w:rsid w:val="00487CF5"/>
    <w:rPr>
      <w:b/>
    </w:rPr>
  </w:style>
  <w:style w:type="character" w:customStyle="1" w:styleId="WW8Num2z0">
    <w:name w:val="WW8Num2z0"/>
    <w:uiPriority w:val="99"/>
    <w:rsid w:val="00487CF5"/>
    <w:rPr>
      <w:b/>
    </w:rPr>
  </w:style>
  <w:style w:type="character" w:customStyle="1" w:styleId="WW8Num10z0">
    <w:name w:val="WW8Num10z0"/>
    <w:uiPriority w:val="99"/>
    <w:rsid w:val="00487CF5"/>
    <w:rPr>
      <w:rFonts w:ascii="Times New Roman" w:hAnsi="Times New Roman"/>
    </w:rPr>
  </w:style>
  <w:style w:type="character" w:customStyle="1" w:styleId="WW8Num12z0">
    <w:name w:val="WW8Num12z0"/>
    <w:uiPriority w:val="99"/>
    <w:rsid w:val="00487CF5"/>
    <w:rPr>
      <w:rFonts w:ascii="Symbol" w:hAnsi="Symbol"/>
    </w:rPr>
  </w:style>
  <w:style w:type="character" w:customStyle="1" w:styleId="WW8Num12z1">
    <w:name w:val="WW8Num12z1"/>
    <w:uiPriority w:val="99"/>
    <w:rsid w:val="00487CF5"/>
    <w:rPr>
      <w:rFonts w:ascii="Courier New" w:hAnsi="Courier New"/>
    </w:rPr>
  </w:style>
  <w:style w:type="character" w:customStyle="1" w:styleId="WW8Num12z2">
    <w:name w:val="WW8Num12z2"/>
    <w:uiPriority w:val="99"/>
    <w:rsid w:val="00487CF5"/>
    <w:rPr>
      <w:rFonts w:ascii="Wingdings" w:hAnsi="Wingdings"/>
    </w:rPr>
  </w:style>
  <w:style w:type="character" w:customStyle="1" w:styleId="WW8Num13z0">
    <w:name w:val="WW8Num13z0"/>
    <w:uiPriority w:val="99"/>
    <w:rsid w:val="00487CF5"/>
    <w:rPr>
      <w:rFonts w:ascii="Times New Roman" w:hAnsi="Times New Roman"/>
    </w:rPr>
  </w:style>
  <w:style w:type="character" w:customStyle="1" w:styleId="WW8Num13z1">
    <w:name w:val="WW8Num13z1"/>
    <w:uiPriority w:val="99"/>
    <w:rsid w:val="00487CF5"/>
    <w:rPr>
      <w:rFonts w:ascii="Courier New" w:hAnsi="Courier New"/>
    </w:rPr>
  </w:style>
  <w:style w:type="character" w:customStyle="1" w:styleId="WW8Num13z2">
    <w:name w:val="WW8Num13z2"/>
    <w:uiPriority w:val="99"/>
    <w:rsid w:val="00487CF5"/>
    <w:rPr>
      <w:rFonts w:ascii="Wingdings" w:hAnsi="Wingdings"/>
    </w:rPr>
  </w:style>
  <w:style w:type="character" w:customStyle="1" w:styleId="WW8Num13z3">
    <w:name w:val="WW8Num13z3"/>
    <w:uiPriority w:val="99"/>
    <w:rsid w:val="00487CF5"/>
    <w:rPr>
      <w:rFonts w:ascii="Symbol" w:hAnsi="Symbol"/>
    </w:rPr>
  </w:style>
  <w:style w:type="character" w:customStyle="1" w:styleId="WW8Num15z0">
    <w:name w:val="WW8Num15z0"/>
    <w:uiPriority w:val="99"/>
    <w:rsid w:val="00487CF5"/>
    <w:rPr>
      <w:rFonts w:ascii="Symbol" w:hAnsi="Symbol"/>
    </w:rPr>
  </w:style>
  <w:style w:type="character" w:customStyle="1" w:styleId="WW8Num15z1">
    <w:name w:val="WW8Num15z1"/>
    <w:uiPriority w:val="99"/>
    <w:rsid w:val="00487CF5"/>
    <w:rPr>
      <w:rFonts w:ascii="Courier New" w:hAnsi="Courier New"/>
    </w:rPr>
  </w:style>
  <w:style w:type="character" w:customStyle="1" w:styleId="WW8Num15z2">
    <w:name w:val="WW8Num15z2"/>
    <w:uiPriority w:val="99"/>
    <w:rsid w:val="00487CF5"/>
    <w:rPr>
      <w:rFonts w:ascii="Wingdings" w:hAnsi="Wingdings"/>
    </w:rPr>
  </w:style>
  <w:style w:type="character" w:customStyle="1" w:styleId="WW8Num19z0">
    <w:name w:val="WW8Num19z0"/>
    <w:uiPriority w:val="99"/>
    <w:rsid w:val="00487CF5"/>
    <w:rPr>
      <w:rFonts w:ascii="Symbol" w:hAnsi="Symbol"/>
    </w:rPr>
  </w:style>
  <w:style w:type="character" w:customStyle="1" w:styleId="WW8Num19z1">
    <w:name w:val="WW8Num19z1"/>
    <w:uiPriority w:val="99"/>
    <w:rsid w:val="00487CF5"/>
    <w:rPr>
      <w:rFonts w:ascii="Courier New" w:hAnsi="Courier New"/>
    </w:rPr>
  </w:style>
  <w:style w:type="character" w:customStyle="1" w:styleId="WW8Num19z2">
    <w:name w:val="WW8Num19z2"/>
    <w:uiPriority w:val="99"/>
    <w:rsid w:val="00487CF5"/>
    <w:rPr>
      <w:rFonts w:ascii="Wingdings" w:hAnsi="Wingdings"/>
    </w:rPr>
  </w:style>
  <w:style w:type="character" w:customStyle="1" w:styleId="WW8Num21z2">
    <w:name w:val="WW8Num21z2"/>
    <w:uiPriority w:val="99"/>
    <w:rsid w:val="00487CF5"/>
    <w:rPr>
      <w:rFonts w:ascii="Times New Roman" w:hAnsi="Times New Roman"/>
    </w:rPr>
  </w:style>
  <w:style w:type="character" w:customStyle="1" w:styleId="WW8Num22z0">
    <w:name w:val="WW8Num22z0"/>
    <w:uiPriority w:val="99"/>
    <w:rsid w:val="00487CF5"/>
    <w:rPr>
      <w:rFonts w:ascii="Symbol" w:hAnsi="Symbol"/>
    </w:rPr>
  </w:style>
  <w:style w:type="character" w:customStyle="1" w:styleId="WW8Num22z1">
    <w:name w:val="WW8Num22z1"/>
    <w:uiPriority w:val="99"/>
    <w:rsid w:val="00487CF5"/>
    <w:rPr>
      <w:rFonts w:ascii="Courier New" w:hAnsi="Courier New"/>
    </w:rPr>
  </w:style>
  <w:style w:type="character" w:customStyle="1" w:styleId="WW8Num22z2">
    <w:name w:val="WW8Num22z2"/>
    <w:uiPriority w:val="99"/>
    <w:rsid w:val="00487CF5"/>
    <w:rPr>
      <w:rFonts w:ascii="Wingdings" w:hAnsi="Wingdings"/>
    </w:rPr>
  </w:style>
  <w:style w:type="character" w:customStyle="1" w:styleId="WW8Num23z0">
    <w:name w:val="WW8Num23z0"/>
    <w:uiPriority w:val="99"/>
    <w:rsid w:val="00487CF5"/>
    <w:rPr>
      <w:rFonts w:ascii="Times New Roman" w:hAnsi="Times New Roman"/>
    </w:rPr>
  </w:style>
  <w:style w:type="character" w:customStyle="1" w:styleId="WW8Num23z1">
    <w:name w:val="WW8Num23z1"/>
    <w:uiPriority w:val="99"/>
    <w:rsid w:val="00487CF5"/>
    <w:rPr>
      <w:rFonts w:ascii="Courier New" w:hAnsi="Courier New"/>
    </w:rPr>
  </w:style>
  <w:style w:type="character" w:customStyle="1" w:styleId="WW8Num23z2">
    <w:name w:val="WW8Num23z2"/>
    <w:uiPriority w:val="99"/>
    <w:rsid w:val="00487CF5"/>
    <w:rPr>
      <w:rFonts w:ascii="Wingdings" w:hAnsi="Wingdings"/>
    </w:rPr>
  </w:style>
  <w:style w:type="character" w:customStyle="1" w:styleId="WW8Num23z3">
    <w:name w:val="WW8Num23z3"/>
    <w:uiPriority w:val="99"/>
    <w:rsid w:val="00487CF5"/>
    <w:rPr>
      <w:rFonts w:ascii="Symbol" w:hAnsi="Symbol"/>
    </w:rPr>
  </w:style>
  <w:style w:type="character" w:customStyle="1" w:styleId="WW8Num24z1">
    <w:name w:val="WW8Num24z1"/>
    <w:uiPriority w:val="99"/>
    <w:rsid w:val="00487CF5"/>
    <w:rPr>
      <w:rFonts w:ascii="Times New Roman" w:hAnsi="Times New Roman"/>
    </w:rPr>
  </w:style>
  <w:style w:type="character" w:customStyle="1" w:styleId="WW-FootnoteCharacters1111111111111111111">
    <w:name w:val="WW-Footnote Characters1111111111111111111"/>
    <w:uiPriority w:val="99"/>
    <w:rsid w:val="00487CF5"/>
    <w:rPr>
      <w:vertAlign w:val="superscript"/>
    </w:rPr>
  </w:style>
  <w:style w:type="character" w:customStyle="1" w:styleId="WW-FootnoteCharacters111111111111111111111111111111">
    <w:name w:val="WW-Footnote Characters111111111111111111111111111111"/>
    <w:uiPriority w:val="99"/>
    <w:rsid w:val="00487CF5"/>
    <w:rPr>
      <w:vertAlign w:val="superscript"/>
    </w:rPr>
  </w:style>
  <w:style w:type="character" w:customStyle="1" w:styleId="WW-FootnoteCharacters11111111111111111">
    <w:name w:val="WW-Footnote Characters11111111111111111"/>
    <w:uiPriority w:val="99"/>
    <w:rsid w:val="00487CF5"/>
    <w:rPr>
      <w:vertAlign w:val="superscript"/>
    </w:rPr>
  </w:style>
  <w:style w:type="character" w:customStyle="1" w:styleId="WW8Num9z0">
    <w:name w:val="WW8Num9z0"/>
    <w:uiPriority w:val="99"/>
    <w:rsid w:val="00487CF5"/>
    <w:rPr>
      <w:rFonts w:ascii="Times New Roman" w:hAnsi="Times New Roman"/>
    </w:rPr>
  </w:style>
  <w:style w:type="character" w:customStyle="1" w:styleId="NumberingSymbols">
    <w:name w:val="Numbering Symbols"/>
    <w:uiPriority w:val="99"/>
    <w:rsid w:val="00487CF5"/>
  </w:style>
  <w:style w:type="character" w:customStyle="1" w:styleId="EndnoteCharacters">
    <w:name w:val="Endnote Characters"/>
    <w:uiPriority w:val="99"/>
    <w:rsid w:val="00487CF5"/>
  </w:style>
  <w:style w:type="character" w:styleId="FollowedHyperlink">
    <w:name w:val="FollowedHyperlink"/>
    <w:basedOn w:val="DefaultParagraphFont"/>
    <w:uiPriority w:val="99"/>
    <w:rsid w:val="00487CF5"/>
    <w:rPr>
      <w:rFonts w:cs="Times New Roman"/>
      <w:color w:val="800080"/>
      <w:u w:val="single"/>
    </w:rPr>
  </w:style>
  <w:style w:type="character" w:styleId="PageNumber">
    <w:name w:val="page number"/>
    <w:basedOn w:val="DefaultParagraphFont"/>
    <w:uiPriority w:val="99"/>
    <w:rsid w:val="00487CF5"/>
    <w:rPr>
      <w:rFonts w:cs="Times New Roman"/>
    </w:rPr>
  </w:style>
  <w:style w:type="character" w:customStyle="1" w:styleId="WW-Absatz-Standardschriftart">
    <w:name w:val="WW-Absatz-Standardschriftart"/>
    <w:uiPriority w:val="99"/>
    <w:rsid w:val="00487CF5"/>
  </w:style>
  <w:style w:type="character" w:customStyle="1" w:styleId="WW-Absatz-Standardschriftart1">
    <w:name w:val="WW-Absatz-Standardschriftart1"/>
    <w:uiPriority w:val="99"/>
    <w:rsid w:val="00487CF5"/>
  </w:style>
  <w:style w:type="character" w:customStyle="1" w:styleId="CharChar">
    <w:name w:val="Char Char"/>
    <w:basedOn w:val="DefaultParagraphFont"/>
    <w:uiPriority w:val="99"/>
    <w:rsid w:val="00487CF5"/>
    <w:rPr>
      <w:rFonts w:cs="Times New Roman"/>
      <w:sz w:val="24"/>
      <w:szCs w:val="24"/>
      <w:lang w:val="et-EE" w:eastAsia="ar-SA" w:bidi="ar-SA"/>
    </w:rPr>
  </w:style>
  <w:style w:type="character" w:customStyle="1" w:styleId="rohutus1">
    <w:name w:val="rohutus1"/>
    <w:basedOn w:val="DefaultParagraphFont"/>
    <w:rsid w:val="00487CF5"/>
    <w:rPr>
      <w:rFonts w:ascii="Verdana" w:hAnsi="Verdana" w:cs="Verdana"/>
      <w:b/>
      <w:bCs/>
      <w:color w:val="000000"/>
      <w:sz w:val="14"/>
      <w:szCs w:val="14"/>
    </w:rPr>
  </w:style>
  <w:style w:type="character" w:customStyle="1" w:styleId="Bullets">
    <w:name w:val="Bullets"/>
    <w:uiPriority w:val="99"/>
    <w:rsid w:val="00487CF5"/>
    <w:rPr>
      <w:rFonts w:ascii="StarSymbol" w:hAnsi="StarSymbol"/>
      <w:sz w:val="18"/>
    </w:rPr>
  </w:style>
  <w:style w:type="paragraph" w:customStyle="1" w:styleId="Heading">
    <w:name w:val="Heading"/>
    <w:basedOn w:val="Normal"/>
    <w:next w:val="BodyText"/>
    <w:uiPriority w:val="99"/>
    <w:rsid w:val="00487CF5"/>
    <w:pPr>
      <w:keepNext/>
      <w:suppressAutoHyphens/>
      <w:overflowPunct w:val="0"/>
      <w:autoSpaceDE w:val="0"/>
      <w:spacing w:after="120"/>
      <w:jc w:val="left"/>
      <w:textAlignment w:val="baseline"/>
    </w:pPr>
    <w:rPr>
      <w:rFonts w:ascii="Arial" w:eastAsia="Times New Roman" w:hAnsi="Arial" w:cs="Arial"/>
      <w:sz w:val="28"/>
      <w:szCs w:val="28"/>
      <w:lang w:eastAsia="ar-SA"/>
    </w:rPr>
  </w:style>
  <w:style w:type="paragraph" w:customStyle="1" w:styleId="xl28">
    <w:name w:val="xl28"/>
    <w:basedOn w:val="Normal"/>
    <w:uiPriority w:val="99"/>
    <w:rsid w:val="00487CF5"/>
    <w:pPr>
      <w:suppressAutoHyphens/>
      <w:spacing w:before="280" w:after="280"/>
      <w:jc w:val="left"/>
    </w:pPr>
    <w:rPr>
      <w:rFonts w:ascii="Arial Unicode MS" w:eastAsia="Times New Roman" w:hAnsi="Times New Roman" w:cs="Arial Unicode MS"/>
      <w:sz w:val="18"/>
      <w:szCs w:val="18"/>
      <w:lang w:val="en-GB" w:eastAsia="ar-SA"/>
    </w:rPr>
  </w:style>
  <w:style w:type="paragraph" w:customStyle="1" w:styleId="TableContents">
    <w:name w:val="Table Contents"/>
    <w:basedOn w:val="BodyText"/>
    <w:uiPriority w:val="99"/>
    <w:rsid w:val="00487CF5"/>
    <w:pPr>
      <w:widowControl w:val="0"/>
      <w:suppressLineNumbers/>
    </w:pPr>
  </w:style>
  <w:style w:type="paragraph" w:customStyle="1" w:styleId="TableHeading">
    <w:name w:val="Table Heading"/>
    <w:basedOn w:val="TableContents"/>
    <w:uiPriority w:val="99"/>
    <w:rsid w:val="00487CF5"/>
    <w:pPr>
      <w:jc w:val="center"/>
    </w:pPr>
    <w:rPr>
      <w:b/>
      <w:bCs/>
      <w:i/>
      <w:iCs/>
    </w:rPr>
  </w:style>
  <w:style w:type="paragraph" w:customStyle="1" w:styleId="WW-TableContents11111111111111">
    <w:name w:val="WW-Table Contents11111111111111"/>
    <w:basedOn w:val="BodyText"/>
    <w:uiPriority w:val="99"/>
    <w:rsid w:val="00487CF5"/>
    <w:pPr>
      <w:suppressLineNumbers/>
      <w:spacing w:after="0"/>
      <w:jc w:val="both"/>
    </w:pPr>
  </w:style>
  <w:style w:type="paragraph" w:customStyle="1" w:styleId="WW-TableHeading11111111111111">
    <w:name w:val="WW-Table Heading11111111111111"/>
    <w:basedOn w:val="WW-TableContents11111111111111"/>
    <w:uiPriority w:val="99"/>
    <w:rsid w:val="00487CF5"/>
    <w:pPr>
      <w:jc w:val="center"/>
    </w:pPr>
    <w:rPr>
      <w:b/>
      <w:bCs/>
    </w:rPr>
  </w:style>
  <w:style w:type="paragraph" w:customStyle="1" w:styleId="WW-Index11111111111111">
    <w:name w:val="WW-Index11111111111111"/>
    <w:basedOn w:val="Normal"/>
    <w:uiPriority w:val="99"/>
    <w:rsid w:val="00487CF5"/>
    <w:pPr>
      <w:suppressLineNumbers/>
      <w:suppressAutoHyphens/>
      <w:spacing w:after="120"/>
      <w:jc w:val="left"/>
    </w:pPr>
    <w:rPr>
      <w:rFonts w:ascii="Times New Roman" w:eastAsia="Times New Roman" w:hAnsi="Times New Roman"/>
      <w:sz w:val="24"/>
      <w:szCs w:val="24"/>
      <w:lang w:eastAsia="ar-SA"/>
    </w:rPr>
  </w:style>
  <w:style w:type="paragraph" w:styleId="BodyText2">
    <w:name w:val="Body Text 2"/>
    <w:basedOn w:val="Normal"/>
    <w:link w:val="BodyText2Char"/>
    <w:uiPriority w:val="99"/>
    <w:rsid w:val="00487CF5"/>
    <w:pPr>
      <w:suppressAutoHyphens/>
      <w:spacing w:after="120"/>
      <w:jc w:val="center"/>
    </w:pPr>
    <w:rPr>
      <w:rFonts w:ascii="Arial" w:eastAsia="Times New Roman" w:hAnsi="Arial" w:cs="Arial"/>
      <w:b/>
      <w:bCs/>
      <w:sz w:val="32"/>
      <w:szCs w:val="32"/>
      <w:lang w:eastAsia="ar-SA"/>
    </w:rPr>
  </w:style>
  <w:style w:type="character" w:customStyle="1" w:styleId="BodyText2Char">
    <w:name w:val="Body Text 2 Char"/>
    <w:basedOn w:val="DefaultParagraphFont"/>
    <w:link w:val="BodyText2"/>
    <w:uiPriority w:val="99"/>
    <w:rsid w:val="00487CF5"/>
    <w:rPr>
      <w:rFonts w:ascii="Arial" w:eastAsia="Times New Roman" w:hAnsi="Arial" w:cs="Arial"/>
      <w:b/>
      <w:bCs/>
      <w:sz w:val="32"/>
      <w:szCs w:val="32"/>
      <w:lang w:eastAsia="ar-SA"/>
    </w:rPr>
  </w:style>
  <w:style w:type="paragraph" w:styleId="BodyText3">
    <w:name w:val="Body Text 3"/>
    <w:basedOn w:val="Normal"/>
    <w:link w:val="BodyText3Char"/>
    <w:uiPriority w:val="99"/>
    <w:rsid w:val="00487CF5"/>
    <w:pPr>
      <w:suppressAutoHyphens/>
      <w:spacing w:after="120"/>
    </w:pPr>
    <w:rPr>
      <w:rFonts w:ascii="Times New Roman" w:eastAsia="Times New Roman" w:hAnsi="Times New Roman"/>
      <w:b/>
      <w:bCs/>
      <w:sz w:val="24"/>
      <w:szCs w:val="24"/>
      <w:lang w:eastAsia="ar-SA"/>
    </w:rPr>
  </w:style>
  <w:style w:type="character" w:customStyle="1" w:styleId="BodyText3Char">
    <w:name w:val="Body Text 3 Char"/>
    <w:basedOn w:val="DefaultParagraphFont"/>
    <w:link w:val="BodyText3"/>
    <w:uiPriority w:val="99"/>
    <w:rsid w:val="00487CF5"/>
    <w:rPr>
      <w:rFonts w:ascii="Times New Roman" w:eastAsia="Times New Roman" w:hAnsi="Times New Roman"/>
      <w:b/>
      <w:bCs/>
      <w:sz w:val="24"/>
      <w:szCs w:val="24"/>
      <w:lang w:eastAsia="ar-SA"/>
    </w:rPr>
  </w:style>
  <w:style w:type="paragraph" w:customStyle="1" w:styleId="Contents10">
    <w:name w:val="Contents 10"/>
    <w:basedOn w:val="Index"/>
    <w:uiPriority w:val="99"/>
    <w:rsid w:val="00487CF5"/>
    <w:pPr>
      <w:tabs>
        <w:tab w:val="right" w:leader="dot" w:pos="9637"/>
      </w:tabs>
      <w:ind w:left="2547"/>
    </w:pPr>
  </w:style>
  <w:style w:type="paragraph" w:customStyle="1" w:styleId="Framecontents">
    <w:name w:val="Frame contents"/>
    <w:basedOn w:val="BodyText"/>
    <w:uiPriority w:val="99"/>
    <w:rsid w:val="00487CF5"/>
  </w:style>
  <w:style w:type="paragraph" w:styleId="BodyTextIndent2">
    <w:name w:val="Body Text Indent 2"/>
    <w:basedOn w:val="Normal"/>
    <w:link w:val="BodyTextIndent2Char"/>
    <w:uiPriority w:val="99"/>
    <w:rsid w:val="00487CF5"/>
    <w:pPr>
      <w:suppressAutoHyphens/>
      <w:spacing w:after="120"/>
      <w:ind w:left="284"/>
    </w:pPr>
    <w:rPr>
      <w:rFonts w:ascii="Times New Roman" w:eastAsia="Times New Roman" w:hAnsi="Times New Roman"/>
      <w:b/>
      <w:bCs/>
      <w:sz w:val="24"/>
      <w:szCs w:val="24"/>
      <w:lang w:eastAsia="ar-SA"/>
    </w:rPr>
  </w:style>
  <w:style w:type="character" w:customStyle="1" w:styleId="BodyTextIndent2Char">
    <w:name w:val="Body Text Indent 2 Char"/>
    <w:basedOn w:val="DefaultParagraphFont"/>
    <w:link w:val="BodyTextIndent2"/>
    <w:uiPriority w:val="99"/>
    <w:rsid w:val="00487CF5"/>
    <w:rPr>
      <w:rFonts w:ascii="Times New Roman" w:eastAsia="Times New Roman" w:hAnsi="Times New Roman"/>
      <w:b/>
      <w:bCs/>
      <w:sz w:val="24"/>
      <w:szCs w:val="24"/>
      <w:lang w:eastAsia="ar-SA"/>
    </w:rPr>
  </w:style>
  <w:style w:type="paragraph" w:customStyle="1" w:styleId="xl26">
    <w:name w:val="xl26"/>
    <w:basedOn w:val="Normal"/>
    <w:uiPriority w:val="99"/>
    <w:rsid w:val="00487CF5"/>
    <w:pPr>
      <w:spacing w:before="100" w:beforeAutospacing="1" w:after="100" w:afterAutospacing="1"/>
      <w:jc w:val="left"/>
    </w:pPr>
    <w:rPr>
      <w:rFonts w:ascii="Arial Unicode MS" w:eastAsia="Times New Roman" w:hAnsi="Times New Roman" w:cs="Arial Unicode MS"/>
      <w:sz w:val="18"/>
      <w:szCs w:val="18"/>
      <w:lang w:val="en-GB"/>
    </w:rPr>
  </w:style>
  <w:style w:type="paragraph" w:customStyle="1" w:styleId="xl27">
    <w:name w:val="xl27"/>
    <w:basedOn w:val="Normal"/>
    <w:uiPriority w:val="99"/>
    <w:rsid w:val="00487CF5"/>
    <w:pPr>
      <w:spacing w:before="100" w:beforeAutospacing="1" w:after="100" w:afterAutospacing="1"/>
      <w:jc w:val="left"/>
    </w:pPr>
    <w:rPr>
      <w:rFonts w:ascii="Arial Unicode MS" w:eastAsia="Times New Roman" w:hAnsi="Times New Roman" w:cs="Arial Unicode MS"/>
      <w:b/>
      <w:bCs/>
      <w:sz w:val="18"/>
      <w:szCs w:val="18"/>
      <w:lang w:val="en-GB"/>
    </w:rPr>
  </w:style>
  <w:style w:type="paragraph" w:customStyle="1" w:styleId="xl29">
    <w:name w:val="xl29"/>
    <w:basedOn w:val="Normal"/>
    <w:uiPriority w:val="99"/>
    <w:rsid w:val="00487CF5"/>
    <w:pPr>
      <w:spacing w:before="100" w:beforeAutospacing="1" w:after="100" w:afterAutospacing="1"/>
      <w:jc w:val="center"/>
    </w:pPr>
    <w:rPr>
      <w:rFonts w:ascii="Arial Unicode MS" w:eastAsia="Times New Roman" w:hAnsi="Times New Roman" w:cs="Arial Unicode MS"/>
      <w:b/>
      <w:bCs/>
      <w:sz w:val="18"/>
      <w:szCs w:val="18"/>
      <w:lang w:val="en-GB"/>
    </w:rPr>
  </w:style>
  <w:style w:type="paragraph" w:customStyle="1" w:styleId="xl30">
    <w:name w:val="xl30"/>
    <w:basedOn w:val="Normal"/>
    <w:uiPriority w:val="99"/>
    <w:rsid w:val="00487CF5"/>
    <w:pPr>
      <w:spacing w:before="100" w:beforeAutospacing="1" w:after="100" w:afterAutospacing="1"/>
      <w:jc w:val="left"/>
    </w:pPr>
    <w:rPr>
      <w:rFonts w:ascii="Arial Unicode MS" w:eastAsia="Times New Roman" w:hAnsi="Times New Roman" w:cs="Arial Unicode MS"/>
      <w:b/>
      <w:bCs/>
      <w:color w:val="0000FF"/>
      <w:sz w:val="18"/>
      <w:szCs w:val="18"/>
      <w:lang w:val="en-GB"/>
    </w:rPr>
  </w:style>
  <w:style w:type="paragraph" w:customStyle="1" w:styleId="xl31">
    <w:name w:val="xl31"/>
    <w:basedOn w:val="Normal"/>
    <w:uiPriority w:val="99"/>
    <w:rsid w:val="00487CF5"/>
    <w:pPr>
      <w:spacing w:before="100" w:beforeAutospacing="1" w:after="100" w:afterAutospacing="1"/>
      <w:jc w:val="left"/>
    </w:pPr>
    <w:rPr>
      <w:rFonts w:ascii="Arial Unicode MS" w:eastAsia="Times New Roman" w:hAnsi="Times New Roman" w:cs="Arial Unicode MS"/>
      <w:b/>
      <w:bCs/>
      <w:color w:val="0000FF"/>
      <w:sz w:val="18"/>
      <w:szCs w:val="18"/>
      <w:lang w:val="en-GB"/>
    </w:rPr>
  </w:style>
  <w:style w:type="paragraph" w:customStyle="1" w:styleId="xl32">
    <w:name w:val="xl32"/>
    <w:basedOn w:val="Normal"/>
    <w:uiPriority w:val="99"/>
    <w:rsid w:val="00487CF5"/>
    <w:pPr>
      <w:spacing w:before="100" w:beforeAutospacing="1" w:after="100" w:afterAutospacing="1"/>
      <w:jc w:val="left"/>
    </w:pPr>
    <w:rPr>
      <w:rFonts w:ascii="Arial Unicode MS" w:eastAsia="Times New Roman" w:hAnsi="Times New Roman" w:cs="Arial Unicode MS"/>
      <w:b/>
      <w:bCs/>
      <w:color w:val="0000FF"/>
      <w:sz w:val="18"/>
      <w:szCs w:val="18"/>
      <w:lang w:val="en-GB"/>
    </w:rPr>
  </w:style>
  <w:style w:type="paragraph" w:customStyle="1" w:styleId="xl33">
    <w:name w:val="xl33"/>
    <w:basedOn w:val="Normal"/>
    <w:uiPriority w:val="99"/>
    <w:rsid w:val="00487CF5"/>
    <w:pPr>
      <w:spacing w:before="100" w:beforeAutospacing="1" w:after="100" w:afterAutospacing="1"/>
      <w:jc w:val="left"/>
    </w:pPr>
    <w:rPr>
      <w:rFonts w:ascii="Arial" w:eastAsia="Times New Roman" w:hAnsi="Arial" w:cs="Arial"/>
      <w:b/>
      <w:bCs/>
      <w:sz w:val="24"/>
      <w:szCs w:val="24"/>
      <w:lang w:val="en-GB"/>
    </w:rPr>
  </w:style>
  <w:style w:type="paragraph" w:customStyle="1" w:styleId="xl34">
    <w:name w:val="xl34"/>
    <w:basedOn w:val="Normal"/>
    <w:uiPriority w:val="99"/>
    <w:rsid w:val="00487CF5"/>
    <w:pPr>
      <w:spacing w:before="100" w:beforeAutospacing="1" w:after="100" w:afterAutospacing="1"/>
      <w:jc w:val="center"/>
    </w:pPr>
    <w:rPr>
      <w:rFonts w:ascii="Arial Unicode MS" w:eastAsia="Times New Roman" w:hAnsi="Times New Roman" w:cs="Arial Unicode MS"/>
      <w:sz w:val="24"/>
      <w:szCs w:val="24"/>
      <w:lang w:val="en-GB"/>
    </w:rPr>
  </w:style>
  <w:style w:type="paragraph" w:customStyle="1" w:styleId="xl35">
    <w:name w:val="xl35"/>
    <w:basedOn w:val="Normal"/>
    <w:uiPriority w:val="99"/>
    <w:rsid w:val="00487CF5"/>
    <w:pPr>
      <w:spacing w:before="100" w:beforeAutospacing="1" w:after="100" w:afterAutospacing="1"/>
      <w:jc w:val="center"/>
    </w:pPr>
    <w:rPr>
      <w:rFonts w:ascii="Arial" w:eastAsia="Times New Roman" w:hAnsi="Arial" w:cs="Arial"/>
      <w:sz w:val="18"/>
      <w:szCs w:val="18"/>
      <w:lang w:val="en-GB"/>
    </w:rPr>
  </w:style>
  <w:style w:type="paragraph" w:customStyle="1" w:styleId="xl36">
    <w:name w:val="xl36"/>
    <w:basedOn w:val="Normal"/>
    <w:uiPriority w:val="99"/>
    <w:rsid w:val="00487CF5"/>
    <w:pPr>
      <w:pBdr>
        <w:top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7"/>
      <w:szCs w:val="17"/>
      <w:lang w:val="en-GB"/>
    </w:rPr>
  </w:style>
  <w:style w:type="paragraph" w:customStyle="1" w:styleId="xl37">
    <w:name w:val="xl37"/>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7"/>
      <w:szCs w:val="17"/>
      <w:lang w:val="en-GB"/>
    </w:rPr>
  </w:style>
  <w:style w:type="paragraph" w:customStyle="1" w:styleId="xl38">
    <w:name w:val="xl38"/>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7"/>
      <w:szCs w:val="17"/>
      <w:lang w:val="en-GB"/>
    </w:rPr>
  </w:style>
  <w:style w:type="paragraph" w:customStyle="1" w:styleId="xl39">
    <w:name w:val="xl39"/>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sz w:val="17"/>
      <w:szCs w:val="17"/>
      <w:lang w:val="en-GB"/>
    </w:rPr>
  </w:style>
  <w:style w:type="paragraph" w:customStyle="1" w:styleId="xl40">
    <w:name w:val="xl40"/>
    <w:basedOn w:val="Normal"/>
    <w:uiPriority w:val="99"/>
    <w:rsid w:val="00487CF5"/>
    <w:pPr>
      <w:pBdr>
        <w:top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sz w:val="17"/>
      <w:szCs w:val="17"/>
      <w:lang w:val="en-GB"/>
    </w:rPr>
  </w:style>
  <w:style w:type="paragraph" w:customStyle="1" w:styleId="xl41">
    <w:name w:val="xl41"/>
    <w:basedOn w:val="Normal"/>
    <w:uiPriority w:val="99"/>
    <w:rsid w:val="00487CF5"/>
    <w:pPr>
      <w:pBdr>
        <w:top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b/>
      <w:bCs/>
      <w:sz w:val="17"/>
      <w:szCs w:val="17"/>
      <w:lang w:val="en-GB"/>
    </w:rPr>
  </w:style>
  <w:style w:type="paragraph" w:customStyle="1" w:styleId="xl42">
    <w:name w:val="xl42"/>
    <w:basedOn w:val="Normal"/>
    <w:uiPriority w:val="99"/>
    <w:rsid w:val="00487CF5"/>
    <w:pPr>
      <w:spacing w:before="100" w:beforeAutospacing="1" w:after="100" w:afterAutospacing="1"/>
      <w:jc w:val="left"/>
    </w:pPr>
    <w:rPr>
      <w:rFonts w:ascii="Arial Unicode MS" w:eastAsia="Times New Roman" w:hAnsi="Times New Roman" w:cs="Arial Unicode MS"/>
      <w:sz w:val="17"/>
      <w:szCs w:val="17"/>
      <w:lang w:val="en-GB"/>
    </w:rPr>
  </w:style>
  <w:style w:type="paragraph" w:customStyle="1" w:styleId="xl43">
    <w:name w:val="xl43"/>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8"/>
      <w:szCs w:val="18"/>
      <w:lang w:val="en-GB"/>
    </w:rPr>
  </w:style>
  <w:style w:type="paragraph" w:customStyle="1" w:styleId="xl44">
    <w:name w:val="xl44"/>
    <w:basedOn w:val="Normal"/>
    <w:uiPriority w:val="99"/>
    <w:rsid w:val="00487CF5"/>
    <w:pPr>
      <w:spacing w:before="100" w:beforeAutospacing="1" w:after="100" w:afterAutospacing="1"/>
      <w:jc w:val="left"/>
    </w:pPr>
    <w:rPr>
      <w:rFonts w:ascii="Times New Roman" w:eastAsia="Times New Roman" w:hAnsi="Times New Roman"/>
      <w:b/>
      <w:bCs/>
      <w:sz w:val="16"/>
      <w:szCs w:val="16"/>
      <w:lang w:val="en-GB"/>
    </w:rPr>
  </w:style>
  <w:style w:type="paragraph" w:customStyle="1" w:styleId="xl45">
    <w:name w:val="xl45"/>
    <w:basedOn w:val="Normal"/>
    <w:uiPriority w:val="99"/>
    <w:rsid w:val="00487CF5"/>
    <w:pPr>
      <w:spacing w:before="100" w:beforeAutospacing="1" w:after="100" w:afterAutospacing="1"/>
      <w:jc w:val="left"/>
    </w:pPr>
    <w:rPr>
      <w:rFonts w:ascii="Times New Roman" w:eastAsia="Times New Roman" w:hAnsi="Times New Roman"/>
      <w:sz w:val="16"/>
      <w:szCs w:val="16"/>
      <w:lang w:val="en-GB"/>
    </w:rPr>
  </w:style>
  <w:style w:type="paragraph" w:customStyle="1" w:styleId="xl46">
    <w:name w:val="xl46"/>
    <w:basedOn w:val="Normal"/>
    <w:uiPriority w:val="99"/>
    <w:rsid w:val="00487CF5"/>
    <w:pPr>
      <w:spacing w:before="100" w:beforeAutospacing="1" w:after="100" w:afterAutospacing="1"/>
      <w:jc w:val="right"/>
    </w:pPr>
    <w:rPr>
      <w:rFonts w:ascii="Times New Roman" w:eastAsia="Times New Roman" w:hAnsi="Times New Roman"/>
      <w:sz w:val="16"/>
      <w:szCs w:val="16"/>
      <w:lang w:val="en-GB"/>
    </w:rPr>
  </w:style>
  <w:style w:type="paragraph" w:customStyle="1" w:styleId="xl47">
    <w:name w:val="xl47"/>
    <w:basedOn w:val="Normal"/>
    <w:uiPriority w:val="99"/>
    <w:rsid w:val="00487CF5"/>
    <w:pPr>
      <w:spacing w:before="100" w:beforeAutospacing="1" w:after="100" w:afterAutospacing="1"/>
      <w:jc w:val="left"/>
    </w:pPr>
    <w:rPr>
      <w:rFonts w:ascii="Times New Roman" w:eastAsia="Times New Roman" w:hAnsi="Times New Roman"/>
      <w:sz w:val="16"/>
      <w:szCs w:val="16"/>
      <w:lang w:val="en-GB"/>
    </w:rPr>
  </w:style>
  <w:style w:type="paragraph" w:customStyle="1" w:styleId="xl48">
    <w:name w:val="xl48"/>
    <w:basedOn w:val="Normal"/>
    <w:uiPriority w:val="99"/>
    <w:rsid w:val="00487CF5"/>
    <w:pPr>
      <w:pBdr>
        <w:bottom w:val="single" w:sz="4" w:space="0" w:color="000000"/>
      </w:pBdr>
      <w:spacing w:before="100" w:beforeAutospacing="1" w:after="100" w:afterAutospacing="1"/>
      <w:jc w:val="center"/>
    </w:pPr>
    <w:rPr>
      <w:rFonts w:ascii="Times New Roman" w:eastAsia="Times New Roman" w:hAnsi="Times New Roman"/>
      <w:sz w:val="18"/>
      <w:szCs w:val="18"/>
      <w:lang w:val="en-GB"/>
    </w:rPr>
  </w:style>
  <w:style w:type="paragraph" w:customStyle="1" w:styleId="xl49">
    <w:name w:val="xl49"/>
    <w:basedOn w:val="Normal"/>
    <w:uiPriority w:val="99"/>
    <w:rsid w:val="00487CF5"/>
    <w:pPr>
      <w:spacing w:before="100" w:beforeAutospacing="1" w:after="100" w:afterAutospacing="1"/>
      <w:jc w:val="center"/>
    </w:pPr>
    <w:rPr>
      <w:rFonts w:ascii="Times New Roman" w:eastAsia="Times New Roman" w:hAnsi="Times New Roman"/>
      <w:sz w:val="18"/>
      <w:szCs w:val="18"/>
      <w:lang w:val="en-GB"/>
    </w:rPr>
  </w:style>
  <w:style w:type="paragraph" w:customStyle="1" w:styleId="xl50">
    <w:name w:val="xl50"/>
    <w:basedOn w:val="Normal"/>
    <w:uiPriority w:val="99"/>
    <w:rsid w:val="00487CF5"/>
    <w:pPr>
      <w:spacing w:before="100" w:beforeAutospacing="1" w:after="100" w:afterAutospacing="1"/>
      <w:jc w:val="right"/>
    </w:pPr>
    <w:rPr>
      <w:rFonts w:ascii="Times New Roman" w:eastAsia="Times New Roman" w:hAnsi="Times New Roman"/>
      <w:sz w:val="18"/>
      <w:szCs w:val="18"/>
      <w:lang w:val="en-GB"/>
    </w:rPr>
  </w:style>
  <w:style w:type="paragraph" w:customStyle="1" w:styleId="xl51">
    <w:name w:val="xl51"/>
    <w:basedOn w:val="Normal"/>
    <w:uiPriority w:val="99"/>
    <w:rsid w:val="00487CF5"/>
    <w:pPr>
      <w:spacing w:before="100" w:beforeAutospacing="1" w:after="100" w:afterAutospacing="1"/>
      <w:jc w:val="center"/>
      <w:textAlignment w:val="top"/>
    </w:pPr>
    <w:rPr>
      <w:rFonts w:ascii="Times New Roman" w:eastAsia="Times New Roman" w:hAnsi="Times New Roman"/>
      <w:sz w:val="18"/>
      <w:szCs w:val="18"/>
      <w:lang w:val="en-GB"/>
    </w:rPr>
  </w:style>
  <w:style w:type="paragraph" w:customStyle="1" w:styleId="xl52">
    <w:name w:val="xl52"/>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53">
    <w:name w:val="xl53"/>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sz w:val="17"/>
      <w:szCs w:val="17"/>
      <w:lang w:val="en-GB"/>
    </w:rPr>
  </w:style>
  <w:style w:type="paragraph" w:customStyle="1" w:styleId="xl54">
    <w:name w:val="xl54"/>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55">
    <w:name w:val="xl55"/>
    <w:basedOn w:val="Normal"/>
    <w:uiPriority w:val="99"/>
    <w:rsid w:val="00487CF5"/>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56">
    <w:name w:val="xl56"/>
    <w:basedOn w:val="Normal"/>
    <w:uiPriority w:val="99"/>
    <w:rsid w:val="00487CF5"/>
    <w:pPr>
      <w:pBdr>
        <w:top w:val="single" w:sz="4" w:space="0" w:color="000000"/>
        <w:left w:val="single" w:sz="4" w:space="0" w:color="000000"/>
        <w:right w:val="single" w:sz="4" w:space="0" w:color="000000"/>
      </w:pBdr>
      <w:spacing w:before="100" w:beforeAutospacing="1" w:after="100" w:afterAutospacing="1"/>
      <w:jc w:val="left"/>
    </w:pPr>
    <w:rPr>
      <w:rFonts w:ascii="Arial" w:eastAsia="Times New Roman" w:hAnsi="Arial" w:cs="Arial"/>
      <w:sz w:val="17"/>
      <w:szCs w:val="17"/>
      <w:lang w:val="en-GB"/>
    </w:rPr>
  </w:style>
  <w:style w:type="paragraph" w:customStyle="1" w:styleId="xl57">
    <w:name w:val="xl57"/>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8"/>
      <w:szCs w:val="18"/>
      <w:lang w:val="en-GB"/>
    </w:rPr>
  </w:style>
  <w:style w:type="paragraph" w:customStyle="1" w:styleId="xl58">
    <w:name w:val="xl58"/>
    <w:basedOn w:val="Normal"/>
    <w:uiPriority w:val="99"/>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Unicode MS" w:eastAsia="Times New Roman" w:hAnsi="Times New Roman" w:cs="Arial Unicode MS"/>
      <w:b/>
      <w:bCs/>
      <w:sz w:val="18"/>
      <w:szCs w:val="18"/>
      <w:lang w:val="en-GB"/>
    </w:rPr>
  </w:style>
  <w:style w:type="paragraph" w:customStyle="1" w:styleId="xl59">
    <w:name w:val="xl59"/>
    <w:basedOn w:val="Normal"/>
    <w:uiPriority w:val="99"/>
    <w:rsid w:val="00487CF5"/>
    <w:pPr>
      <w:spacing w:before="100" w:beforeAutospacing="1" w:after="100" w:afterAutospacing="1"/>
      <w:jc w:val="right"/>
      <w:textAlignment w:val="center"/>
    </w:pPr>
    <w:rPr>
      <w:rFonts w:ascii="Times New Roman" w:eastAsia="Times New Roman" w:hAnsi="Times New Roman"/>
      <w:sz w:val="18"/>
      <w:szCs w:val="18"/>
      <w:lang w:val="en-GB"/>
    </w:rPr>
  </w:style>
  <w:style w:type="paragraph" w:customStyle="1" w:styleId="xl60">
    <w:name w:val="xl60"/>
    <w:basedOn w:val="Normal"/>
    <w:uiPriority w:val="99"/>
    <w:rsid w:val="00487CF5"/>
    <w:pPr>
      <w:spacing w:before="100" w:beforeAutospacing="1" w:after="100" w:afterAutospacing="1"/>
      <w:jc w:val="right"/>
      <w:textAlignment w:val="center"/>
    </w:pPr>
    <w:rPr>
      <w:rFonts w:ascii="Times New Roman" w:eastAsia="Times New Roman" w:hAnsi="Times New Roman"/>
      <w:sz w:val="18"/>
      <w:szCs w:val="18"/>
      <w:lang w:val="en-GB"/>
    </w:rPr>
  </w:style>
  <w:style w:type="paragraph" w:customStyle="1" w:styleId="xl61">
    <w:name w:val="xl61"/>
    <w:basedOn w:val="Normal"/>
    <w:uiPriority w:val="99"/>
    <w:rsid w:val="00487CF5"/>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62">
    <w:name w:val="xl62"/>
    <w:basedOn w:val="Normal"/>
    <w:uiPriority w:val="99"/>
    <w:rsid w:val="00487CF5"/>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63">
    <w:name w:val="xl63"/>
    <w:basedOn w:val="Normal"/>
    <w:rsid w:val="00487CF5"/>
    <w:pPr>
      <w:pBdr>
        <w:top w:val="single" w:sz="4" w:space="0" w:color="000000"/>
        <w:left w:val="single" w:sz="4" w:space="0" w:color="000000"/>
        <w:right w:val="single" w:sz="4" w:space="0" w:color="000000"/>
      </w:pBdr>
      <w:spacing w:before="100" w:beforeAutospacing="1" w:after="100" w:afterAutospacing="1"/>
      <w:jc w:val="right"/>
    </w:pPr>
    <w:rPr>
      <w:rFonts w:ascii="Arial" w:eastAsia="Times New Roman" w:hAnsi="Arial" w:cs="Arial"/>
      <w:sz w:val="17"/>
      <w:szCs w:val="17"/>
      <w:lang w:val="en-GB"/>
    </w:rPr>
  </w:style>
  <w:style w:type="paragraph" w:customStyle="1" w:styleId="xl64">
    <w:name w:val="xl64"/>
    <w:basedOn w:val="Normal"/>
    <w:rsid w:val="00487CF5"/>
    <w:pPr>
      <w:pBdr>
        <w:top w:val="single" w:sz="4" w:space="0" w:color="000000"/>
        <w:left w:val="single" w:sz="4" w:space="0" w:color="000000"/>
        <w:right w:val="single" w:sz="4" w:space="0" w:color="000000"/>
      </w:pBdr>
      <w:spacing w:before="100" w:beforeAutospacing="1" w:after="100" w:afterAutospacing="1"/>
      <w:jc w:val="left"/>
    </w:pPr>
    <w:rPr>
      <w:rFonts w:ascii="Arial" w:eastAsia="Times New Roman" w:hAnsi="Arial" w:cs="Arial"/>
      <w:sz w:val="17"/>
      <w:szCs w:val="17"/>
      <w:lang w:val="en-GB"/>
    </w:rPr>
  </w:style>
  <w:style w:type="paragraph" w:customStyle="1" w:styleId="xl23">
    <w:name w:val="xl23"/>
    <w:basedOn w:val="Normal"/>
    <w:uiPriority w:val="99"/>
    <w:rsid w:val="00487CF5"/>
    <w:pPr>
      <w:spacing w:before="100" w:beforeAutospacing="1" w:after="100" w:afterAutospacing="1"/>
      <w:jc w:val="left"/>
    </w:pPr>
    <w:rPr>
      <w:rFonts w:ascii="Arial Unicode MS" w:eastAsia="Times New Roman" w:hAnsi="Times New Roman" w:cs="Arial Unicode MS"/>
      <w:b/>
      <w:bCs/>
      <w:sz w:val="24"/>
      <w:szCs w:val="24"/>
      <w:lang w:val="en-GB"/>
    </w:rPr>
  </w:style>
  <w:style w:type="paragraph" w:customStyle="1" w:styleId="xl24">
    <w:name w:val="xl24"/>
    <w:basedOn w:val="Normal"/>
    <w:uiPriority w:val="99"/>
    <w:rsid w:val="00487CF5"/>
    <w:pPr>
      <w:spacing w:before="100" w:beforeAutospacing="1" w:after="100" w:afterAutospacing="1"/>
      <w:jc w:val="right"/>
    </w:pPr>
    <w:rPr>
      <w:rFonts w:ascii="Arial Unicode MS" w:eastAsia="Times New Roman" w:hAnsi="Times New Roman" w:cs="Arial Unicode MS"/>
      <w:sz w:val="24"/>
      <w:szCs w:val="24"/>
      <w:lang w:val="en-GB"/>
    </w:rPr>
  </w:style>
  <w:style w:type="paragraph" w:customStyle="1" w:styleId="xl65">
    <w:name w:val="xl65"/>
    <w:basedOn w:val="Normal"/>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66">
    <w:name w:val="xl66"/>
    <w:basedOn w:val="Normal"/>
    <w:rsid w:val="00487CF5"/>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67">
    <w:name w:val="xl67"/>
    <w:basedOn w:val="Normal"/>
    <w:rsid w:val="00487CF5"/>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68">
    <w:name w:val="xl68"/>
    <w:basedOn w:val="Normal"/>
    <w:rsid w:val="00487CF5"/>
    <w:pPr>
      <w:pBdr>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69">
    <w:name w:val="xl69"/>
    <w:basedOn w:val="Normal"/>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70">
    <w:name w:val="xl70"/>
    <w:basedOn w:val="Normal"/>
    <w:rsid w:val="00487CF5"/>
    <w:pPr>
      <w:pBdr>
        <w:top w:val="single" w:sz="4" w:space="0" w:color="000000"/>
        <w:left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xl71">
    <w:name w:val="xl71"/>
    <w:basedOn w:val="Normal"/>
    <w:rsid w:val="00487CF5"/>
    <w:pPr>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Arial" w:eastAsia="Times New Roman" w:hAnsi="Arial" w:cs="Arial"/>
      <w:b/>
      <w:bCs/>
      <w:sz w:val="17"/>
      <w:szCs w:val="17"/>
      <w:lang w:val="en-GB"/>
    </w:rPr>
  </w:style>
  <w:style w:type="paragraph" w:customStyle="1" w:styleId="xl72">
    <w:name w:val="xl72"/>
    <w:basedOn w:val="Normal"/>
    <w:rsid w:val="00487CF5"/>
    <w:pPr>
      <w:pBdr>
        <w:top w:val="single" w:sz="4" w:space="0" w:color="000000"/>
        <w:bottom w:val="single" w:sz="4" w:space="0" w:color="000000"/>
        <w:right w:val="single" w:sz="4" w:space="0" w:color="000000"/>
      </w:pBdr>
      <w:spacing w:before="100" w:beforeAutospacing="1" w:after="100" w:afterAutospacing="1"/>
      <w:jc w:val="center"/>
    </w:pPr>
    <w:rPr>
      <w:rFonts w:ascii="Arial" w:eastAsia="Times New Roman" w:hAnsi="Arial" w:cs="Arial"/>
      <w:b/>
      <w:bCs/>
      <w:sz w:val="17"/>
      <w:szCs w:val="17"/>
      <w:lang w:val="en-GB"/>
    </w:rPr>
  </w:style>
  <w:style w:type="paragraph" w:customStyle="1" w:styleId="ZZ">
    <w:name w:val="ZZ"/>
    <w:basedOn w:val="BodyText"/>
    <w:uiPriority w:val="99"/>
    <w:rsid w:val="00487CF5"/>
    <w:pPr>
      <w:jc w:val="both"/>
    </w:pPr>
  </w:style>
  <w:style w:type="paragraph" w:styleId="CommentSubject">
    <w:name w:val="annotation subject"/>
    <w:basedOn w:val="CommentText"/>
    <w:next w:val="CommentText"/>
    <w:link w:val="CommentSubjectChar"/>
    <w:uiPriority w:val="99"/>
    <w:semiHidden/>
    <w:rsid w:val="00487CF5"/>
    <w:pPr>
      <w:jc w:val="left"/>
    </w:pPr>
    <w:rPr>
      <w:rFonts w:ascii="Calibri" w:hAnsi="Calibri"/>
      <w:b/>
      <w:bCs/>
    </w:rPr>
  </w:style>
  <w:style w:type="character" w:customStyle="1" w:styleId="CommentSubjectChar">
    <w:name w:val="Comment Subject Char"/>
    <w:basedOn w:val="CommentTextChar"/>
    <w:link w:val="CommentSubject"/>
    <w:uiPriority w:val="99"/>
    <w:semiHidden/>
    <w:rsid w:val="00487CF5"/>
    <w:rPr>
      <w:b/>
      <w:bCs/>
    </w:rPr>
  </w:style>
  <w:style w:type="paragraph" w:styleId="ListBullet">
    <w:name w:val="List Bullet"/>
    <w:basedOn w:val="Normal"/>
    <w:uiPriority w:val="99"/>
    <w:rsid w:val="00487CF5"/>
    <w:pPr>
      <w:tabs>
        <w:tab w:val="num" w:pos="720"/>
        <w:tab w:val="num" w:pos="1080"/>
      </w:tabs>
      <w:spacing w:after="120"/>
      <w:ind w:left="360" w:hanging="360"/>
      <w:jc w:val="left"/>
    </w:pPr>
    <w:rPr>
      <w:rFonts w:ascii="Times New Roman" w:eastAsia="Times New Roman" w:hAnsi="Times New Roman"/>
      <w:sz w:val="24"/>
      <w:szCs w:val="24"/>
    </w:rPr>
  </w:style>
  <w:style w:type="character" w:customStyle="1" w:styleId="CharChar27">
    <w:name w:val="Char Char27"/>
    <w:basedOn w:val="DefaultParagraphFont"/>
    <w:uiPriority w:val="99"/>
    <w:rsid w:val="00487CF5"/>
    <w:rPr>
      <w:rFonts w:cs="Times New Roman"/>
      <w:lang w:val="en-GB" w:eastAsia="zh-CN" w:bidi="ar-SA"/>
    </w:rPr>
  </w:style>
  <w:style w:type="paragraph" w:styleId="DocumentMap">
    <w:name w:val="Document Map"/>
    <w:basedOn w:val="Normal"/>
    <w:link w:val="DocumentMapChar"/>
    <w:uiPriority w:val="99"/>
    <w:semiHidden/>
    <w:rsid w:val="00487CF5"/>
    <w:pPr>
      <w:shd w:val="clear" w:color="auto" w:fill="000080"/>
      <w:spacing w:after="120"/>
      <w:jc w:val="left"/>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87CF5"/>
    <w:rPr>
      <w:rFonts w:ascii="Tahoma" w:eastAsia="Times New Roman" w:hAnsi="Tahoma" w:cs="Tahoma"/>
      <w:shd w:val="clear" w:color="auto" w:fill="000080"/>
      <w:lang w:eastAsia="en-US"/>
    </w:rPr>
  </w:style>
  <w:style w:type="paragraph" w:styleId="BodyTextIndent">
    <w:name w:val="Body Text Indent"/>
    <w:basedOn w:val="Normal"/>
    <w:link w:val="BodyTextIndentChar"/>
    <w:uiPriority w:val="99"/>
    <w:rsid w:val="00487CF5"/>
    <w:pPr>
      <w:spacing w:after="120"/>
      <w:ind w:left="283"/>
      <w:jc w:val="left"/>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487CF5"/>
    <w:rPr>
      <w:rFonts w:ascii="Times New Roman" w:eastAsia="Times New Roman" w:hAnsi="Times New Roman"/>
      <w:sz w:val="24"/>
      <w:szCs w:val="24"/>
      <w:lang w:eastAsia="en-US"/>
    </w:rPr>
  </w:style>
  <w:style w:type="character" w:customStyle="1" w:styleId="tekst4">
    <w:name w:val="tekst4"/>
    <w:basedOn w:val="DefaultParagraphFont"/>
    <w:uiPriority w:val="99"/>
    <w:rsid w:val="00487CF5"/>
    <w:rPr>
      <w:rFonts w:cs="Times New Roman"/>
    </w:rPr>
  </w:style>
  <w:style w:type="paragraph" w:customStyle="1" w:styleId="H">
    <w:name w:val="H"/>
    <w:basedOn w:val="B"/>
    <w:uiPriority w:val="99"/>
    <w:rsid w:val="00487CF5"/>
    <w:pPr>
      <w:keepNext w:val="0"/>
      <w:tabs>
        <w:tab w:val="clear" w:pos="0"/>
      </w:tabs>
      <w:suppressAutoHyphens w:val="0"/>
      <w:jc w:val="both"/>
      <w:outlineLvl w:val="9"/>
    </w:pPr>
    <w:rPr>
      <w:rFonts w:ascii="Times New Roman" w:eastAsia="MS Mincho" w:hAnsi="Times New Roman" w:cs="Times New Roman"/>
      <w:bCs w:val="0"/>
      <w:color w:val="000000"/>
      <w:sz w:val="24"/>
      <w:szCs w:val="24"/>
      <w:lang w:eastAsia="et-EE"/>
    </w:rPr>
  </w:style>
  <w:style w:type="paragraph" w:customStyle="1" w:styleId="Normaallaadveeb1">
    <w:name w:val="Normaallaad (veeb)1"/>
    <w:basedOn w:val="Normal"/>
    <w:uiPriority w:val="99"/>
    <w:rsid w:val="00487CF5"/>
    <w:pPr>
      <w:spacing w:before="280" w:after="280"/>
      <w:jc w:val="left"/>
    </w:pPr>
    <w:rPr>
      <w:rFonts w:ascii="Arial Unicode MS" w:eastAsia="Arial Unicode MS" w:hAnsi="Times New Roman" w:cs="Arial Unicode MS"/>
      <w:color w:val="000000"/>
      <w:sz w:val="24"/>
      <w:szCs w:val="24"/>
      <w:lang w:val="en-GB" w:eastAsia="ar-SA"/>
    </w:rPr>
  </w:style>
  <w:style w:type="paragraph" w:customStyle="1" w:styleId="Style1">
    <w:name w:val="Style1"/>
    <w:basedOn w:val="Normal"/>
    <w:link w:val="Style1Char"/>
    <w:uiPriority w:val="99"/>
    <w:rsid w:val="00487CF5"/>
    <w:pPr>
      <w:spacing w:after="120"/>
      <w:jc w:val="left"/>
    </w:pPr>
    <w:rPr>
      <w:rFonts w:ascii="Times New Roman" w:eastAsia="Times New Roman" w:hAnsi="Times New Roman"/>
      <w:sz w:val="24"/>
      <w:szCs w:val="24"/>
    </w:rPr>
  </w:style>
  <w:style w:type="character" w:customStyle="1" w:styleId="Style1Char">
    <w:name w:val="Style1 Char"/>
    <w:basedOn w:val="DefaultParagraphFont"/>
    <w:link w:val="Style1"/>
    <w:uiPriority w:val="99"/>
    <w:locked/>
    <w:rsid w:val="00487CF5"/>
    <w:rPr>
      <w:rFonts w:ascii="Times New Roman" w:eastAsia="Times New Roman" w:hAnsi="Times New Roman"/>
      <w:sz w:val="24"/>
      <w:szCs w:val="24"/>
      <w:lang w:eastAsia="en-US"/>
    </w:rPr>
  </w:style>
  <w:style w:type="paragraph" w:customStyle="1" w:styleId="Default">
    <w:name w:val="Default"/>
    <w:rsid w:val="00487CF5"/>
    <w:pPr>
      <w:autoSpaceDE w:val="0"/>
      <w:autoSpaceDN w:val="0"/>
      <w:adjustRightInd w:val="0"/>
    </w:pPr>
    <w:rPr>
      <w:rFonts w:ascii="Arial" w:eastAsia="Times New Roman" w:hAnsi="Arial" w:cs="Arial"/>
      <w:color w:val="000000"/>
      <w:sz w:val="24"/>
      <w:szCs w:val="24"/>
      <w:lang w:eastAsia="en-US"/>
    </w:rPr>
  </w:style>
  <w:style w:type="paragraph" w:styleId="EndnoteText">
    <w:name w:val="endnote text"/>
    <w:basedOn w:val="Normal"/>
    <w:link w:val="EndnoteTextChar"/>
    <w:uiPriority w:val="99"/>
    <w:semiHidden/>
    <w:rsid w:val="00487CF5"/>
    <w:pPr>
      <w:spacing w:after="120"/>
      <w:jc w:val="left"/>
    </w:pPr>
    <w:rPr>
      <w:rFonts w:ascii="Calibri" w:eastAsia="Times New Roman" w:hAnsi="Calibri"/>
      <w:sz w:val="20"/>
      <w:szCs w:val="20"/>
    </w:rPr>
  </w:style>
  <w:style w:type="character" w:customStyle="1" w:styleId="EndnoteTextChar">
    <w:name w:val="Endnote Text Char"/>
    <w:basedOn w:val="DefaultParagraphFont"/>
    <w:link w:val="EndnoteText"/>
    <w:uiPriority w:val="99"/>
    <w:semiHidden/>
    <w:rsid w:val="00487CF5"/>
    <w:rPr>
      <w:rFonts w:eastAsia="Times New Roman"/>
      <w:lang w:eastAsia="en-US"/>
    </w:rPr>
  </w:style>
  <w:style w:type="paragraph" w:customStyle="1" w:styleId="xl73">
    <w:name w:val="xl73"/>
    <w:basedOn w:val="Normal"/>
    <w:rsid w:val="00487CF5"/>
    <w:pPr>
      <w:pBdr>
        <w:top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b/>
      <w:bCs/>
      <w:sz w:val="18"/>
      <w:szCs w:val="18"/>
      <w:lang w:eastAsia="et-EE"/>
    </w:rPr>
  </w:style>
  <w:style w:type="paragraph" w:customStyle="1" w:styleId="xl74">
    <w:name w:val="xl74"/>
    <w:basedOn w:val="Normal"/>
    <w:rsid w:val="00487C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b/>
      <w:bCs/>
      <w:sz w:val="18"/>
      <w:szCs w:val="18"/>
      <w:lang w:eastAsia="et-EE"/>
    </w:rPr>
  </w:style>
  <w:style w:type="paragraph" w:customStyle="1" w:styleId="xl75">
    <w:name w:val="xl75"/>
    <w:basedOn w:val="Normal"/>
    <w:rsid w:val="00487C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b/>
      <w:bCs/>
      <w:sz w:val="18"/>
      <w:szCs w:val="18"/>
      <w:lang w:eastAsia="et-EE"/>
    </w:rPr>
  </w:style>
  <w:style w:type="paragraph" w:customStyle="1" w:styleId="xl76">
    <w:name w:val="xl76"/>
    <w:basedOn w:val="Normal"/>
    <w:rsid w:val="00487C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b/>
      <w:bCs/>
      <w:sz w:val="18"/>
      <w:szCs w:val="18"/>
      <w:lang w:eastAsia="et-EE"/>
    </w:rPr>
  </w:style>
  <w:style w:type="paragraph" w:customStyle="1" w:styleId="xl77">
    <w:name w:val="xl77"/>
    <w:basedOn w:val="Normal"/>
    <w:rsid w:val="00487CF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t-EE"/>
    </w:rPr>
  </w:style>
  <w:style w:type="paragraph" w:customStyle="1" w:styleId="xl78">
    <w:name w:val="xl78"/>
    <w:basedOn w:val="Normal"/>
    <w:rsid w:val="00487CF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b/>
      <w:bCs/>
      <w:sz w:val="18"/>
      <w:szCs w:val="18"/>
      <w:lang w:eastAsia="et-EE"/>
    </w:rPr>
  </w:style>
  <w:style w:type="paragraph" w:customStyle="1" w:styleId="font5">
    <w:name w:val="font5"/>
    <w:basedOn w:val="Normal"/>
    <w:rsid w:val="00487CF5"/>
    <w:pPr>
      <w:spacing w:before="100" w:beforeAutospacing="1" w:after="100" w:afterAutospacing="1"/>
      <w:jc w:val="left"/>
    </w:pPr>
    <w:rPr>
      <w:rFonts w:ascii="Tahoma" w:eastAsia="Times New Roman" w:hAnsi="Tahoma" w:cs="Tahoma"/>
      <w:color w:val="000000"/>
      <w:sz w:val="18"/>
      <w:szCs w:val="18"/>
      <w:lang w:eastAsia="et-EE"/>
    </w:rPr>
  </w:style>
  <w:style w:type="paragraph" w:customStyle="1" w:styleId="font6">
    <w:name w:val="font6"/>
    <w:basedOn w:val="Normal"/>
    <w:rsid w:val="00487CF5"/>
    <w:pPr>
      <w:spacing w:before="100" w:beforeAutospacing="1" w:after="100" w:afterAutospacing="1"/>
      <w:jc w:val="left"/>
    </w:pPr>
    <w:rPr>
      <w:rFonts w:ascii="Tahoma" w:eastAsia="Times New Roman" w:hAnsi="Tahoma" w:cs="Tahoma"/>
      <w:b/>
      <w:bCs/>
      <w:color w:val="000000"/>
      <w:sz w:val="18"/>
      <w:szCs w:val="18"/>
      <w:lang w:eastAsia="et-EE"/>
    </w:rPr>
  </w:style>
  <w:style w:type="paragraph" w:customStyle="1" w:styleId="xl79">
    <w:name w:val="xl79"/>
    <w:basedOn w:val="Normal"/>
    <w:rsid w:val="00487CF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0">
    <w:name w:val="xl80"/>
    <w:basedOn w:val="Normal"/>
    <w:rsid w:val="00487CF5"/>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1">
    <w:name w:val="xl81"/>
    <w:basedOn w:val="Normal"/>
    <w:rsid w:val="00487CF5"/>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2">
    <w:name w:val="xl82"/>
    <w:basedOn w:val="Normal"/>
    <w:rsid w:val="00487CF5"/>
    <w:pPr>
      <w:pBdr>
        <w:left w:val="single" w:sz="8" w:space="0" w:color="auto"/>
        <w:bottom w:val="single" w:sz="8" w:space="0" w:color="auto"/>
        <w:right w:val="single" w:sz="4"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3">
    <w:name w:val="xl83"/>
    <w:basedOn w:val="Normal"/>
    <w:rsid w:val="00487CF5"/>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4">
    <w:name w:val="xl84"/>
    <w:basedOn w:val="Normal"/>
    <w:rsid w:val="00487CF5"/>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5">
    <w:name w:val="xl85"/>
    <w:basedOn w:val="Normal"/>
    <w:rsid w:val="00487CF5"/>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Calibri" w:eastAsia="Times New Roman" w:hAnsi="Calibri" w:cs="Calibri"/>
      <w:sz w:val="17"/>
      <w:szCs w:val="17"/>
      <w:lang w:eastAsia="et-EE"/>
    </w:rPr>
  </w:style>
  <w:style w:type="paragraph" w:customStyle="1" w:styleId="xl86">
    <w:name w:val="xl86"/>
    <w:basedOn w:val="Normal"/>
    <w:rsid w:val="00487CF5"/>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jc w:val="left"/>
      <w:textAlignment w:val="center"/>
    </w:pPr>
    <w:rPr>
      <w:rFonts w:ascii="Calibri" w:eastAsia="Times New Roman" w:hAnsi="Calibri" w:cs="Calibri"/>
      <w:b/>
      <w:bCs/>
      <w:sz w:val="17"/>
      <w:szCs w:val="17"/>
      <w:lang w:eastAsia="et-EE"/>
    </w:rPr>
  </w:style>
  <w:style w:type="table" w:styleId="TableGrid">
    <w:name w:val="Table Grid"/>
    <w:basedOn w:val="TableNormal"/>
    <w:uiPriority w:val="39"/>
    <w:rsid w:val="00487CF5"/>
    <w:rPr>
      <w:rFonts w:ascii="Times New Roman" w:eastAsia="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uiPriority w:val="60"/>
    <w:rsid w:val="00487CF5"/>
    <w:rPr>
      <w:rFonts w:ascii="Times New Roman" w:eastAsia="Times New Roman" w:hAnsi="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Grid-Accent5">
    <w:name w:val="Light Grid Accent 5"/>
    <w:basedOn w:val="TableNormal"/>
    <w:uiPriority w:val="99"/>
    <w:rsid w:val="00487CF5"/>
    <w:rPr>
      <w:rFonts w:ascii="Times New Roman" w:eastAsia="Times New Roman" w:hAnsi="Times New Roman"/>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EndnoteReference">
    <w:name w:val="endnote reference"/>
    <w:basedOn w:val="DefaultParagraphFont"/>
    <w:uiPriority w:val="99"/>
    <w:semiHidden/>
    <w:rsid w:val="00487CF5"/>
    <w:rPr>
      <w:rFonts w:cs="Times New Roman"/>
      <w:vertAlign w:val="superscript"/>
    </w:rPr>
  </w:style>
  <w:style w:type="paragraph" w:styleId="Revision">
    <w:name w:val="Revision"/>
    <w:hidden/>
    <w:uiPriority w:val="99"/>
    <w:semiHidden/>
    <w:rsid w:val="00487CF5"/>
    <w:rPr>
      <w:rFonts w:ascii="Times New Roman" w:eastAsia="Times New Roman" w:hAnsi="Times New Roman"/>
      <w:sz w:val="24"/>
      <w:szCs w:val="24"/>
      <w:lang w:eastAsia="en-US"/>
    </w:rPr>
  </w:style>
  <w:style w:type="paragraph" w:customStyle="1" w:styleId="Standard">
    <w:name w:val="Standard"/>
    <w:rsid w:val="00487CF5"/>
    <w:pPr>
      <w:suppressAutoHyphens/>
      <w:autoSpaceDN w:val="0"/>
      <w:textAlignment w:val="baseline"/>
    </w:pPr>
    <w:rPr>
      <w:rFonts w:ascii="Times New Roman" w:eastAsia="Times New Roman" w:hAnsi="Times New Roman"/>
      <w:kern w:val="3"/>
      <w:sz w:val="24"/>
      <w:szCs w:val="24"/>
      <w:lang w:eastAsia="zh-CN"/>
    </w:rPr>
  </w:style>
  <w:style w:type="paragraph" w:styleId="Subtitle">
    <w:name w:val="Subtitle"/>
    <w:basedOn w:val="Normal"/>
    <w:next w:val="Normal"/>
    <w:link w:val="SubtitleChar"/>
    <w:uiPriority w:val="11"/>
    <w:qFormat/>
    <w:rsid w:val="00487CF5"/>
    <w:pPr>
      <w:spacing w:after="60"/>
      <w:jc w:val="center"/>
      <w:outlineLvl w:val="1"/>
    </w:pPr>
    <w:rPr>
      <w:rFonts w:ascii="Cambria" w:eastAsia="Times New Roman" w:hAnsi="Cambria"/>
      <w:noProof/>
      <w:sz w:val="24"/>
      <w:szCs w:val="24"/>
    </w:rPr>
  </w:style>
  <w:style w:type="character" w:customStyle="1" w:styleId="SubtitleChar">
    <w:name w:val="Subtitle Char"/>
    <w:basedOn w:val="DefaultParagraphFont"/>
    <w:link w:val="Subtitle"/>
    <w:uiPriority w:val="11"/>
    <w:rsid w:val="00487CF5"/>
    <w:rPr>
      <w:rFonts w:ascii="Cambria" w:eastAsia="Times New Roman" w:hAnsi="Cambria"/>
      <w:noProof/>
      <w:sz w:val="24"/>
      <w:szCs w:val="24"/>
      <w:lang w:eastAsia="en-US"/>
    </w:rPr>
  </w:style>
  <w:style w:type="paragraph" w:customStyle="1" w:styleId="Pealkiri2">
    <w:name w:val="Pealkiri 2"/>
    <w:basedOn w:val="Heading1"/>
    <w:next w:val="Normal"/>
    <w:link w:val="Pealkiri2Char"/>
    <w:qFormat/>
    <w:rsid w:val="00716D1C"/>
    <w:pPr>
      <w:keepLines w:val="0"/>
      <w:numPr>
        <w:ilvl w:val="1"/>
        <w:numId w:val="21"/>
      </w:numPr>
      <w:spacing w:before="400" w:after="60"/>
      <w:jc w:val="left"/>
      <w:outlineLvl w:val="1"/>
    </w:pPr>
    <w:rPr>
      <w:rFonts w:ascii="Georgia" w:eastAsia="Times New Roman" w:hAnsi="Georgia" w:cs="Arial"/>
      <w:b w:val="0"/>
      <w:kern w:val="32"/>
      <w:sz w:val="32"/>
    </w:rPr>
  </w:style>
  <w:style w:type="character" w:customStyle="1" w:styleId="Pealkiri2Char">
    <w:name w:val="Pealkiri 2 Char"/>
    <w:basedOn w:val="Heading1Char"/>
    <w:link w:val="Pealkiri2"/>
    <w:locked/>
    <w:rsid w:val="00716D1C"/>
    <w:rPr>
      <w:rFonts w:ascii="Georgia" w:eastAsia="Times New Roman" w:hAnsi="Georgia" w:cs="Arial"/>
      <w:bCs/>
      <w:kern w:val="32"/>
      <w:sz w:val="32"/>
    </w:rPr>
  </w:style>
  <w:style w:type="paragraph" w:customStyle="1" w:styleId="Pealkiri1">
    <w:name w:val="Pealkiri 1"/>
    <w:next w:val="Normal"/>
    <w:link w:val="Pealkiri1Char"/>
    <w:qFormat/>
    <w:rsid w:val="00716D1C"/>
    <w:pPr>
      <w:pageBreakBefore/>
      <w:numPr>
        <w:numId w:val="21"/>
      </w:numPr>
      <w:spacing w:before="960" w:after="240"/>
      <w:outlineLvl w:val="0"/>
    </w:pPr>
    <w:rPr>
      <w:rFonts w:ascii="Georgia" w:eastAsia="Times New Roman" w:hAnsi="Georgia" w:cs="Arial"/>
      <w:b/>
      <w:bCs/>
      <w:caps/>
      <w:color w:val="0070C0"/>
      <w:kern w:val="32"/>
      <w:sz w:val="44"/>
      <w:szCs w:val="32"/>
      <w:lang w:eastAsia="en-US"/>
    </w:rPr>
  </w:style>
  <w:style w:type="character" w:customStyle="1" w:styleId="Pealkiri1Char">
    <w:name w:val="Pealkiri 1 Char"/>
    <w:basedOn w:val="Heading1Char"/>
    <w:link w:val="Pealkiri1"/>
    <w:locked/>
    <w:rsid w:val="00716D1C"/>
    <w:rPr>
      <w:rFonts w:ascii="Georgia" w:eastAsia="Times New Roman" w:hAnsi="Georgia" w:cs="Arial"/>
      <w:b/>
      <w:bCs/>
      <w:caps/>
      <w:kern w:val="32"/>
      <w:szCs w:val="32"/>
    </w:rPr>
  </w:style>
  <w:style w:type="paragraph" w:customStyle="1" w:styleId="Pealkiri3">
    <w:name w:val="Pealkiri 3"/>
    <w:basedOn w:val="Pealkiri2"/>
    <w:next w:val="Normal"/>
    <w:link w:val="Pealkiri3Char"/>
    <w:qFormat/>
    <w:rsid w:val="00B35D2F"/>
    <w:pPr>
      <w:numPr>
        <w:ilvl w:val="2"/>
      </w:numPr>
      <w:spacing w:before="360"/>
      <w:outlineLvl w:val="2"/>
    </w:pPr>
    <w:rPr>
      <w:sz w:val="24"/>
      <w:szCs w:val="24"/>
    </w:rPr>
  </w:style>
  <w:style w:type="character" w:customStyle="1" w:styleId="Pealkiri3Char">
    <w:name w:val="Pealkiri 3 Char"/>
    <w:basedOn w:val="Pealkiri2Char"/>
    <w:link w:val="Pealkiri3"/>
    <w:locked/>
    <w:rsid w:val="00B35D2F"/>
    <w:rPr>
      <w:sz w:val="24"/>
      <w:szCs w:val="24"/>
    </w:rPr>
  </w:style>
  <w:style w:type="paragraph" w:customStyle="1" w:styleId="Tpealkiri">
    <w:name w:val="Tööpealkiri"/>
    <w:basedOn w:val="Heading1"/>
    <w:link w:val="TpealkiriChar"/>
    <w:qFormat/>
    <w:rsid w:val="00487CF5"/>
    <w:pPr>
      <w:keepLines w:val="0"/>
      <w:spacing w:before="0" w:after="60"/>
      <w:ind w:left="567" w:hanging="567"/>
      <w:jc w:val="center"/>
    </w:pPr>
    <w:rPr>
      <w:rFonts w:ascii="Arial" w:eastAsia="Times New Roman" w:hAnsi="Arial" w:cs="Arial"/>
      <w:caps/>
      <w:color w:val="auto"/>
      <w:kern w:val="32"/>
      <w:sz w:val="32"/>
      <w:szCs w:val="32"/>
    </w:rPr>
  </w:style>
  <w:style w:type="character" w:customStyle="1" w:styleId="TpealkiriChar">
    <w:name w:val="Tööpealkiri Char"/>
    <w:basedOn w:val="Heading1Char"/>
    <w:link w:val="Tpealkiri"/>
    <w:locked/>
    <w:rsid w:val="00487CF5"/>
    <w:rPr>
      <w:rFonts w:ascii="Arial" w:eastAsia="Times New Roman" w:hAnsi="Arial" w:cs="Arial"/>
      <w:caps/>
      <w:kern w:val="32"/>
      <w:sz w:val="32"/>
      <w:szCs w:val="32"/>
    </w:rPr>
  </w:style>
  <w:style w:type="paragraph" w:customStyle="1" w:styleId="Tiitelleht">
    <w:name w:val="Tiitelleht"/>
    <w:basedOn w:val="Normal"/>
    <w:link w:val="TiitellehtChar"/>
    <w:qFormat/>
    <w:rsid w:val="00487CF5"/>
    <w:pPr>
      <w:spacing w:after="120"/>
      <w:jc w:val="center"/>
    </w:pPr>
    <w:rPr>
      <w:rFonts w:ascii="Times New Roman" w:eastAsia="Times New Roman" w:hAnsi="Times New Roman"/>
      <w:sz w:val="24"/>
      <w:szCs w:val="24"/>
    </w:rPr>
  </w:style>
  <w:style w:type="character" w:customStyle="1" w:styleId="TiitellehtChar">
    <w:name w:val="Tiitelleht Char"/>
    <w:basedOn w:val="DefaultParagraphFont"/>
    <w:link w:val="Tiitelleht"/>
    <w:locked/>
    <w:rsid w:val="00487CF5"/>
    <w:rPr>
      <w:rFonts w:ascii="Times New Roman" w:eastAsia="Times New Roman" w:hAnsi="Times New Roman"/>
      <w:sz w:val="24"/>
      <w:szCs w:val="24"/>
      <w:lang w:eastAsia="en-US"/>
    </w:rPr>
  </w:style>
  <w:style w:type="paragraph" w:customStyle="1" w:styleId="alamrkus">
    <w:name w:val="alamärkus"/>
    <w:basedOn w:val="Normal"/>
    <w:link w:val="alamrkusChar"/>
    <w:autoRedefine/>
    <w:qFormat/>
    <w:rsid w:val="00487CF5"/>
    <w:rPr>
      <w:rFonts w:eastAsia="Times New Roman"/>
      <w:sz w:val="18"/>
      <w:szCs w:val="24"/>
    </w:rPr>
  </w:style>
  <w:style w:type="character" w:customStyle="1" w:styleId="alamrkusChar">
    <w:name w:val="alamärkus Char"/>
    <w:basedOn w:val="DefaultParagraphFont"/>
    <w:link w:val="alamrkus"/>
    <w:locked/>
    <w:rsid w:val="00487CF5"/>
    <w:rPr>
      <w:rFonts w:ascii="Georgia" w:eastAsia="Times New Roman" w:hAnsi="Georgia"/>
      <w:sz w:val="18"/>
      <w:szCs w:val="24"/>
      <w:lang w:eastAsia="en-US"/>
    </w:rPr>
  </w:style>
  <w:style w:type="paragraph" w:customStyle="1" w:styleId="Tavalinekiri">
    <w:name w:val="Tavaline kiri"/>
    <w:basedOn w:val="Normal"/>
    <w:rsid w:val="00487CF5"/>
    <w:pPr>
      <w:overflowPunct w:val="0"/>
      <w:autoSpaceDE w:val="0"/>
      <w:autoSpaceDN w:val="0"/>
      <w:adjustRightInd w:val="0"/>
      <w:spacing w:after="120" w:line="360" w:lineRule="auto"/>
      <w:jc w:val="left"/>
      <w:textAlignment w:val="baseline"/>
    </w:pPr>
    <w:rPr>
      <w:rFonts w:ascii="Times New Roman" w:eastAsia="Times New Roman" w:hAnsi="Times New Roman"/>
      <w:szCs w:val="20"/>
      <w:lang w:val="en-GB" w:eastAsia="et-EE"/>
    </w:rPr>
  </w:style>
  <w:style w:type="paragraph" w:styleId="ListContinue">
    <w:name w:val="List Continue"/>
    <w:basedOn w:val="Normal"/>
    <w:uiPriority w:val="99"/>
    <w:unhideWhenUsed/>
    <w:rsid w:val="00487CF5"/>
    <w:pPr>
      <w:spacing w:after="120"/>
      <w:ind w:left="283"/>
      <w:contextualSpacing/>
      <w:jc w:val="left"/>
    </w:pPr>
    <w:rPr>
      <w:rFonts w:ascii="Calibri" w:eastAsia="Times New Roman" w:hAnsi="Calibri"/>
    </w:rPr>
  </w:style>
  <w:style w:type="paragraph" w:customStyle="1" w:styleId="4Pealkiri">
    <w:name w:val="4Pealkiri"/>
    <w:basedOn w:val="BodyText"/>
    <w:link w:val="4PealkiriChar"/>
    <w:qFormat/>
    <w:rsid w:val="00487CF5"/>
    <w:pPr>
      <w:numPr>
        <w:numId w:val="8"/>
      </w:numPr>
      <w:spacing w:before="240" w:after="0"/>
      <w:outlineLvl w:val="3"/>
    </w:pPr>
    <w:rPr>
      <w:rFonts w:ascii="Georgia" w:hAnsi="Georgia"/>
      <w:color w:val="1C9AD7"/>
      <w:sz w:val="22"/>
    </w:rPr>
  </w:style>
  <w:style w:type="character" w:customStyle="1" w:styleId="4PealkiriChar">
    <w:name w:val="4Pealkiri Char"/>
    <w:basedOn w:val="DefaultParagraphFont"/>
    <w:link w:val="4Pealkiri"/>
    <w:locked/>
    <w:rsid w:val="00487CF5"/>
    <w:rPr>
      <w:rFonts w:ascii="Georgia" w:eastAsia="Times New Roman" w:hAnsi="Georgia"/>
      <w:color w:val="1C9AD7"/>
      <w:sz w:val="22"/>
      <w:szCs w:val="24"/>
      <w:lang w:eastAsia="ar-SA"/>
    </w:rPr>
  </w:style>
  <w:style w:type="paragraph" w:customStyle="1" w:styleId="Style2">
    <w:name w:val="Style2"/>
    <w:basedOn w:val="Normal"/>
    <w:link w:val="Style2Char"/>
    <w:qFormat/>
    <w:rsid w:val="00487CF5"/>
    <w:pPr>
      <w:spacing w:after="120"/>
    </w:pPr>
    <w:rPr>
      <w:rFonts w:eastAsia="Times New Roman"/>
      <w:b/>
      <w:noProof/>
      <w:szCs w:val="21"/>
      <w:u w:val="single"/>
    </w:rPr>
  </w:style>
  <w:style w:type="character" w:customStyle="1" w:styleId="Style2Char">
    <w:name w:val="Style2 Char"/>
    <w:basedOn w:val="DefaultParagraphFont"/>
    <w:link w:val="Style2"/>
    <w:locked/>
    <w:rsid w:val="00487CF5"/>
    <w:rPr>
      <w:rFonts w:ascii="Georgia" w:eastAsia="Times New Roman" w:hAnsi="Georgia"/>
      <w:b/>
      <w:noProof/>
      <w:sz w:val="22"/>
      <w:szCs w:val="21"/>
      <w:u w:val="single"/>
      <w:lang w:eastAsia="en-US"/>
    </w:rPr>
  </w:style>
  <w:style w:type="paragraph" w:customStyle="1" w:styleId="DecimalAligned">
    <w:name w:val="Decimal Aligned"/>
    <w:basedOn w:val="Normal"/>
    <w:uiPriority w:val="40"/>
    <w:qFormat/>
    <w:rsid w:val="00487CF5"/>
    <w:pPr>
      <w:tabs>
        <w:tab w:val="decimal" w:pos="360"/>
      </w:tabs>
      <w:jc w:val="left"/>
    </w:pPr>
    <w:rPr>
      <w:rFonts w:asciiTheme="minorHAnsi" w:eastAsiaTheme="minorEastAsia" w:hAnsiTheme="minorHAnsi" w:cstheme="minorBidi"/>
      <w:lang w:val="en-US" w:eastAsia="et-EE"/>
    </w:rPr>
  </w:style>
  <w:style w:type="table" w:customStyle="1" w:styleId="LightList-Accent11">
    <w:name w:val="Light List - Accent 11"/>
    <w:basedOn w:val="TableNormal"/>
    <w:uiPriority w:val="61"/>
    <w:rsid w:val="00487CF5"/>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4F81BD" w:themeFill="accent1"/>
      </w:tcPr>
    </w:tblStylePr>
    <w:tblStylePr w:type="lastRow">
      <w:pPr>
        <w:spacing w:before="0" w:after="0"/>
      </w:pPr>
      <w:rPr>
        <w:rFonts w:cstheme="min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87CF5"/>
    <w:rPr>
      <w:rFonts w:asciiTheme="minorHAnsi" w:eastAsiaTheme="minorEastAsia"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4BACC6" w:themeFill="accent5"/>
      </w:tcPr>
    </w:tblStylePr>
    <w:tblStylePr w:type="lastRow">
      <w:pPr>
        <w:spacing w:before="0" w:after="0"/>
      </w:pPr>
      <w:rPr>
        <w:rFonts w:cstheme="min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heme="minorBidi"/>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3-Accent5">
    <w:name w:val="Medium Grid 3 Accent 5"/>
    <w:basedOn w:val="TableNormal"/>
    <w:uiPriority w:val="69"/>
    <w:rsid w:val="00487CF5"/>
    <w:rPr>
      <w:rFonts w:asciiTheme="minorHAnsi" w:eastAsiaTheme="minorEastAsia"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rFonts w:cstheme="minorBidi"/>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heme="minorBidi"/>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heme="minorBidi"/>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heme="minorBidi"/>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heme="minorBid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heme="minorBid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2">
    <w:name w:val="Light Shading - Accent 12"/>
    <w:basedOn w:val="TableNormal"/>
    <w:uiPriority w:val="60"/>
    <w:rsid w:val="00487CF5"/>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heme="minorBid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3DFEE" w:themeFill="accent1" w:themeFillTint="3F"/>
      </w:tcPr>
    </w:tblStylePr>
    <w:tblStylePr w:type="band1Horz">
      <w:rPr>
        <w:rFonts w:cstheme="minorBidi"/>
      </w:rPr>
      <w:tblPr/>
      <w:tcPr>
        <w:tcBorders>
          <w:left w:val="nil"/>
          <w:right w:val="nil"/>
          <w:insideH w:val="nil"/>
          <w:insideV w:val="nil"/>
        </w:tcBorders>
        <w:shd w:val="clear" w:color="auto" w:fill="D3DFEE" w:themeFill="accent1" w:themeFillTint="3F"/>
      </w:tcPr>
    </w:tblStylePr>
  </w:style>
  <w:style w:type="character" w:customStyle="1" w:styleId="tyhik">
    <w:name w:val="tyhik"/>
    <w:basedOn w:val="DefaultParagraphFont"/>
    <w:rsid w:val="00487CF5"/>
    <w:rPr>
      <w:rFonts w:cs="Times New Roman"/>
    </w:rPr>
  </w:style>
  <w:style w:type="table" w:styleId="LightShading-Accent2">
    <w:name w:val="Light Shading Accent 2"/>
    <w:basedOn w:val="TableNormal"/>
    <w:uiPriority w:val="60"/>
    <w:rsid w:val="00487CF5"/>
    <w:rPr>
      <w:rFonts w:asciiTheme="minorHAnsi" w:eastAsiaTheme="minorEastAsia" w:hAnsiTheme="minorHAnsi" w:cstheme="minorBidi"/>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pPr>
      <w:rPr>
        <w:rFonts w:cstheme="minorBidi"/>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EFD3D2" w:themeFill="accent2" w:themeFillTint="3F"/>
      </w:tcPr>
    </w:tblStylePr>
    <w:tblStylePr w:type="band1Horz">
      <w:rPr>
        <w:rFonts w:cstheme="minorBidi"/>
      </w:rPr>
      <w:tblPr/>
      <w:tcPr>
        <w:tcBorders>
          <w:left w:val="nil"/>
          <w:right w:val="nil"/>
          <w:insideH w:val="nil"/>
          <w:insideV w:val="nil"/>
        </w:tcBorders>
        <w:shd w:val="clear" w:color="auto" w:fill="EFD3D2" w:themeFill="accent2" w:themeFillTint="3F"/>
      </w:tcPr>
    </w:tblStylePr>
  </w:style>
  <w:style w:type="table" w:customStyle="1" w:styleId="LightList-Accent12">
    <w:name w:val="Light List - Accent 12"/>
    <w:basedOn w:val="TableNormal"/>
    <w:uiPriority w:val="61"/>
    <w:rsid w:val="00487CF5"/>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heme="minorBidi"/>
        <w:b/>
        <w:bCs/>
        <w:color w:val="FFFFFF" w:themeColor="background1"/>
      </w:rPr>
      <w:tblPr/>
      <w:tcPr>
        <w:shd w:val="clear" w:color="auto" w:fill="4F81BD" w:themeFill="accent1"/>
      </w:tcPr>
    </w:tblStylePr>
    <w:tblStylePr w:type="lastRow">
      <w:pPr>
        <w:spacing w:before="0" w:after="0"/>
      </w:pPr>
      <w:rPr>
        <w:rFonts w:cstheme="min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487CF5"/>
    <w:rPr>
      <w:rFonts w:asciiTheme="minorHAnsi" w:eastAsiaTheme="minorEastAsia"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heme="minorBidi"/>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D2EAF1" w:themeFill="accent5" w:themeFillTint="3F"/>
      </w:tcPr>
    </w:tblStylePr>
    <w:tblStylePr w:type="band1Horz">
      <w:rPr>
        <w:rFonts w:cstheme="minorBidi"/>
      </w:rPr>
      <w:tblPr/>
      <w:tcPr>
        <w:tcBorders>
          <w:left w:val="nil"/>
          <w:right w:val="nil"/>
          <w:insideH w:val="nil"/>
          <w:insideV w:val="nil"/>
        </w:tcBorders>
        <w:shd w:val="clear" w:color="auto" w:fill="D2EAF1" w:themeFill="accent5" w:themeFillTint="3F"/>
      </w:tcPr>
    </w:tblStylePr>
  </w:style>
  <w:style w:type="table" w:customStyle="1" w:styleId="LightGrid-Accent11">
    <w:name w:val="Light Grid - Accent 11"/>
    <w:basedOn w:val="TableNormal"/>
    <w:uiPriority w:val="62"/>
    <w:rsid w:val="00487CF5"/>
    <w:rPr>
      <w:rFonts w:asciiTheme="minorHAnsi" w:eastAsiaTheme="minorEastAsia"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lainText">
    <w:name w:val="Plain Text"/>
    <w:basedOn w:val="Normal"/>
    <w:link w:val="PlainTextChar"/>
    <w:uiPriority w:val="99"/>
    <w:semiHidden/>
    <w:unhideWhenUsed/>
    <w:rsid w:val="00487CF5"/>
    <w:pPr>
      <w:jc w:val="left"/>
    </w:pPr>
    <w:rPr>
      <w:rFonts w:ascii="Consolas" w:eastAsiaTheme="minorEastAsia" w:hAnsi="Consolas" w:cstheme="minorBidi"/>
      <w:szCs w:val="21"/>
      <w:lang w:eastAsia="et-EE"/>
    </w:rPr>
  </w:style>
  <w:style w:type="character" w:customStyle="1" w:styleId="PlainTextChar">
    <w:name w:val="Plain Text Char"/>
    <w:basedOn w:val="DefaultParagraphFont"/>
    <w:link w:val="PlainText"/>
    <w:uiPriority w:val="99"/>
    <w:semiHidden/>
    <w:rsid w:val="00487CF5"/>
    <w:rPr>
      <w:rFonts w:ascii="Consolas" w:eastAsiaTheme="minorEastAsia" w:hAnsi="Consolas" w:cstheme="minorBidi"/>
      <w:sz w:val="22"/>
      <w:szCs w:val="21"/>
    </w:rPr>
  </w:style>
  <w:style w:type="paragraph" w:styleId="HTMLPreformatted">
    <w:name w:val="HTML Preformatted"/>
    <w:basedOn w:val="Normal"/>
    <w:link w:val="HTMLPreformattedChar"/>
    <w:uiPriority w:val="99"/>
    <w:unhideWhenUsed/>
    <w:rsid w:val="00487C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t-EE"/>
    </w:rPr>
  </w:style>
  <w:style w:type="character" w:customStyle="1" w:styleId="HTMLPreformattedChar">
    <w:name w:val="HTML Preformatted Char"/>
    <w:basedOn w:val="DefaultParagraphFont"/>
    <w:link w:val="HTMLPreformatted"/>
    <w:uiPriority w:val="99"/>
    <w:rsid w:val="00487CF5"/>
    <w:rPr>
      <w:rFonts w:ascii="Courier New" w:eastAsia="Times New Roman" w:hAnsi="Courier New" w:cs="Courier New"/>
    </w:rPr>
  </w:style>
  <w:style w:type="character" w:customStyle="1" w:styleId="mm">
    <w:name w:val="mm"/>
    <w:basedOn w:val="DefaultParagraphFont"/>
    <w:rsid w:val="00487CF5"/>
    <w:rPr>
      <w:rFonts w:cs="Times New Roman"/>
    </w:rPr>
  </w:style>
  <w:style w:type="paragraph" w:customStyle="1" w:styleId="Loend1">
    <w:name w:val="Loend 1"/>
    <w:basedOn w:val="Normal"/>
    <w:qFormat/>
    <w:rsid w:val="00F97B52"/>
    <w:pPr>
      <w:numPr>
        <w:numId w:val="4"/>
      </w:numPr>
      <w:spacing w:before="0" w:after="120"/>
      <w:ind w:left="1094" w:hanging="357"/>
      <w:contextualSpacing/>
    </w:pPr>
    <w:rPr>
      <w:rFonts w:eastAsia="Times New Roman"/>
    </w:rPr>
  </w:style>
  <w:style w:type="paragraph" w:customStyle="1" w:styleId="Loend21">
    <w:name w:val="Loend 21"/>
    <w:basedOn w:val="Loend1"/>
    <w:qFormat/>
    <w:rsid w:val="00953D51"/>
    <w:pPr>
      <w:numPr>
        <w:numId w:val="6"/>
      </w:numPr>
      <w:spacing w:after="0"/>
      <w:ind w:left="1208" w:hanging="357"/>
    </w:pPr>
  </w:style>
  <w:style w:type="paragraph" w:customStyle="1" w:styleId="taanep">
    <w:name w:val="taane(p)"/>
    <w:basedOn w:val="Normal"/>
    <w:rsid w:val="00487CF5"/>
    <w:pPr>
      <w:numPr>
        <w:numId w:val="5"/>
      </w:numPr>
      <w:tabs>
        <w:tab w:val="clear" w:pos="644"/>
      </w:tabs>
      <w:ind w:left="284" w:hanging="284"/>
    </w:pPr>
    <w:rPr>
      <w:rFonts w:ascii="Times New Roman" w:eastAsia="Times New Roman" w:hAnsi="Times New Roman"/>
      <w:sz w:val="23"/>
      <w:szCs w:val="20"/>
    </w:rPr>
  </w:style>
  <w:style w:type="table" w:customStyle="1" w:styleId="LightShading1">
    <w:name w:val="Light Shading1"/>
    <w:basedOn w:val="TableNormal"/>
    <w:uiPriority w:val="60"/>
    <w:rsid w:val="00487CF5"/>
    <w:rPr>
      <w:rFonts w:asciiTheme="minorHAnsi" w:eastAsia="Times New Roman"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heme="minorBid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heme="minorBidi"/>
        <w:b/>
        <w:bCs/>
      </w:rPr>
    </w:tblStylePr>
    <w:tblStylePr w:type="lastCol">
      <w:rPr>
        <w:rFonts w:cstheme="minorBidi"/>
        <w:b/>
        <w:bCs/>
      </w:rPr>
    </w:tblStylePr>
    <w:tblStylePr w:type="band1Vert">
      <w:rPr>
        <w:rFonts w:cstheme="minorBidi"/>
      </w:rPr>
      <w:tblPr/>
      <w:tcPr>
        <w:tcBorders>
          <w:left w:val="nil"/>
          <w:right w:val="nil"/>
          <w:insideH w:val="nil"/>
          <w:insideV w:val="nil"/>
        </w:tcBorders>
        <w:shd w:val="clear" w:color="auto" w:fill="C0C0C0" w:themeFill="text1" w:themeFillTint="3F"/>
      </w:tcPr>
    </w:tblStylePr>
    <w:tblStylePr w:type="band1Horz">
      <w:rPr>
        <w:rFonts w:cstheme="minorBidi"/>
      </w:rPr>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487CF5"/>
    <w:pPr>
      <w:spacing w:after="100"/>
      <w:ind w:left="660"/>
      <w:jc w:val="left"/>
    </w:pPr>
    <w:rPr>
      <w:rFonts w:asciiTheme="minorHAnsi" w:eastAsiaTheme="minorEastAsia" w:hAnsiTheme="minorHAnsi" w:cstheme="minorBidi"/>
      <w:lang w:eastAsia="et-EE"/>
    </w:rPr>
  </w:style>
  <w:style w:type="paragraph" w:styleId="TOC5">
    <w:name w:val="toc 5"/>
    <w:basedOn w:val="Normal"/>
    <w:next w:val="Normal"/>
    <w:autoRedefine/>
    <w:uiPriority w:val="39"/>
    <w:unhideWhenUsed/>
    <w:rsid w:val="00487CF5"/>
    <w:pPr>
      <w:spacing w:after="100"/>
      <w:ind w:left="880"/>
      <w:jc w:val="left"/>
    </w:pPr>
    <w:rPr>
      <w:rFonts w:asciiTheme="minorHAnsi" w:eastAsiaTheme="minorEastAsia" w:hAnsiTheme="minorHAnsi" w:cstheme="minorBidi"/>
      <w:lang w:eastAsia="et-EE"/>
    </w:rPr>
  </w:style>
  <w:style w:type="paragraph" w:styleId="TOC6">
    <w:name w:val="toc 6"/>
    <w:basedOn w:val="Normal"/>
    <w:next w:val="Normal"/>
    <w:autoRedefine/>
    <w:uiPriority w:val="39"/>
    <w:unhideWhenUsed/>
    <w:rsid w:val="00487CF5"/>
    <w:pPr>
      <w:spacing w:after="100"/>
      <w:ind w:left="1100"/>
      <w:jc w:val="left"/>
    </w:pPr>
    <w:rPr>
      <w:rFonts w:asciiTheme="minorHAnsi" w:eastAsiaTheme="minorEastAsia" w:hAnsiTheme="minorHAnsi" w:cstheme="minorBidi"/>
      <w:lang w:eastAsia="et-EE"/>
    </w:rPr>
  </w:style>
  <w:style w:type="paragraph" w:styleId="TOC7">
    <w:name w:val="toc 7"/>
    <w:basedOn w:val="Normal"/>
    <w:next w:val="Normal"/>
    <w:autoRedefine/>
    <w:uiPriority w:val="39"/>
    <w:unhideWhenUsed/>
    <w:rsid w:val="00487CF5"/>
    <w:pPr>
      <w:spacing w:after="100"/>
      <w:ind w:left="1320"/>
      <w:jc w:val="left"/>
    </w:pPr>
    <w:rPr>
      <w:rFonts w:asciiTheme="minorHAnsi" w:eastAsiaTheme="minorEastAsia" w:hAnsiTheme="minorHAnsi" w:cstheme="minorBidi"/>
      <w:lang w:eastAsia="et-EE"/>
    </w:rPr>
  </w:style>
  <w:style w:type="paragraph" w:styleId="TOC8">
    <w:name w:val="toc 8"/>
    <w:basedOn w:val="Normal"/>
    <w:next w:val="Normal"/>
    <w:autoRedefine/>
    <w:uiPriority w:val="39"/>
    <w:unhideWhenUsed/>
    <w:rsid w:val="00487CF5"/>
    <w:pPr>
      <w:spacing w:after="100"/>
      <w:ind w:left="1540"/>
      <w:jc w:val="left"/>
    </w:pPr>
    <w:rPr>
      <w:rFonts w:asciiTheme="minorHAnsi" w:eastAsiaTheme="minorEastAsia" w:hAnsiTheme="minorHAnsi" w:cstheme="minorBidi"/>
      <w:lang w:eastAsia="et-EE"/>
    </w:rPr>
  </w:style>
  <w:style w:type="paragraph" w:styleId="TOC9">
    <w:name w:val="toc 9"/>
    <w:basedOn w:val="Normal"/>
    <w:next w:val="Normal"/>
    <w:autoRedefine/>
    <w:uiPriority w:val="39"/>
    <w:unhideWhenUsed/>
    <w:rsid w:val="00487CF5"/>
    <w:pPr>
      <w:spacing w:after="100"/>
      <w:ind w:left="1760"/>
      <w:jc w:val="left"/>
    </w:pPr>
    <w:rPr>
      <w:rFonts w:asciiTheme="minorHAnsi" w:eastAsiaTheme="minorEastAsia" w:hAnsiTheme="minorHAnsi" w:cstheme="minorBidi"/>
      <w:lang w:eastAsia="et-EE"/>
    </w:rPr>
  </w:style>
  <w:style w:type="paragraph" w:customStyle="1" w:styleId="Loendilik1">
    <w:name w:val="Loendi lõik1"/>
    <w:basedOn w:val="Normal"/>
    <w:qFormat/>
    <w:rsid w:val="00487CF5"/>
    <w:pPr>
      <w:spacing w:after="120"/>
      <w:ind w:left="717" w:hanging="360"/>
      <w:contextualSpacing/>
    </w:pPr>
    <w:rPr>
      <w:rFonts w:ascii="Calibri" w:eastAsia="Times New Roman" w:hAnsi="Calibri"/>
    </w:rPr>
  </w:style>
  <w:style w:type="paragraph" w:customStyle="1" w:styleId="Pealkiri4">
    <w:name w:val="Pealkiri 4"/>
    <w:basedOn w:val="Pealkiri3"/>
    <w:next w:val="Normal"/>
    <w:link w:val="Pealkiri4Char"/>
    <w:autoRedefine/>
    <w:qFormat/>
    <w:rsid w:val="00B35D2F"/>
    <w:pPr>
      <w:numPr>
        <w:ilvl w:val="3"/>
      </w:numPr>
      <w:spacing w:before="240"/>
      <w:jc w:val="both"/>
      <w:outlineLvl w:val="3"/>
    </w:pPr>
    <w:rPr>
      <w:rFonts w:eastAsiaTheme="majorEastAsia" w:cs="Calibri"/>
      <w:sz w:val="22"/>
    </w:rPr>
  </w:style>
  <w:style w:type="character" w:customStyle="1" w:styleId="Pealkiri4Char">
    <w:name w:val="Pealkiri 4 Char"/>
    <w:basedOn w:val="Heading4Char"/>
    <w:link w:val="Pealkiri4"/>
    <w:locked/>
    <w:rsid w:val="00B35D2F"/>
    <w:rPr>
      <w:rFonts w:eastAsiaTheme="majorEastAsia"/>
      <w:bCs/>
      <w:color w:val="0070C0"/>
      <w:kern w:val="32"/>
      <w:szCs w:val="24"/>
    </w:rPr>
  </w:style>
  <w:style w:type="character" w:styleId="PlaceholderText">
    <w:name w:val="Placeholder Text"/>
    <w:basedOn w:val="DefaultParagraphFont"/>
    <w:uiPriority w:val="99"/>
    <w:semiHidden/>
    <w:rsid w:val="00487CF5"/>
    <w:rPr>
      <w:rFonts w:cs="Times New Roman"/>
      <w:color w:val="808080"/>
    </w:rPr>
  </w:style>
  <w:style w:type="table" w:customStyle="1" w:styleId="LightGrid-Accent12">
    <w:name w:val="Light Grid - Accent 12"/>
    <w:basedOn w:val="TableNormal"/>
    <w:uiPriority w:val="62"/>
    <w:rsid w:val="00487CF5"/>
    <w:rPr>
      <w:rFonts w:asciiTheme="minorHAnsi" w:eastAsia="Times New Roman"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3">
    <w:name w:val="Light Shading - Accent 13"/>
    <w:basedOn w:val="TableNormal"/>
    <w:uiPriority w:val="60"/>
    <w:rsid w:val="00487CF5"/>
    <w:rPr>
      <w:rFonts w:eastAsia="Times New Roman" w:cs="Calibr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hemeFill="accent1" w:themeFillTint="3F"/>
      </w:tcPr>
    </w:tblStylePr>
    <w:tblStylePr w:type="band1Horz">
      <w:rPr>
        <w:rFonts w:cs="Calibri"/>
      </w:rPr>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487CF5"/>
    <w:rPr>
      <w:rFonts w:eastAsia="Times New Roman" w:cs="Calibr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Calibri"/>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hemeFill="text1" w:themeFillTint="3F"/>
      </w:tcPr>
    </w:tblStylePr>
    <w:tblStylePr w:type="band1Horz">
      <w:rPr>
        <w:rFonts w:cs="Calibri"/>
      </w:rPr>
      <w:tblPr/>
      <w:tcPr>
        <w:tcBorders>
          <w:left w:val="nil"/>
          <w:right w:val="nil"/>
          <w:insideH w:val="nil"/>
          <w:insideV w:val="nil"/>
        </w:tcBorders>
        <w:shd w:val="clear" w:color="auto" w:fill="C0C0C0" w:themeFill="text1" w:themeFillTint="3F"/>
      </w:tcPr>
    </w:tblStylePr>
  </w:style>
  <w:style w:type="table" w:customStyle="1" w:styleId="MediumShading1-Accent11">
    <w:name w:val="Medium Shading 1 - Accent 11"/>
    <w:basedOn w:val="TableNormal"/>
    <w:uiPriority w:val="63"/>
    <w:rsid w:val="00487CF5"/>
    <w:rPr>
      <w:rFonts w:eastAsia="Times New Roman" w:cs="Calibr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pPr>
      <w:rPr>
        <w:rFonts w:cs="Calibri"/>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Calibri"/>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3DFEE" w:themeFill="accent1" w:themeFillTint="3F"/>
      </w:tcPr>
    </w:tblStylePr>
    <w:tblStylePr w:type="band1Horz">
      <w:rPr>
        <w:rFonts w:cs="Calibri"/>
      </w:rPr>
      <w:tblPr/>
      <w:tcPr>
        <w:tcBorders>
          <w:insideH w:val="nil"/>
          <w:insideV w:val="nil"/>
        </w:tcBorders>
        <w:shd w:val="clear" w:color="auto" w:fill="D3DFEE" w:themeFill="accent1" w:themeFillTint="3F"/>
      </w:tcPr>
    </w:tblStylePr>
    <w:tblStylePr w:type="band2Horz">
      <w:rPr>
        <w:rFonts w:cs="Calibri"/>
      </w:rPr>
      <w:tblPr/>
      <w:tcPr>
        <w:tcBorders>
          <w:insideH w:val="nil"/>
          <w:insideV w:val="nil"/>
        </w:tcBorders>
      </w:tcPr>
    </w:tblStylePr>
  </w:style>
  <w:style w:type="paragraph" w:styleId="Title">
    <w:name w:val="Title"/>
    <w:basedOn w:val="Normal"/>
    <w:next w:val="Normal"/>
    <w:link w:val="TitleChar"/>
    <w:uiPriority w:val="10"/>
    <w:qFormat/>
    <w:rsid w:val="00487CF5"/>
    <w:pPr>
      <w:pBdr>
        <w:bottom w:val="single" w:sz="8" w:space="4" w:color="4F81BD"/>
      </w:pBdr>
      <w:spacing w:after="300"/>
      <w:contextualSpacing/>
    </w:pPr>
    <w:rPr>
      <w:rFonts w:ascii="Calibri" w:eastAsia="Times New Roman" w:hAnsi="Calibri" w:cs="Calibri"/>
      <w:color w:val="17365D"/>
      <w:spacing w:val="5"/>
      <w:kern w:val="28"/>
      <w:sz w:val="28"/>
      <w:szCs w:val="28"/>
      <w:lang w:val="en-US"/>
    </w:rPr>
  </w:style>
  <w:style w:type="character" w:customStyle="1" w:styleId="TitleChar">
    <w:name w:val="Title Char"/>
    <w:basedOn w:val="DefaultParagraphFont"/>
    <w:link w:val="Title"/>
    <w:uiPriority w:val="10"/>
    <w:rsid w:val="00487CF5"/>
    <w:rPr>
      <w:rFonts w:eastAsia="Times New Roman" w:cs="Calibri"/>
      <w:color w:val="17365D"/>
      <w:spacing w:val="5"/>
      <w:kern w:val="28"/>
      <w:sz w:val="28"/>
      <w:szCs w:val="28"/>
      <w:lang w:val="en-US" w:eastAsia="en-US"/>
    </w:rPr>
  </w:style>
  <w:style w:type="table" w:customStyle="1" w:styleId="LightGrid-Accent13">
    <w:name w:val="Light Grid - Accent 13"/>
    <w:basedOn w:val="TableNormal"/>
    <w:uiPriority w:val="62"/>
    <w:rsid w:val="00487CF5"/>
    <w:rPr>
      <w:rFonts w:eastAsia="Times New Roman" w:cs="Calibr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Pealkiri51">
    <w:name w:val="Pealkiri 51"/>
    <w:basedOn w:val="Pealkiri4"/>
    <w:next w:val="Normal"/>
    <w:link w:val="Pealkiri5Char"/>
    <w:qFormat/>
    <w:rsid w:val="00487CF5"/>
    <w:pPr>
      <w:numPr>
        <w:ilvl w:val="4"/>
        <w:numId w:val="10"/>
      </w:numPr>
      <w:ind w:left="1440" w:hanging="1080"/>
    </w:pPr>
  </w:style>
  <w:style w:type="table" w:styleId="MediumGrid2-Accent1">
    <w:name w:val="Medium Grid 2 Accent 1"/>
    <w:basedOn w:val="TableNormal"/>
    <w:uiPriority w:val="68"/>
    <w:rsid w:val="00487CF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rFonts w:cstheme="majorBidi"/>
        <w:b/>
        <w:bCs/>
        <w:color w:val="000000" w:themeColor="text1"/>
      </w:rPr>
      <w:tblPr/>
      <w:tcPr>
        <w:shd w:val="clear" w:color="auto" w:fill="EDF2F8" w:themeFill="accent1" w:themeFillTint="19"/>
      </w:tcPr>
    </w:tblStylePr>
    <w:tblStylePr w:type="lastRow">
      <w:rPr>
        <w:rFonts w:cstheme="majorBidi"/>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rFonts w:cstheme="majorBidi"/>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rFonts w:cstheme="majorBidi"/>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rPr>
        <w:rFonts w:cstheme="majorBidi"/>
      </w:rPr>
      <w:tblPr/>
      <w:tcPr>
        <w:shd w:val="clear" w:color="auto" w:fill="A7BFDE" w:themeFill="accent1" w:themeFillTint="7F"/>
      </w:tcPr>
    </w:tblStylePr>
    <w:tblStylePr w:type="band1Horz">
      <w:rPr>
        <w:rFonts w:cstheme="majorBidi"/>
      </w:rPr>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rPr>
        <w:rFonts w:cstheme="majorBidi"/>
      </w:rPr>
      <w:tblPr/>
      <w:tcPr>
        <w:shd w:val="clear" w:color="auto" w:fill="FFFFFF" w:themeFill="background1"/>
      </w:tcPr>
    </w:tblStylePr>
  </w:style>
  <w:style w:type="character" w:customStyle="1" w:styleId="Pealkiri5Char">
    <w:name w:val="Pealkiri 5 Char"/>
    <w:basedOn w:val="Pealkiri4Char"/>
    <w:link w:val="Pealkiri51"/>
    <w:locked/>
    <w:rsid w:val="00487CF5"/>
  </w:style>
  <w:style w:type="table" w:customStyle="1" w:styleId="MediumList1-Accent11">
    <w:name w:val="Medium List 1 - Accent 11"/>
    <w:basedOn w:val="TableNormal"/>
    <w:uiPriority w:val="65"/>
    <w:rsid w:val="00487CF5"/>
    <w:rPr>
      <w:rFonts w:eastAsia="Times New Roman" w:cs="Calibri"/>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rFonts w:cs="Calibri"/>
        <w:b/>
        <w:bCs/>
        <w:color w:val="1F497D" w:themeColor="text2"/>
      </w:rPr>
      <w:tblPr/>
      <w:tcPr>
        <w:tcBorders>
          <w:top w:val="single" w:sz="8" w:space="0" w:color="4F81BD" w:themeColor="accent1"/>
          <w:bottom w:val="single" w:sz="8" w:space="0" w:color="4F81BD" w:themeColor="accent1"/>
        </w:tcBorders>
      </w:tcPr>
    </w:tblStylePr>
    <w:tblStylePr w:type="firstCol">
      <w:rPr>
        <w:rFonts w:cs="Calibri"/>
        <w:b/>
        <w:bCs/>
      </w:rPr>
    </w:tblStylePr>
    <w:tblStylePr w:type="lastCol">
      <w:rPr>
        <w:rFonts w:cs="Calibri"/>
        <w:b/>
        <w:bCs/>
      </w:rPr>
      <w:tblPr/>
      <w:tcPr>
        <w:tcBorders>
          <w:top w:val="single" w:sz="8" w:space="0" w:color="4F81BD" w:themeColor="accent1"/>
          <w:bottom w:val="single" w:sz="8" w:space="0" w:color="4F81BD" w:themeColor="accent1"/>
        </w:tcBorders>
      </w:tcPr>
    </w:tblStylePr>
    <w:tblStylePr w:type="band1Vert">
      <w:rPr>
        <w:rFonts w:cs="Calibri"/>
      </w:rPr>
      <w:tblPr/>
      <w:tcPr>
        <w:shd w:val="clear" w:color="auto" w:fill="D3DFEE" w:themeFill="accent1" w:themeFillTint="3F"/>
      </w:tcPr>
    </w:tblStylePr>
    <w:tblStylePr w:type="band1Horz">
      <w:rPr>
        <w:rFonts w:cs="Calibri"/>
      </w:rPr>
      <w:tblPr/>
      <w:tcPr>
        <w:shd w:val="clear" w:color="auto" w:fill="D3DFEE" w:themeFill="accent1" w:themeFillTint="3F"/>
      </w:tcPr>
    </w:tblStylePr>
  </w:style>
  <w:style w:type="table" w:styleId="MediumGrid3-Accent1">
    <w:name w:val="Medium Grid 3 Accent 1"/>
    <w:basedOn w:val="TableNormal"/>
    <w:uiPriority w:val="69"/>
    <w:rsid w:val="00487CF5"/>
    <w:rPr>
      <w:rFonts w:eastAsia="Times New Roman" w:cs="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rFonts w:cs="Calibri"/>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cs="Calibri"/>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rFonts w:cs="Calibri"/>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rFonts w:cs="Calibri"/>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rPr>
        <w:rFonts w:cs="Calibr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rPr>
        <w:rFonts w:cs="Calibri"/>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Grid-Accent14">
    <w:name w:val="Light Grid - Accent 14"/>
    <w:basedOn w:val="TableNormal"/>
    <w:uiPriority w:val="62"/>
    <w:rsid w:val="00487CF5"/>
    <w:rPr>
      <w:rFonts w:asciiTheme="minorHAnsi" w:eastAsia="Times New Roman"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5">
    <w:name w:val="Light Grid - Accent 15"/>
    <w:basedOn w:val="TableNormal"/>
    <w:uiPriority w:val="62"/>
    <w:rsid w:val="00487CF5"/>
    <w:rPr>
      <w:rFonts w:asciiTheme="minorHAnsi" w:eastAsia="Times New Roman"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heme="minorBid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TekstGaramond12">
    <w:name w:val="Body Text: Tekst Garamond 12"/>
    <w:basedOn w:val="Normal"/>
    <w:link w:val="BodyTextTekstGaramond12Char"/>
    <w:rsid w:val="00487CF5"/>
    <w:pPr>
      <w:suppressAutoHyphens/>
    </w:pPr>
    <w:rPr>
      <w:rFonts w:ascii="Garamond" w:eastAsia="Times New Roman" w:hAnsi="Garamond"/>
      <w:sz w:val="24"/>
      <w:szCs w:val="20"/>
      <w:lang w:eastAsia="ar-SA"/>
    </w:rPr>
  </w:style>
  <w:style w:type="character" w:customStyle="1" w:styleId="BodyTextTekstGaramond12Char">
    <w:name w:val="Body Text: Tekst Garamond 12 Char"/>
    <w:basedOn w:val="DefaultParagraphFont"/>
    <w:link w:val="BodyTextTekstGaramond12"/>
    <w:locked/>
    <w:rsid w:val="00487CF5"/>
    <w:rPr>
      <w:rFonts w:ascii="Garamond" w:eastAsia="Times New Roman" w:hAnsi="Garamond"/>
      <w:sz w:val="24"/>
      <w:lang w:eastAsia="ar-SA"/>
    </w:rPr>
  </w:style>
  <w:style w:type="paragraph" w:customStyle="1" w:styleId="Pealkiri31">
    <w:name w:val="Pealkiri 31"/>
    <w:basedOn w:val="Pealkiri2"/>
    <w:next w:val="Normal"/>
    <w:qFormat/>
    <w:rsid w:val="00487CF5"/>
    <w:pPr>
      <w:numPr>
        <w:numId w:val="0"/>
      </w:numPr>
      <w:spacing w:before="360"/>
      <w:ind w:left="3957" w:hanging="180"/>
      <w:outlineLvl w:val="2"/>
    </w:pPr>
    <w:rPr>
      <w:sz w:val="24"/>
      <w:szCs w:val="24"/>
    </w:rPr>
  </w:style>
  <w:style w:type="table" w:customStyle="1" w:styleId="GridTable1LightAccent1">
    <w:name w:val="Grid Table 1 Light Accent 1"/>
    <w:basedOn w:val="TableNormal"/>
    <w:uiPriority w:val="46"/>
    <w:rsid w:val="00487CF5"/>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ealkiri11">
    <w:name w:val="Pealkiri 11"/>
    <w:next w:val="Normal"/>
    <w:qFormat/>
    <w:rsid w:val="00B6319C"/>
    <w:pPr>
      <w:pageBreakBefore/>
      <w:spacing w:before="960" w:after="240"/>
      <w:ind w:left="714" w:hanging="357"/>
      <w:outlineLvl w:val="0"/>
    </w:pPr>
    <w:rPr>
      <w:rFonts w:ascii="Georgia" w:eastAsia="Times New Roman" w:hAnsi="Georgia" w:cs="Arial"/>
      <w:b/>
      <w:bCs/>
      <w:caps/>
      <w:color w:val="1C9AD7"/>
      <w:kern w:val="32"/>
      <w:sz w:val="44"/>
      <w:szCs w:val="32"/>
      <w:lang w:eastAsia="en-US"/>
    </w:rPr>
  </w:style>
  <w:style w:type="numbering" w:customStyle="1" w:styleId="Pealkirjad">
    <w:name w:val="Pealkirjad"/>
    <w:uiPriority w:val="99"/>
    <w:rsid w:val="00716D1C"/>
    <w:pPr>
      <w:numPr>
        <w:numId w:val="13"/>
      </w:numPr>
    </w:pPr>
  </w:style>
  <w:style w:type="paragraph" w:customStyle="1" w:styleId="Pealkiri41">
    <w:name w:val="Pealkiri 41"/>
    <w:basedOn w:val="Pealkiri3"/>
    <w:next w:val="Normal"/>
    <w:autoRedefine/>
    <w:qFormat/>
    <w:rsid w:val="00B35D2F"/>
    <w:pPr>
      <w:numPr>
        <w:ilvl w:val="3"/>
        <w:numId w:val="14"/>
      </w:numPr>
      <w:spacing w:before="240"/>
      <w:ind w:left="1276"/>
      <w:outlineLvl w:val="3"/>
    </w:pPr>
    <w:rPr>
      <w:rFonts w:cs="Calibri"/>
      <w:color w:val="1C9AD7"/>
      <w:sz w:val="22"/>
    </w:rPr>
  </w:style>
  <w:style w:type="paragraph" w:customStyle="1" w:styleId="Loendilik">
    <w:name w:val="Loendi lõik"/>
    <w:basedOn w:val="Normal"/>
    <w:qFormat/>
    <w:rsid w:val="004F5682"/>
    <w:pPr>
      <w:spacing w:before="0" w:after="120"/>
      <w:ind w:left="717" w:hanging="360"/>
      <w:contextualSpacing/>
    </w:pPr>
    <w:rPr>
      <w:rFonts w:ascii="Calibri" w:hAnsi="Calibri"/>
    </w:rPr>
  </w:style>
  <w:style w:type="table" w:customStyle="1" w:styleId="Heleruuttabel1rhk11">
    <w:name w:val="Hele ruuttabel 1 – rõhk 11"/>
    <w:basedOn w:val="TableNormal"/>
    <w:uiPriority w:val="46"/>
    <w:rsid w:val="005458FB"/>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ghtGrid-Accent16">
    <w:name w:val="Light Grid - Accent 16"/>
    <w:basedOn w:val="TableNormal"/>
    <w:uiPriority w:val="62"/>
    <w:rsid w:val="005458F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3">
    <w:name w:val="Light List - Accent 13"/>
    <w:basedOn w:val="TableNormal"/>
    <w:uiPriority w:val="61"/>
    <w:rsid w:val="003858F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3tasanditekstRLN">
    <w:name w:val="3. tasandi tekst (RLN)"/>
    <w:basedOn w:val="Heading3"/>
    <w:rsid w:val="001D7741"/>
    <w:pPr>
      <w:keepNext w:val="0"/>
      <w:numPr>
        <w:numId w:val="0"/>
      </w:numPr>
      <w:tabs>
        <w:tab w:val="num" w:pos="1418"/>
      </w:tabs>
      <w:suppressAutoHyphens w:val="0"/>
      <w:spacing w:before="0"/>
      <w:ind w:left="1418" w:hanging="709"/>
      <w:jc w:val="both"/>
    </w:pPr>
    <w:rPr>
      <w:rFonts w:ascii="Arial" w:eastAsia="Calibri" w:hAnsi="Arial" w:cs="Times New Roman"/>
      <w:noProof w:val="0"/>
      <w:color w:val="auto"/>
      <w:sz w:val="21"/>
      <w:szCs w:val="24"/>
    </w:rPr>
  </w:style>
</w:styles>
</file>

<file path=word/webSettings.xml><?xml version="1.0" encoding="utf-8"?>
<w:webSettings xmlns:r="http://schemas.openxmlformats.org/officeDocument/2006/relationships" xmlns:w="http://schemas.openxmlformats.org/wordprocessingml/2006/main">
  <w:divs>
    <w:div w:id="51781669">
      <w:bodyDiv w:val="1"/>
      <w:marLeft w:val="0"/>
      <w:marRight w:val="0"/>
      <w:marTop w:val="0"/>
      <w:marBottom w:val="0"/>
      <w:divBdr>
        <w:top w:val="none" w:sz="0" w:space="0" w:color="auto"/>
        <w:left w:val="none" w:sz="0" w:space="0" w:color="auto"/>
        <w:bottom w:val="none" w:sz="0" w:space="0" w:color="auto"/>
        <w:right w:val="none" w:sz="0" w:space="0" w:color="auto"/>
      </w:divBdr>
    </w:div>
    <w:div w:id="103044048">
      <w:bodyDiv w:val="1"/>
      <w:marLeft w:val="0"/>
      <w:marRight w:val="0"/>
      <w:marTop w:val="0"/>
      <w:marBottom w:val="0"/>
      <w:divBdr>
        <w:top w:val="none" w:sz="0" w:space="0" w:color="auto"/>
        <w:left w:val="none" w:sz="0" w:space="0" w:color="auto"/>
        <w:bottom w:val="none" w:sz="0" w:space="0" w:color="auto"/>
        <w:right w:val="none" w:sz="0" w:space="0" w:color="auto"/>
      </w:divBdr>
    </w:div>
    <w:div w:id="173033456">
      <w:bodyDiv w:val="1"/>
      <w:marLeft w:val="0"/>
      <w:marRight w:val="0"/>
      <w:marTop w:val="0"/>
      <w:marBottom w:val="0"/>
      <w:divBdr>
        <w:top w:val="none" w:sz="0" w:space="0" w:color="auto"/>
        <w:left w:val="none" w:sz="0" w:space="0" w:color="auto"/>
        <w:bottom w:val="none" w:sz="0" w:space="0" w:color="auto"/>
        <w:right w:val="none" w:sz="0" w:space="0" w:color="auto"/>
      </w:divBdr>
      <w:divsChild>
        <w:div w:id="1786650952">
          <w:marLeft w:val="274"/>
          <w:marRight w:val="0"/>
          <w:marTop w:val="0"/>
          <w:marBottom w:val="120"/>
          <w:divBdr>
            <w:top w:val="none" w:sz="0" w:space="0" w:color="auto"/>
            <w:left w:val="none" w:sz="0" w:space="0" w:color="auto"/>
            <w:bottom w:val="none" w:sz="0" w:space="0" w:color="auto"/>
            <w:right w:val="none" w:sz="0" w:space="0" w:color="auto"/>
          </w:divBdr>
        </w:div>
        <w:div w:id="1387990692">
          <w:marLeft w:val="274"/>
          <w:marRight w:val="0"/>
          <w:marTop w:val="0"/>
          <w:marBottom w:val="120"/>
          <w:divBdr>
            <w:top w:val="none" w:sz="0" w:space="0" w:color="auto"/>
            <w:left w:val="none" w:sz="0" w:space="0" w:color="auto"/>
            <w:bottom w:val="none" w:sz="0" w:space="0" w:color="auto"/>
            <w:right w:val="none" w:sz="0" w:space="0" w:color="auto"/>
          </w:divBdr>
        </w:div>
        <w:div w:id="605769873">
          <w:marLeft w:val="274"/>
          <w:marRight w:val="0"/>
          <w:marTop w:val="0"/>
          <w:marBottom w:val="120"/>
          <w:divBdr>
            <w:top w:val="none" w:sz="0" w:space="0" w:color="auto"/>
            <w:left w:val="none" w:sz="0" w:space="0" w:color="auto"/>
            <w:bottom w:val="none" w:sz="0" w:space="0" w:color="auto"/>
            <w:right w:val="none" w:sz="0" w:space="0" w:color="auto"/>
          </w:divBdr>
        </w:div>
        <w:div w:id="1560743490">
          <w:marLeft w:val="274"/>
          <w:marRight w:val="0"/>
          <w:marTop w:val="0"/>
          <w:marBottom w:val="120"/>
          <w:divBdr>
            <w:top w:val="none" w:sz="0" w:space="0" w:color="auto"/>
            <w:left w:val="none" w:sz="0" w:space="0" w:color="auto"/>
            <w:bottom w:val="none" w:sz="0" w:space="0" w:color="auto"/>
            <w:right w:val="none" w:sz="0" w:space="0" w:color="auto"/>
          </w:divBdr>
        </w:div>
        <w:div w:id="2062513567">
          <w:marLeft w:val="274"/>
          <w:marRight w:val="0"/>
          <w:marTop w:val="0"/>
          <w:marBottom w:val="120"/>
          <w:divBdr>
            <w:top w:val="none" w:sz="0" w:space="0" w:color="auto"/>
            <w:left w:val="none" w:sz="0" w:space="0" w:color="auto"/>
            <w:bottom w:val="none" w:sz="0" w:space="0" w:color="auto"/>
            <w:right w:val="none" w:sz="0" w:space="0" w:color="auto"/>
          </w:divBdr>
        </w:div>
        <w:div w:id="213347703">
          <w:marLeft w:val="274"/>
          <w:marRight w:val="0"/>
          <w:marTop w:val="0"/>
          <w:marBottom w:val="120"/>
          <w:divBdr>
            <w:top w:val="none" w:sz="0" w:space="0" w:color="auto"/>
            <w:left w:val="none" w:sz="0" w:space="0" w:color="auto"/>
            <w:bottom w:val="none" w:sz="0" w:space="0" w:color="auto"/>
            <w:right w:val="none" w:sz="0" w:space="0" w:color="auto"/>
          </w:divBdr>
        </w:div>
      </w:divsChild>
    </w:div>
    <w:div w:id="197738533">
      <w:bodyDiv w:val="1"/>
      <w:marLeft w:val="0"/>
      <w:marRight w:val="0"/>
      <w:marTop w:val="0"/>
      <w:marBottom w:val="0"/>
      <w:divBdr>
        <w:top w:val="none" w:sz="0" w:space="0" w:color="auto"/>
        <w:left w:val="none" w:sz="0" w:space="0" w:color="auto"/>
        <w:bottom w:val="none" w:sz="0" w:space="0" w:color="auto"/>
        <w:right w:val="none" w:sz="0" w:space="0" w:color="auto"/>
      </w:divBdr>
    </w:div>
    <w:div w:id="208491095">
      <w:bodyDiv w:val="1"/>
      <w:marLeft w:val="0"/>
      <w:marRight w:val="0"/>
      <w:marTop w:val="0"/>
      <w:marBottom w:val="0"/>
      <w:divBdr>
        <w:top w:val="none" w:sz="0" w:space="0" w:color="auto"/>
        <w:left w:val="none" w:sz="0" w:space="0" w:color="auto"/>
        <w:bottom w:val="none" w:sz="0" w:space="0" w:color="auto"/>
        <w:right w:val="none" w:sz="0" w:space="0" w:color="auto"/>
      </w:divBdr>
    </w:div>
    <w:div w:id="275790607">
      <w:bodyDiv w:val="1"/>
      <w:marLeft w:val="0"/>
      <w:marRight w:val="0"/>
      <w:marTop w:val="0"/>
      <w:marBottom w:val="0"/>
      <w:divBdr>
        <w:top w:val="none" w:sz="0" w:space="0" w:color="auto"/>
        <w:left w:val="none" w:sz="0" w:space="0" w:color="auto"/>
        <w:bottom w:val="none" w:sz="0" w:space="0" w:color="auto"/>
        <w:right w:val="none" w:sz="0" w:space="0" w:color="auto"/>
      </w:divBdr>
      <w:divsChild>
        <w:div w:id="275798299">
          <w:marLeft w:val="0"/>
          <w:marRight w:val="0"/>
          <w:marTop w:val="0"/>
          <w:marBottom w:val="0"/>
          <w:divBdr>
            <w:top w:val="none" w:sz="0" w:space="0" w:color="auto"/>
            <w:left w:val="none" w:sz="0" w:space="0" w:color="auto"/>
            <w:bottom w:val="none" w:sz="0" w:space="0" w:color="auto"/>
            <w:right w:val="none" w:sz="0" w:space="0" w:color="auto"/>
          </w:divBdr>
          <w:divsChild>
            <w:div w:id="1470126594">
              <w:marLeft w:val="0"/>
              <w:marRight w:val="0"/>
              <w:marTop w:val="0"/>
              <w:marBottom w:val="0"/>
              <w:divBdr>
                <w:top w:val="none" w:sz="0" w:space="0" w:color="auto"/>
                <w:left w:val="none" w:sz="0" w:space="0" w:color="auto"/>
                <w:bottom w:val="none" w:sz="0" w:space="0" w:color="auto"/>
                <w:right w:val="none" w:sz="0" w:space="0" w:color="auto"/>
              </w:divBdr>
              <w:divsChild>
                <w:div w:id="718287698">
                  <w:marLeft w:val="0"/>
                  <w:marRight w:val="0"/>
                  <w:marTop w:val="0"/>
                  <w:marBottom w:val="0"/>
                  <w:divBdr>
                    <w:top w:val="none" w:sz="0" w:space="0" w:color="auto"/>
                    <w:left w:val="none" w:sz="0" w:space="0" w:color="auto"/>
                    <w:bottom w:val="none" w:sz="0" w:space="0" w:color="auto"/>
                    <w:right w:val="none" w:sz="0" w:space="0" w:color="auto"/>
                  </w:divBdr>
                  <w:divsChild>
                    <w:div w:id="2142266293">
                      <w:marLeft w:val="0"/>
                      <w:marRight w:val="0"/>
                      <w:marTop w:val="0"/>
                      <w:marBottom w:val="0"/>
                      <w:divBdr>
                        <w:top w:val="none" w:sz="0" w:space="0" w:color="auto"/>
                        <w:left w:val="none" w:sz="0" w:space="0" w:color="auto"/>
                        <w:bottom w:val="none" w:sz="0" w:space="0" w:color="auto"/>
                        <w:right w:val="none" w:sz="0" w:space="0" w:color="auto"/>
                      </w:divBdr>
                      <w:divsChild>
                        <w:div w:id="810826990">
                          <w:marLeft w:val="0"/>
                          <w:marRight w:val="0"/>
                          <w:marTop w:val="0"/>
                          <w:marBottom w:val="0"/>
                          <w:divBdr>
                            <w:top w:val="none" w:sz="0" w:space="0" w:color="auto"/>
                            <w:left w:val="none" w:sz="0" w:space="0" w:color="auto"/>
                            <w:bottom w:val="none" w:sz="0" w:space="0" w:color="auto"/>
                            <w:right w:val="none" w:sz="0" w:space="0" w:color="auto"/>
                          </w:divBdr>
                          <w:divsChild>
                            <w:div w:id="2135519158">
                              <w:marLeft w:val="0"/>
                              <w:marRight w:val="0"/>
                              <w:marTop w:val="0"/>
                              <w:marBottom w:val="0"/>
                              <w:divBdr>
                                <w:top w:val="none" w:sz="0" w:space="0" w:color="auto"/>
                                <w:left w:val="none" w:sz="0" w:space="0" w:color="auto"/>
                                <w:bottom w:val="none" w:sz="0" w:space="0" w:color="auto"/>
                                <w:right w:val="none" w:sz="0" w:space="0" w:color="auto"/>
                              </w:divBdr>
                              <w:divsChild>
                                <w:div w:id="615910581">
                                  <w:marLeft w:val="0"/>
                                  <w:marRight w:val="0"/>
                                  <w:marTop w:val="0"/>
                                  <w:marBottom w:val="0"/>
                                  <w:divBdr>
                                    <w:top w:val="none" w:sz="0" w:space="0" w:color="auto"/>
                                    <w:left w:val="none" w:sz="0" w:space="0" w:color="auto"/>
                                    <w:bottom w:val="none" w:sz="0" w:space="0" w:color="auto"/>
                                    <w:right w:val="none" w:sz="0" w:space="0" w:color="auto"/>
                                  </w:divBdr>
                                  <w:divsChild>
                                    <w:div w:id="171070154">
                                      <w:marLeft w:val="0"/>
                                      <w:marRight w:val="0"/>
                                      <w:marTop w:val="0"/>
                                      <w:marBottom w:val="0"/>
                                      <w:divBdr>
                                        <w:top w:val="none" w:sz="0" w:space="0" w:color="auto"/>
                                        <w:left w:val="none" w:sz="0" w:space="0" w:color="auto"/>
                                        <w:bottom w:val="none" w:sz="0" w:space="0" w:color="auto"/>
                                        <w:right w:val="none" w:sz="0" w:space="0" w:color="auto"/>
                                      </w:divBdr>
                                      <w:divsChild>
                                        <w:div w:id="1069767123">
                                          <w:marLeft w:val="0"/>
                                          <w:marRight w:val="0"/>
                                          <w:marTop w:val="0"/>
                                          <w:marBottom w:val="0"/>
                                          <w:divBdr>
                                            <w:top w:val="none" w:sz="0" w:space="0" w:color="auto"/>
                                            <w:left w:val="none" w:sz="0" w:space="0" w:color="auto"/>
                                            <w:bottom w:val="none" w:sz="0" w:space="0" w:color="auto"/>
                                            <w:right w:val="none" w:sz="0" w:space="0" w:color="auto"/>
                                          </w:divBdr>
                                          <w:divsChild>
                                            <w:div w:id="930554077">
                                              <w:marLeft w:val="0"/>
                                              <w:marRight w:val="0"/>
                                              <w:marTop w:val="0"/>
                                              <w:marBottom w:val="0"/>
                                              <w:divBdr>
                                                <w:top w:val="none" w:sz="0" w:space="0" w:color="auto"/>
                                                <w:left w:val="none" w:sz="0" w:space="0" w:color="auto"/>
                                                <w:bottom w:val="none" w:sz="0" w:space="0" w:color="auto"/>
                                                <w:right w:val="none" w:sz="0" w:space="0" w:color="auto"/>
                                              </w:divBdr>
                                              <w:divsChild>
                                                <w:div w:id="1925604300">
                                                  <w:marLeft w:val="0"/>
                                                  <w:marRight w:val="0"/>
                                                  <w:marTop w:val="0"/>
                                                  <w:marBottom w:val="0"/>
                                                  <w:divBdr>
                                                    <w:top w:val="none" w:sz="0" w:space="0" w:color="auto"/>
                                                    <w:left w:val="none" w:sz="0" w:space="0" w:color="auto"/>
                                                    <w:bottom w:val="none" w:sz="0" w:space="0" w:color="auto"/>
                                                    <w:right w:val="none" w:sz="0" w:space="0" w:color="auto"/>
                                                  </w:divBdr>
                                                  <w:divsChild>
                                                    <w:div w:id="65541344">
                                                      <w:marLeft w:val="0"/>
                                                      <w:marRight w:val="0"/>
                                                      <w:marTop w:val="0"/>
                                                      <w:marBottom w:val="0"/>
                                                      <w:divBdr>
                                                        <w:top w:val="none" w:sz="0" w:space="0" w:color="auto"/>
                                                        <w:left w:val="none" w:sz="0" w:space="0" w:color="auto"/>
                                                        <w:bottom w:val="none" w:sz="0" w:space="0" w:color="auto"/>
                                                        <w:right w:val="none" w:sz="0" w:space="0" w:color="auto"/>
                                                      </w:divBdr>
                                                      <w:divsChild>
                                                        <w:div w:id="1762600382">
                                                          <w:marLeft w:val="0"/>
                                                          <w:marRight w:val="0"/>
                                                          <w:marTop w:val="0"/>
                                                          <w:marBottom w:val="0"/>
                                                          <w:divBdr>
                                                            <w:top w:val="none" w:sz="0" w:space="0" w:color="auto"/>
                                                            <w:left w:val="none" w:sz="0" w:space="0" w:color="auto"/>
                                                            <w:bottom w:val="none" w:sz="0" w:space="0" w:color="auto"/>
                                                            <w:right w:val="none" w:sz="0" w:space="0" w:color="auto"/>
                                                          </w:divBdr>
                                                          <w:divsChild>
                                                            <w:div w:id="2092046857">
                                                              <w:marLeft w:val="0"/>
                                                              <w:marRight w:val="0"/>
                                                              <w:marTop w:val="0"/>
                                                              <w:marBottom w:val="0"/>
                                                              <w:divBdr>
                                                                <w:top w:val="none" w:sz="0" w:space="0" w:color="auto"/>
                                                                <w:left w:val="none" w:sz="0" w:space="0" w:color="auto"/>
                                                                <w:bottom w:val="none" w:sz="0" w:space="0" w:color="auto"/>
                                                                <w:right w:val="none" w:sz="0" w:space="0" w:color="auto"/>
                                                              </w:divBdr>
                                                              <w:divsChild>
                                                                <w:div w:id="428625508">
                                                                  <w:marLeft w:val="0"/>
                                                                  <w:marRight w:val="0"/>
                                                                  <w:marTop w:val="0"/>
                                                                  <w:marBottom w:val="0"/>
                                                                  <w:divBdr>
                                                                    <w:top w:val="none" w:sz="0" w:space="0" w:color="auto"/>
                                                                    <w:left w:val="none" w:sz="0" w:space="0" w:color="auto"/>
                                                                    <w:bottom w:val="none" w:sz="0" w:space="0" w:color="auto"/>
                                                                    <w:right w:val="none" w:sz="0" w:space="0" w:color="auto"/>
                                                                  </w:divBdr>
                                                                  <w:divsChild>
                                                                    <w:div w:id="730931103">
                                                                      <w:marLeft w:val="0"/>
                                                                      <w:marRight w:val="0"/>
                                                                      <w:marTop w:val="0"/>
                                                                      <w:marBottom w:val="0"/>
                                                                      <w:divBdr>
                                                                        <w:top w:val="none" w:sz="0" w:space="0" w:color="auto"/>
                                                                        <w:left w:val="none" w:sz="0" w:space="0" w:color="auto"/>
                                                                        <w:bottom w:val="none" w:sz="0" w:space="0" w:color="auto"/>
                                                                        <w:right w:val="none" w:sz="0" w:space="0" w:color="auto"/>
                                                                      </w:divBdr>
                                                                      <w:divsChild>
                                                                        <w:div w:id="1550192212">
                                                                          <w:marLeft w:val="0"/>
                                                                          <w:marRight w:val="0"/>
                                                                          <w:marTop w:val="0"/>
                                                                          <w:marBottom w:val="0"/>
                                                                          <w:divBdr>
                                                                            <w:top w:val="none" w:sz="0" w:space="0" w:color="auto"/>
                                                                            <w:left w:val="none" w:sz="0" w:space="0" w:color="auto"/>
                                                                            <w:bottom w:val="none" w:sz="0" w:space="0" w:color="auto"/>
                                                                            <w:right w:val="none" w:sz="0" w:space="0" w:color="auto"/>
                                                                          </w:divBdr>
                                                                          <w:divsChild>
                                                                            <w:div w:id="837889106">
                                                                              <w:marLeft w:val="0"/>
                                                                              <w:marRight w:val="0"/>
                                                                              <w:marTop w:val="0"/>
                                                                              <w:marBottom w:val="0"/>
                                                                              <w:divBdr>
                                                                                <w:top w:val="none" w:sz="0" w:space="0" w:color="auto"/>
                                                                                <w:left w:val="none" w:sz="0" w:space="0" w:color="auto"/>
                                                                                <w:bottom w:val="none" w:sz="0" w:space="0" w:color="auto"/>
                                                                                <w:right w:val="none" w:sz="0" w:space="0" w:color="auto"/>
                                                                              </w:divBdr>
                                                                              <w:divsChild>
                                                                                <w:div w:id="1895237677">
                                                                                  <w:marLeft w:val="0"/>
                                                                                  <w:marRight w:val="0"/>
                                                                                  <w:marTop w:val="0"/>
                                                                                  <w:marBottom w:val="0"/>
                                                                                  <w:divBdr>
                                                                                    <w:top w:val="none" w:sz="0" w:space="0" w:color="auto"/>
                                                                                    <w:left w:val="none" w:sz="0" w:space="0" w:color="auto"/>
                                                                                    <w:bottom w:val="none" w:sz="0" w:space="0" w:color="auto"/>
                                                                                    <w:right w:val="none" w:sz="0" w:space="0" w:color="auto"/>
                                                                                  </w:divBdr>
                                                                                  <w:divsChild>
                                                                                    <w:div w:id="469129328">
                                                                                      <w:marLeft w:val="0"/>
                                                                                      <w:marRight w:val="0"/>
                                                                                      <w:marTop w:val="0"/>
                                                                                      <w:marBottom w:val="0"/>
                                                                                      <w:divBdr>
                                                                                        <w:top w:val="none" w:sz="0" w:space="0" w:color="auto"/>
                                                                                        <w:left w:val="none" w:sz="0" w:space="0" w:color="auto"/>
                                                                                        <w:bottom w:val="none" w:sz="0" w:space="0" w:color="auto"/>
                                                                                        <w:right w:val="none" w:sz="0" w:space="0" w:color="auto"/>
                                                                                      </w:divBdr>
                                                                                      <w:divsChild>
                                                                                        <w:div w:id="1138105670">
                                                                                          <w:marLeft w:val="0"/>
                                                                                          <w:marRight w:val="0"/>
                                                                                          <w:marTop w:val="0"/>
                                                                                          <w:marBottom w:val="0"/>
                                                                                          <w:divBdr>
                                                                                            <w:top w:val="none" w:sz="0" w:space="0" w:color="auto"/>
                                                                                            <w:left w:val="none" w:sz="0" w:space="0" w:color="auto"/>
                                                                                            <w:bottom w:val="none" w:sz="0" w:space="0" w:color="auto"/>
                                                                                            <w:right w:val="none" w:sz="0" w:space="0" w:color="auto"/>
                                                                                          </w:divBdr>
                                                                                          <w:divsChild>
                                                                                            <w:div w:id="348415485">
                                                                                              <w:marLeft w:val="0"/>
                                                                                              <w:marRight w:val="0"/>
                                                                                              <w:marTop w:val="0"/>
                                                                                              <w:marBottom w:val="0"/>
                                                                                              <w:divBdr>
                                                                                                <w:top w:val="none" w:sz="0" w:space="0" w:color="auto"/>
                                                                                                <w:left w:val="none" w:sz="0" w:space="0" w:color="auto"/>
                                                                                                <w:bottom w:val="none" w:sz="0" w:space="0" w:color="auto"/>
                                                                                                <w:right w:val="none" w:sz="0" w:space="0" w:color="auto"/>
                                                                                              </w:divBdr>
                                                                                              <w:divsChild>
                                                                                                <w:div w:id="88307741">
                                                                                                  <w:marLeft w:val="0"/>
                                                                                                  <w:marRight w:val="0"/>
                                                                                                  <w:marTop w:val="0"/>
                                                                                                  <w:marBottom w:val="0"/>
                                                                                                  <w:divBdr>
                                                                                                    <w:top w:val="none" w:sz="0" w:space="0" w:color="auto"/>
                                                                                                    <w:left w:val="none" w:sz="0" w:space="0" w:color="auto"/>
                                                                                                    <w:bottom w:val="none" w:sz="0" w:space="0" w:color="auto"/>
                                                                                                    <w:right w:val="none" w:sz="0" w:space="0" w:color="auto"/>
                                                                                                  </w:divBdr>
                                                                                                  <w:divsChild>
                                                                                                    <w:div w:id="800225218">
                                                                                                      <w:marLeft w:val="0"/>
                                                                                                      <w:marRight w:val="0"/>
                                                                                                      <w:marTop w:val="0"/>
                                                                                                      <w:marBottom w:val="0"/>
                                                                                                      <w:divBdr>
                                                                                                        <w:top w:val="none" w:sz="0" w:space="0" w:color="auto"/>
                                                                                                        <w:left w:val="none" w:sz="0" w:space="0" w:color="auto"/>
                                                                                                        <w:bottom w:val="none" w:sz="0" w:space="0" w:color="auto"/>
                                                                                                        <w:right w:val="none" w:sz="0" w:space="0" w:color="auto"/>
                                                                                                      </w:divBdr>
                                                                                                      <w:divsChild>
                                                                                                        <w:div w:id="404686282">
                                                                                                          <w:marLeft w:val="0"/>
                                                                                                          <w:marRight w:val="0"/>
                                                                                                          <w:marTop w:val="0"/>
                                                                                                          <w:marBottom w:val="0"/>
                                                                                                          <w:divBdr>
                                                                                                            <w:top w:val="none" w:sz="0" w:space="0" w:color="auto"/>
                                                                                                            <w:left w:val="none" w:sz="0" w:space="0" w:color="auto"/>
                                                                                                            <w:bottom w:val="none" w:sz="0" w:space="0" w:color="auto"/>
                                                                                                            <w:right w:val="none" w:sz="0" w:space="0" w:color="auto"/>
                                                                                                          </w:divBdr>
                                                                                                          <w:divsChild>
                                                                                                            <w:div w:id="1088186025">
                                                                                                              <w:marLeft w:val="0"/>
                                                                                                              <w:marRight w:val="0"/>
                                                                                                              <w:marTop w:val="0"/>
                                                                                                              <w:marBottom w:val="0"/>
                                                                                                              <w:divBdr>
                                                                                                                <w:top w:val="none" w:sz="0" w:space="0" w:color="auto"/>
                                                                                                                <w:left w:val="none" w:sz="0" w:space="0" w:color="auto"/>
                                                                                                                <w:bottom w:val="none" w:sz="0" w:space="0" w:color="auto"/>
                                                                                                                <w:right w:val="none" w:sz="0" w:space="0" w:color="auto"/>
                                                                                                              </w:divBdr>
                                                                                                              <w:divsChild>
                                                                                                                <w:div w:id="1196194783">
                                                                                                                  <w:marLeft w:val="0"/>
                                                                                                                  <w:marRight w:val="0"/>
                                                                                                                  <w:marTop w:val="0"/>
                                                                                                                  <w:marBottom w:val="0"/>
                                                                                                                  <w:divBdr>
                                                                                                                    <w:top w:val="none" w:sz="0" w:space="0" w:color="auto"/>
                                                                                                                    <w:left w:val="none" w:sz="0" w:space="0" w:color="auto"/>
                                                                                                                    <w:bottom w:val="none" w:sz="0" w:space="0" w:color="auto"/>
                                                                                                                    <w:right w:val="none" w:sz="0" w:space="0" w:color="auto"/>
                                                                                                                  </w:divBdr>
                                                                                                                  <w:divsChild>
                                                                                                                    <w:div w:id="1479297585">
                                                                                                                      <w:marLeft w:val="0"/>
                                                                                                                      <w:marRight w:val="0"/>
                                                                                                                      <w:marTop w:val="0"/>
                                                                                                                      <w:marBottom w:val="0"/>
                                                                                                                      <w:divBdr>
                                                                                                                        <w:top w:val="none" w:sz="0" w:space="0" w:color="auto"/>
                                                                                                                        <w:left w:val="none" w:sz="0" w:space="0" w:color="auto"/>
                                                                                                                        <w:bottom w:val="none" w:sz="0" w:space="0" w:color="auto"/>
                                                                                                                        <w:right w:val="none" w:sz="0" w:space="0" w:color="auto"/>
                                                                                                                      </w:divBdr>
                                                                                                                      <w:divsChild>
                                                                                                                        <w:div w:id="1789397408">
                                                                                                                          <w:marLeft w:val="0"/>
                                                                                                                          <w:marRight w:val="0"/>
                                                                                                                          <w:marTop w:val="0"/>
                                                                                                                          <w:marBottom w:val="0"/>
                                                                                                                          <w:divBdr>
                                                                                                                            <w:top w:val="none" w:sz="0" w:space="0" w:color="auto"/>
                                                                                                                            <w:left w:val="none" w:sz="0" w:space="0" w:color="auto"/>
                                                                                                                            <w:bottom w:val="none" w:sz="0" w:space="0" w:color="auto"/>
                                                                                                                            <w:right w:val="none" w:sz="0" w:space="0" w:color="auto"/>
                                                                                                                          </w:divBdr>
                                                                                                                          <w:divsChild>
                                                                                                                            <w:div w:id="321397875">
                                                                                                                              <w:marLeft w:val="0"/>
                                                                                                                              <w:marRight w:val="0"/>
                                                                                                                              <w:marTop w:val="0"/>
                                                                                                                              <w:marBottom w:val="0"/>
                                                                                                                              <w:divBdr>
                                                                                                                                <w:top w:val="none" w:sz="0" w:space="0" w:color="auto"/>
                                                                                                                                <w:left w:val="none" w:sz="0" w:space="0" w:color="auto"/>
                                                                                                                                <w:bottom w:val="none" w:sz="0" w:space="0" w:color="auto"/>
                                                                                                                                <w:right w:val="none" w:sz="0" w:space="0" w:color="auto"/>
                                                                                                                              </w:divBdr>
                                                                                                                              <w:divsChild>
                                                                                                                                <w:div w:id="755983160">
                                                                                                                                  <w:marLeft w:val="0"/>
                                                                                                                                  <w:marRight w:val="0"/>
                                                                                                                                  <w:marTop w:val="0"/>
                                                                                                                                  <w:marBottom w:val="0"/>
                                                                                                                                  <w:divBdr>
                                                                                                                                    <w:top w:val="none" w:sz="0" w:space="0" w:color="auto"/>
                                                                                                                                    <w:left w:val="none" w:sz="0" w:space="0" w:color="auto"/>
                                                                                                                                    <w:bottom w:val="none" w:sz="0" w:space="0" w:color="auto"/>
                                                                                                                                    <w:right w:val="none" w:sz="0" w:space="0" w:color="auto"/>
                                                                                                                                  </w:divBdr>
                                                                                                                                  <w:divsChild>
                                                                                                                                    <w:div w:id="163201927">
                                                                                                                                      <w:marLeft w:val="0"/>
                                                                                                                                      <w:marRight w:val="0"/>
                                                                                                                                      <w:marTop w:val="0"/>
                                                                                                                                      <w:marBottom w:val="0"/>
                                                                                                                                      <w:divBdr>
                                                                                                                                        <w:top w:val="none" w:sz="0" w:space="0" w:color="auto"/>
                                                                                                                                        <w:left w:val="none" w:sz="0" w:space="0" w:color="auto"/>
                                                                                                                                        <w:bottom w:val="none" w:sz="0" w:space="0" w:color="auto"/>
                                                                                                                                        <w:right w:val="none" w:sz="0" w:space="0" w:color="auto"/>
                                                                                                                                      </w:divBdr>
                                                                                                                                      <w:divsChild>
                                                                                                                                        <w:div w:id="1852253717">
                                                                                                                                          <w:marLeft w:val="0"/>
                                                                                                                                          <w:marRight w:val="0"/>
                                                                                                                                          <w:marTop w:val="0"/>
                                                                                                                                          <w:marBottom w:val="0"/>
                                                                                                                                          <w:divBdr>
                                                                                                                                            <w:top w:val="none" w:sz="0" w:space="0" w:color="auto"/>
                                                                                                                                            <w:left w:val="none" w:sz="0" w:space="0" w:color="auto"/>
                                                                                                                                            <w:bottom w:val="none" w:sz="0" w:space="0" w:color="auto"/>
                                                                                                                                            <w:right w:val="none" w:sz="0" w:space="0" w:color="auto"/>
                                                                                                                                          </w:divBdr>
                                                                                                                                          <w:divsChild>
                                                                                                                                            <w:div w:id="425267751">
                                                                                                                                              <w:marLeft w:val="0"/>
                                                                                                                                              <w:marRight w:val="0"/>
                                                                                                                                              <w:marTop w:val="0"/>
                                                                                                                                              <w:marBottom w:val="0"/>
                                                                                                                                              <w:divBdr>
                                                                                                                                                <w:top w:val="none" w:sz="0" w:space="0" w:color="auto"/>
                                                                                                                                                <w:left w:val="none" w:sz="0" w:space="0" w:color="auto"/>
                                                                                                                                                <w:bottom w:val="none" w:sz="0" w:space="0" w:color="auto"/>
                                                                                                                                                <w:right w:val="none" w:sz="0" w:space="0" w:color="auto"/>
                                                                                                                                              </w:divBdr>
                                                                                                                                              <w:divsChild>
                                                                                                                                                <w:div w:id="2037391970">
                                                                                                                                                  <w:marLeft w:val="0"/>
                                                                                                                                                  <w:marRight w:val="0"/>
                                                                                                                                                  <w:marTop w:val="0"/>
                                                                                                                                                  <w:marBottom w:val="0"/>
                                                                                                                                                  <w:divBdr>
                                                                                                                                                    <w:top w:val="none" w:sz="0" w:space="0" w:color="auto"/>
                                                                                                                                                    <w:left w:val="none" w:sz="0" w:space="0" w:color="auto"/>
                                                                                                                                                    <w:bottom w:val="none" w:sz="0" w:space="0" w:color="auto"/>
                                                                                                                                                    <w:right w:val="none" w:sz="0" w:space="0" w:color="auto"/>
                                                                                                                                                  </w:divBdr>
                                                                                                                                                  <w:divsChild>
                                                                                                                                                    <w:div w:id="567224969">
                                                                                                                                                      <w:marLeft w:val="0"/>
                                                                                                                                                      <w:marRight w:val="0"/>
                                                                                                                                                      <w:marTop w:val="0"/>
                                                                                                                                                      <w:marBottom w:val="0"/>
                                                                                                                                                      <w:divBdr>
                                                                                                                                                        <w:top w:val="none" w:sz="0" w:space="0" w:color="auto"/>
                                                                                                                                                        <w:left w:val="none" w:sz="0" w:space="0" w:color="auto"/>
                                                                                                                                                        <w:bottom w:val="none" w:sz="0" w:space="0" w:color="auto"/>
                                                                                                                                                        <w:right w:val="none" w:sz="0" w:space="0" w:color="auto"/>
                                                                                                                                                      </w:divBdr>
                                                                                                                                                    </w:div>
                                                                                                                                                    <w:div w:id="161186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954061">
      <w:bodyDiv w:val="1"/>
      <w:marLeft w:val="0"/>
      <w:marRight w:val="0"/>
      <w:marTop w:val="0"/>
      <w:marBottom w:val="0"/>
      <w:divBdr>
        <w:top w:val="none" w:sz="0" w:space="0" w:color="auto"/>
        <w:left w:val="none" w:sz="0" w:space="0" w:color="auto"/>
        <w:bottom w:val="none" w:sz="0" w:space="0" w:color="auto"/>
        <w:right w:val="none" w:sz="0" w:space="0" w:color="auto"/>
      </w:divBdr>
    </w:div>
    <w:div w:id="357589774">
      <w:bodyDiv w:val="1"/>
      <w:marLeft w:val="0"/>
      <w:marRight w:val="0"/>
      <w:marTop w:val="0"/>
      <w:marBottom w:val="0"/>
      <w:divBdr>
        <w:top w:val="none" w:sz="0" w:space="0" w:color="auto"/>
        <w:left w:val="none" w:sz="0" w:space="0" w:color="auto"/>
        <w:bottom w:val="none" w:sz="0" w:space="0" w:color="auto"/>
        <w:right w:val="none" w:sz="0" w:space="0" w:color="auto"/>
      </w:divBdr>
    </w:div>
    <w:div w:id="385568272">
      <w:bodyDiv w:val="1"/>
      <w:marLeft w:val="0"/>
      <w:marRight w:val="0"/>
      <w:marTop w:val="0"/>
      <w:marBottom w:val="0"/>
      <w:divBdr>
        <w:top w:val="none" w:sz="0" w:space="0" w:color="auto"/>
        <w:left w:val="none" w:sz="0" w:space="0" w:color="auto"/>
        <w:bottom w:val="none" w:sz="0" w:space="0" w:color="auto"/>
        <w:right w:val="none" w:sz="0" w:space="0" w:color="auto"/>
      </w:divBdr>
    </w:div>
    <w:div w:id="453867243">
      <w:bodyDiv w:val="1"/>
      <w:marLeft w:val="0"/>
      <w:marRight w:val="0"/>
      <w:marTop w:val="0"/>
      <w:marBottom w:val="0"/>
      <w:divBdr>
        <w:top w:val="none" w:sz="0" w:space="0" w:color="auto"/>
        <w:left w:val="none" w:sz="0" w:space="0" w:color="auto"/>
        <w:bottom w:val="none" w:sz="0" w:space="0" w:color="auto"/>
        <w:right w:val="none" w:sz="0" w:space="0" w:color="auto"/>
      </w:divBdr>
    </w:div>
    <w:div w:id="481242752">
      <w:bodyDiv w:val="1"/>
      <w:marLeft w:val="0"/>
      <w:marRight w:val="0"/>
      <w:marTop w:val="0"/>
      <w:marBottom w:val="0"/>
      <w:divBdr>
        <w:top w:val="none" w:sz="0" w:space="0" w:color="auto"/>
        <w:left w:val="none" w:sz="0" w:space="0" w:color="auto"/>
        <w:bottom w:val="none" w:sz="0" w:space="0" w:color="auto"/>
        <w:right w:val="none" w:sz="0" w:space="0" w:color="auto"/>
      </w:divBdr>
    </w:div>
    <w:div w:id="501706243">
      <w:bodyDiv w:val="1"/>
      <w:marLeft w:val="0"/>
      <w:marRight w:val="0"/>
      <w:marTop w:val="0"/>
      <w:marBottom w:val="0"/>
      <w:divBdr>
        <w:top w:val="none" w:sz="0" w:space="0" w:color="auto"/>
        <w:left w:val="none" w:sz="0" w:space="0" w:color="auto"/>
        <w:bottom w:val="none" w:sz="0" w:space="0" w:color="auto"/>
        <w:right w:val="none" w:sz="0" w:space="0" w:color="auto"/>
      </w:divBdr>
      <w:divsChild>
        <w:div w:id="379087113">
          <w:marLeft w:val="0"/>
          <w:marRight w:val="0"/>
          <w:marTop w:val="0"/>
          <w:marBottom w:val="0"/>
          <w:divBdr>
            <w:top w:val="none" w:sz="0" w:space="0" w:color="auto"/>
            <w:left w:val="none" w:sz="0" w:space="0" w:color="auto"/>
            <w:bottom w:val="none" w:sz="0" w:space="0" w:color="auto"/>
            <w:right w:val="none" w:sz="0" w:space="0" w:color="auto"/>
          </w:divBdr>
          <w:divsChild>
            <w:div w:id="893197201">
              <w:marLeft w:val="0"/>
              <w:marRight w:val="0"/>
              <w:marTop w:val="0"/>
              <w:marBottom w:val="0"/>
              <w:divBdr>
                <w:top w:val="none" w:sz="0" w:space="0" w:color="auto"/>
                <w:left w:val="none" w:sz="0" w:space="0" w:color="auto"/>
                <w:bottom w:val="none" w:sz="0" w:space="0" w:color="auto"/>
                <w:right w:val="none" w:sz="0" w:space="0" w:color="auto"/>
              </w:divBdr>
              <w:divsChild>
                <w:div w:id="52050646">
                  <w:marLeft w:val="0"/>
                  <w:marRight w:val="0"/>
                  <w:marTop w:val="0"/>
                  <w:marBottom w:val="0"/>
                  <w:divBdr>
                    <w:top w:val="none" w:sz="0" w:space="0" w:color="auto"/>
                    <w:left w:val="none" w:sz="0" w:space="0" w:color="auto"/>
                    <w:bottom w:val="none" w:sz="0" w:space="0" w:color="auto"/>
                    <w:right w:val="none" w:sz="0" w:space="0" w:color="auto"/>
                  </w:divBdr>
                  <w:divsChild>
                    <w:div w:id="1878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5501">
      <w:bodyDiv w:val="1"/>
      <w:marLeft w:val="0"/>
      <w:marRight w:val="0"/>
      <w:marTop w:val="0"/>
      <w:marBottom w:val="0"/>
      <w:divBdr>
        <w:top w:val="none" w:sz="0" w:space="0" w:color="auto"/>
        <w:left w:val="none" w:sz="0" w:space="0" w:color="auto"/>
        <w:bottom w:val="none" w:sz="0" w:space="0" w:color="auto"/>
        <w:right w:val="none" w:sz="0" w:space="0" w:color="auto"/>
      </w:divBdr>
      <w:divsChild>
        <w:div w:id="1758088962">
          <w:marLeft w:val="0"/>
          <w:marRight w:val="0"/>
          <w:marTop w:val="0"/>
          <w:marBottom w:val="0"/>
          <w:divBdr>
            <w:top w:val="none" w:sz="0" w:space="0" w:color="auto"/>
            <w:left w:val="none" w:sz="0" w:space="0" w:color="auto"/>
            <w:bottom w:val="none" w:sz="0" w:space="0" w:color="auto"/>
            <w:right w:val="none" w:sz="0" w:space="0" w:color="auto"/>
          </w:divBdr>
          <w:divsChild>
            <w:div w:id="1006439981">
              <w:marLeft w:val="0"/>
              <w:marRight w:val="0"/>
              <w:marTop w:val="0"/>
              <w:marBottom w:val="0"/>
              <w:divBdr>
                <w:top w:val="none" w:sz="0" w:space="0" w:color="auto"/>
                <w:left w:val="none" w:sz="0" w:space="0" w:color="auto"/>
                <w:bottom w:val="none" w:sz="0" w:space="0" w:color="auto"/>
                <w:right w:val="none" w:sz="0" w:space="0" w:color="auto"/>
              </w:divBdr>
              <w:divsChild>
                <w:div w:id="1703288715">
                  <w:marLeft w:val="0"/>
                  <w:marRight w:val="0"/>
                  <w:marTop w:val="0"/>
                  <w:marBottom w:val="0"/>
                  <w:divBdr>
                    <w:top w:val="none" w:sz="0" w:space="0" w:color="auto"/>
                    <w:left w:val="none" w:sz="0" w:space="0" w:color="auto"/>
                    <w:bottom w:val="none" w:sz="0" w:space="0" w:color="auto"/>
                    <w:right w:val="none" w:sz="0" w:space="0" w:color="auto"/>
                  </w:divBdr>
                  <w:divsChild>
                    <w:div w:id="4546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54693">
      <w:bodyDiv w:val="1"/>
      <w:marLeft w:val="0"/>
      <w:marRight w:val="0"/>
      <w:marTop w:val="0"/>
      <w:marBottom w:val="0"/>
      <w:divBdr>
        <w:top w:val="none" w:sz="0" w:space="0" w:color="auto"/>
        <w:left w:val="none" w:sz="0" w:space="0" w:color="auto"/>
        <w:bottom w:val="none" w:sz="0" w:space="0" w:color="auto"/>
        <w:right w:val="none" w:sz="0" w:space="0" w:color="auto"/>
      </w:divBdr>
    </w:div>
    <w:div w:id="614480733">
      <w:bodyDiv w:val="1"/>
      <w:marLeft w:val="0"/>
      <w:marRight w:val="0"/>
      <w:marTop w:val="0"/>
      <w:marBottom w:val="0"/>
      <w:divBdr>
        <w:top w:val="none" w:sz="0" w:space="0" w:color="auto"/>
        <w:left w:val="none" w:sz="0" w:space="0" w:color="auto"/>
        <w:bottom w:val="none" w:sz="0" w:space="0" w:color="auto"/>
        <w:right w:val="none" w:sz="0" w:space="0" w:color="auto"/>
      </w:divBdr>
      <w:divsChild>
        <w:div w:id="1254128403">
          <w:marLeft w:val="0"/>
          <w:marRight w:val="0"/>
          <w:marTop w:val="0"/>
          <w:marBottom w:val="0"/>
          <w:divBdr>
            <w:top w:val="none" w:sz="0" w:space="0" w:color="auto"/>
            <w:left w:val="none" w:sz="0" w:space="0" w:color="auto"/>
            <w:bottom w:val="none" w:sz="0" w:space="0" w:color="auto"/>
            <w:right w:val="none" w:sz="0" w:space="0" w:color="auto"/>
          </w:divBdr>
          <w:divsChild>
            <w:div w:id="971980619">
              <w:marLeft w:val="0"/>
              <w:marRight w:val="0"/>
              <w:marTop w:val="0"/>
              <w:marBottom w:val="0"/>
              <w:divBdr>
                <w:top w:val="none" w:sz="0" w:space="0" w:color="auto"/>
                <w:left w:val="none" w:sz="0" w:space="0" w:color="auto"/>
                <w:bottom w:val="none" w:sz="0" w:space="0" w:color="auto"/>
                <w:right w:val="none" w:sz="0" w:space="0" w:color="auto"/>
              </w:divBdr>
              <w:divsChild>
                <w:div w:id="936911015">
                  <w:marLeft w:val="0"/>
                  <w:marRight w:val="0"/>
                  <w:marTop w:val="0"/>
                  <w:marBottom w:val="0"/>
                  <w:divBdr>
                    <w:top w:val="none" w:sz="0" w:space="0" w:color="auto"/>
                    <w:left w:val="none" w:sz="0" w:space="0" w:color="auto"/>
                    <w:bottom w:val="none" w:sz="0" w:space="0" w:color="auto"/>
                    <w:right w:val="none" w:sz="0" w:space="0" w:color="auto"/>
                  </w:divBdr>
                  <w:divsChild>
                    <w:div w:id="20923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57956">
      <w:bodyDiv w:val="1"/>
      <w:marLeft w:val="0"/>
      <w:marRight w:val="0"/>
      <w:marTop w:val="0"/>
      <w:marBottom w:val="0"/>
      <w:divBdr>
        <w:top w:val="none" w:sz="0" w:space="0" w:color="auto"/>
        <w:left w:val="none" w:sz="0" w:space="0" w:color="auto"/>
        <w:bottom w:val="none" w:sz="0" w:space="0" w:color="auto"/>
        <w:right w:val="none" w:sz="0" w:space="0" w:color="auto"/>
      </w:divBdr>
    </w:div>
    <w:div w:id="676347316">
      <w:bodyDiv w:val="1"/>
      <w:marLeft w:val="0"/>
      <w:marRight w:val="0"/>
      <w:marTop w:val="0"/>
      <w:marBottom w:val="0"/>
      <w:divBdr>
        <w:top w:val="none" w:sz="0" w:space="0" w:color="auto"/>
        <w:left w:val="none" w:sz="0" w:space="0" w:color="auto"/>
        <w:bottom w:val="none" w:sz="0" w:space="0" w:color="auto"/>
        <w:right w:val="none" w:sz="0" w:space="0" w:color="auto"/>
      </w:divBdr>
    </w:div>
    <w:div w:id="705328378">
      <w:bodyDiv w:val="1"/>
      <w:marLeft w:val="0"/>
      <w:marRight w:val="0"/>
      <w:marTop w:val="0"/>
      <w:marBottom w:val="0"/>
      <w:divBdr>
        <w:top w:val="none" w:sz="0" w:space="0" w:color="auto"/>
        <w:left w:val="none" w:sz="0" w:space="0" w:color="auto"/>
        <w:bottom w:val="none" w:sz="0" w:space="0" w:color="auto"/>
        <w:right w:val="none" w:sz="0" w:space="0" w:color="auto"/>
      </w:divBdr>
    </w:div>
    <w:div w:id="763838837">
      <w:bodyDiv w:val="1"/>
      <w:marLeft w:val="0"/>
      <w:marRight w:val="0"/>
      <w:marTop w:val="0"/>
      <w:marBottom w:val="0"/>
      <w:divBdr>
        <w:top w:val="none" w:sz="0" w:space="0" w:color="auto"/>
        <w:left w:val="none" w:sz="0" w:space="0" w:color="auto"/>
        <w:bottom w:val="none" w:sz="0" w:space="0" w:color="auto"/>
        <w:right w:val="none" w:sz="0" w:space="0" w:color="auto"/>
      </w:divBdr>
    </w:div>
    <w:div w:id="805928199">
      <w:bodyDiv w:val="1"/>
      <w:marLeft w:val="0"/>
      <w:marRight w:val="0"/>
      <w:marTop w:val="0"/>
      <w:marBottom w:val="0"/>
      <w:divBdr>
        <w:top w:val="none" w:sz="0" w:space="0" w:color="auto"/>
        <w:left w:val="none" w:sz="0" w:space="0" w:color="auto"/>
        <w:bottom w:val="none" w:sz="0" w:space="0" w:color="auto"/>
        <w:right w:val="none" w:sz="0" w:space="0" w:color="auto"/>
      </w:divBdr>
    </w:div>
    <w:div w:id="856845023">
      <w:bodyDiv w:val="1"/>
      <w:marLeft w:val="0"/>
      <w:marRight w:val="0"/>
      <w:marTop w:val="0"/>
      <w:marBottom w:val="0"/>
      <w:divBdr>
        <w:top w:val="none" w:sz="0" w:space="0" w:color="auto"/>
        <w:left w:val="none" w:sz="0" w:space="0" w:color="auto"/>
        <w:bottom w:val="none" w:sz="0" w:space="0" w:color="auto"/>
        <w:right w:val="none" w:sz="0" w:space="0" w:color="auto"/>
      </w:divBdr>
    </w:div>
    <w:div w:id="874392641">
      <w:bodyDiv w:val="1"/>
      <w:marLeft w:val="0"/>
      <w:marRight w:val="0"/>
      <w:marTop w:val="0"/>
      <w:marBottom w:val="0"/>
      <w:divBdr>
        <w:top w:val="none" w:sz="0" w:space="0" w:color="auto"/>
        <w:left w:val="none" w:sz="0" w:space="0" w:color="auto"/>
        <w:bottom w:val="none" w:sz="0" w:space="0" w:color="auto"/>
        <w:right w:val="none" w:sz="0" w:space="0" w:color="auto"/>
      </w:divBdr>
    </w:div>
    <w:div w:id="992682541">
      <w:bodyDiv w:val="1"/>
      <w:marLeft w:val="0"/>
      <w:marRight w:val="0"/>
      <w:marTop w:val="0"/>
      <w:marBottom w:val="0"/>
      <w:divBdr>
        <w:top w:val="none" w:sz="0" w:space="0" w:color="auto"/>
        <w:left w:val="none" w:sz="0" w:space="0" w:color="auto"/>
        <w:bottom w:val="none" w:sz="0" w:space="0" w:color="auto"/>
        <w:right w:val="none" w:sz="0" w:space="0" w:color="auto"/>
      </w:divBdr>
    </w:div>
    <w:div w:id="1062677362">
      <w:bodyDiv w:val="1"/>
      <w:marLeft w:val="0"/>
      <w:marRight w:val="0"/>
      <w:marTop w:val="0"/>
      <w:marBottom w:val="0"/>
      <w:divBdr>
        <w:top w:val="none" w:sz="0" w:space="0" w:color="auto"/>
        <w:left w:val="none" w:sz="0" w:space="0" w:color="auto"/>
        <w:bottom w:val="none" w:sz="0" w:space="0" w:color="auto"/>
        <w:right w:val="none" w:sz="0" w:space="0" w:color="auto"/>
      </w:divBdr>
    </w:div>
    <w:div w:id="1114713611">
      <w:bodyDiv w:val="1"/>
      <w:marLeft w:val="0"/>
      <w:marRight w:val="0"/>
      <w:marTop w:val="0"/>
      <w:marBottom w:val="0"/>
      <w:divBdr>
        <w:top w:val="none" w:sz="0" w:space="0" w:color="auto"/>
        <w:left w:val="none" w:sz="0" w:space="0" w:color="auto"/>
        <w:bottom w:val="none" w:sz="0" w:space="0" w:color="auto"/>
        <w:right w:val="none" w:sz="0" w:space="0" w:color="auto"/>
      </w:divBdr>
    </w:div>
    <w:div w:id="1130781785">
      <w:bodyDiv w:val="1"/>
      <w:marLeft w:val="0"/>
      <w:marRight w:val="0"/>
      <w:marTop w:val="0"/>
      <w:marBottom w:val="0"/>
      <w:divBdr>
        <w:top w:val="none" w:sz="0" w:space="0" w:color="auto"/>
        <w:left w:val="none" w:sz="0" w:space="0" w:color="auto"/>
        <w:bottom w:val="none" w:sz="0" w:space="0" w:color="auto"/>
        <w:right w:val="none" w:sz="0" w:space="0" w:color="auto"/>
      </w:divBdr>
    </w:div>
    <w:div w:id="1231965859">
      <w:bodyDiv w:val="1"/>
      <w:marLeft w:val="0"/>
      <w:marRight w:val="0"/>
      <w:marTop w:val="0"/>
      <w:marBottom w:val="0"/>
      <w:divBdr>
        <w:top w:val="none" w:sz="0" w:space="0" w:color="auto"/>
        <w:left w:val="none" w:sz="0" w:space="0" w:color="auto"/>
        <w:bottom w:val="none" w:sz="0" w:space="0" w:color="auto"/>
        <w:right w:val="none" w:sz="0" w:space="0" w:color="auto"/>
      </w:divBdr>
    </w:div>
    <w:div w:id="1259559245">
      <w:bodyDiv w:val="1"/>
      <w:marLeft w:val="0"/>
      <w:marRight w:val="0"/>
      <w:marTop w:val="0"/>
      <w:marBottom w:val="0"/>
      <w:divBdr>
        <w:top w:val="none" w:sz="0" w:space="0" w:color="auto"/>
        <w:left w:val="none" w:sz="0" w:space="0" w:color="auto"/>
        <w:bottom w:val="none" w:sz="0" w:space="0" w:color="auto"/>
        <w:right w:val="none" w:sz="0" w:space="0" w:color="auto"/>
      </w:divBdr>
    </w:div>
    <w:div w:id="1278024144">
      <w:bodyDiv w:val="1"/>
      <w:marLeft w:val="0"/>
      <w:marRight w:val="0"/>
      <w:marTop w:val="0"/>
      <w:marBottom w:val="0"/>
      <w:divBdr>
        <w:top w:val="none" w:sz="0" w:space="0" w:color="auto"/>
        <w:left w:val="none" w:sz="0" w:space="0" w:color="auto"/>
        <w:bottom w:val="none" w:sz="0" w:space="0" w:color="auto"/>
        <w:right w:val="none" w:sz="0" w:space="0" w:color="auto"/>
      </w:divBdr>
      <w:divsChild>
        <w:div w:id="515775194">
          <w:marLeft w:val="274"/>
          <w:marRight w:val="0"/>
          <w:marTop w:val="0"/>
          <w:marBottom w:val="120"/>
          <w:divBdr>
            <w:top w:val="none" w:sz="0" w:space="0" w:color="auto"/>
            <w:left w:val="none" w:sz="0" w:space="0" w:color="auto"/>
            <w:bottom w:val="none" w:sz="0" w:space="0" w:color="auto"/>
            <w:right w:val="none" w:sz="0" w:space="0" w:color="auto"/>
          </w:divBdr>
        </w:div>
        <w:div w:id="594048310">
          <w:marLeft w:val="274"/>
          <w:marRight w:val="0"/>
          <w:marTop w:val="0"/>
          <w:marBottom w:val="120"/>
          <w:divBdr>
            <w:top w:val="none" w:sz="0" w:space="0" w:color="auto"/>
            <w:left w:val="none" w:sz="0" w:space="0" w:color="auto"/>
            <w:bottom w:val="none" w:sz="0" w:space="0" w:color="auto"/>
            <w:right w:val="none" w:sz="0" w:space="0" w:color="auto"/>
          </w:divBdr>
        </w:div>
        <w:div w:id="832062531">
          <w:marLeft w:val="274"/>
          <w:marRight w:val="0"/>
          <w:marTop w:val="0"/>
          <w:marBottom w:val="120"/>
          <w:divBdr>
            <w:top w:val="none" w:sz="0" w:space="0" w:color="auto"/>
            <w:left w:val="none" w:sz="0" w:space="0" w:color="auto"/>
            <w:bottom w:val="none" w:sz="0" w:space="0" w:color="auto"/>
            <w:right w:val="none" w:sz="0" w:space="0" w:color="auto"/>
          </w:divBdr>
        </w:div>
        <w:div w:id="1288774413">
          <w:marLeft w:val="274"/>
          <w:marRight w:val="0"/>
          <w:marTop w:val="0"/>
          <w:marBottom w:val="120"/>
          <w:divBdr>
            <w:top w:val="none" w:sz="0" w:space="0" w:color="auto"/>
            <w:left w:val="none" w:sz="0" w:space="0" w:color="auto"/>
            <w:bottom w:val="none" w:sz="0" w:space="0" w:color="auto"/>
            <w:right w:val="none" w:sz="0" w:space="0" w:color="auto"/>
          </w:divBdr>
        </w:div>
        <w:div w:id="1181896483">
          <w:marLeft w:val="274"/>
          <w:marRight w:val="0"/>
          <w:marTop w:val="0"/>
          <w:marBottom w:val="120"/>
          <w:divBdr>
            <w:top w:val="none" w:sz="0" w:space="0" w:color="auto"/>
            <w:left w:val="none" w:sz="0" w:space="0" w:color="auto"/>
            <w:bottom w:val="none" w:sz="0" w:space="0" w:color="auto"/>
            <w:right w:val="none" w:sz="0" w:space="0" w:color="auto"/>
          </w:divBdr>
        </w:div>
        <w:div w:id="260534985">
          <w:marLeft w:val="274"/>
          <w:marRight w:val="0"/>
          <w:marTop w:val="0"/>
          <w:marBottom w:val="120"/>
          <w:divBdr>
            <w:top w:val="none" w:sz="0" w:space="0" w:color="auto"/>
            <w:left w:val="none" w:sz="0" w:space="0" w:color="auto"/>
            <w:bottom w:val="none" w:sz="0" w:space="0" w:color="auto"/>
            <w:right w:val="none" w:sz="0" w:space="0" w:color="auto"/>
          </w:divBdr>
        </w:div>
        <w:div w:id="980579492">
          <w:marLeft w:val="274"/>
          <w:marRight w:val="0"/>
          <w:marTop w:val="0"/>
          <w:marBottom w:val="120"/>
          <w:divBdr>
            <w:top w:val="none" w:sz="0" w:space="0" w:color="auto"/>
            <w:left w:val="none" w:sz="0" w:space="0" w:color="auto"/>
            <w:bottom w:val="none" w:sz="0" w:space="0" w:color="auto"/>
            <w:right w:val="none" w:sz="0" w:space="0" w:color="auto"/>
          </w:divBdr>
        </w:div>
        <w:div w:id="1855529695">
          <w:marLeft w:val="274"/>
          <w:marRight w:val="0"/>
          <w:marTop w:val="0"/>
          <w:marBottom w:val="120"/>
          <w:divBdr>
            <w:top w:val="none" w:sz="0" w:space="0" w:color="auto"/>
            <w:left w:val="none" w:sz="0" w:space="0" w:color="auto"/>
            <w:bottom w:val="none" w:sz="0" w:space="0" w:color="auto"/>
            <w:right w:val="none" w:sz="0" w:space="0" w:color="auto"/>
          </w:divBdr>
        </w:div>
      </w:divsChild>
    </w:div>
    <w:div w:id="1321617176">
      <w:bodyDiv w:val="1"/>
      <w:marLeft w:val="0"/>
      <w:marRight w:val="0"/>
      <w:marTop w:val="0"/>
      <w:marBottom w:val="0"/>
      <w:divBdr>
        <w:top w:val="none" w:sz="0" w:space="0" w:color="auto"/>
        <w:left w:val="none" w:sz="0" w:space="0" w:color="auto"/>
        <w:bottom w:val="none" w:sz="0" w:space="0" w:color="auto"/>
        <w:right w:val="none" w:sz="0" w:space="0" w:color="auto"/>
      </w:divBdr>
    </w:div>
    <w:div w:id="1407652423">
      <w:bodyDiv w:val="1"/>
      <w:marLeft w:val="0"/>
      <w:marRight w:val="0"/>
      <w:marTop w:val="0"/>
      <w:marBottom w:val="0"/>
      <w:divBdr>
        <w:top w:val="none" w:sz="0" w:space="0" w:color="auto"/>
        <w:left w:val="none" w:sz="0" w:space="0" w:color="auto"/>
        <w:bottom w:val="none" w:sz="0" w:space="0" w:color="auto"/>
        <w:right w:val="none" w:sz="0" w:space="0" w:color="auto"/>
      </w:divBdr>
    </w:div>
    <w:div w:id="1412117805">
      <w:bodyDiv w:val="1"/>
      <w:marLeft w:val="0"/>
      <w:marRight w:val="0"/>
      <w:marTop w:val="0"/>
      <w:marBottom w:val="0"/>
      <w:divBdr>
        <w:top w:val="none" w:sz="0" w:space="0" w:color="auto"/>
        <w:left w:val="none" w:sz="0" w:space="0" w:color="auto"/>
        <w:bottom w:val="none" w:sz="0" w:space="0" w:color="auto"/>
        <w:right w:val="none" w:sz="0" w:space="0" w:color="auto"/>
      </w:divBdr>
    </w:div>
    <w:div w:id="1442610735">
      <w:bodyDiv w:val="1"/>
      <w:marLeft w:val="0"/>
      <w:marRight w:val="0"/>
      <w:marTop w:val="0"/>
      <w:marBottom w:val="0"/>
      <w:divBdr>
        <w:top w:val="none" w:sz="0" w:space="0" w:color="auto"/>
        <w:left w:val="none" w:sz="0" w:space="0" w:color="auto"/>
        <w:bottom w:val="none" w:sz="0" w:space="0" w:color="auto"/>
        <w:right w:val="none" w:sz="0" w:space="0" w:color="auto"/>
      </w:divBdr>
    </w:div>
    <w:div w:id="1533567144">
      <w:bodyDiv w:val="1"/>
      <w:marLeft w:val="0"/>
      <w:marRight w:val="0"/>
      <w:marTop w:val="0"/>
      <w:marBottom w:val="0"/>
      <w:divBdr>
        <w:top w:val="none" w:sz="0" w:space="0" w:color="auto"/>
        <w:left w:val="none" w:sz="0" w:space="0" w:color="auto"/>
        <w:bottom w:val="none" w:sz="0" w:space="0" w:color="auto"/>
        <w:right w:val="none" w:sz="0" w:space="0" w:color="auto"/>
      </w:divBdr>
    </w:div>
    <w:div w:id="1604992832">
      <w:bodyDiv w:val="1"/>
      <w:marLeft w:val="0"/>
      <w:marRight w:val="0"/>
      <w:marTop w:val="0"/>
      <w:marBottom w:val="0"/>
      <w:divBdr>
        <w:top w:val="none" w:sz="0" w:space="0" w:color="auto"/>
        <w:left w:val="none" w:sz="0" w:space="0" w:color="auto"/>
        <w:bottom w:val="none" w:sz="0" w:space="0" w:color="auto"/>
        <w:right w:val="none" w:sz="0" w:space="0" w:color="auto"/>
      </w:divBdr>
    </w:div>
    <w:div w:id="1736201756">
      <w:bodyDiv w:val="1"/>
      <w:marLeft w:val="0"/>
      <w:marRight w:val="0"/>
      <w:marTop w:val="0"/>
      <w:marBottom w:val="0"/>
      <w:divBdr>
        <w:top w:val="none" w:sz="0" w:space="0" w:color="auto"/>
        <w:left w:val="none" w:sz="0" w:space="0" w:color="auto"/>
        <w:bottom w:val="none" w:sz="0" w:space="0" w:color="auto"/>
        <w:right w:val="none" w:sz="0" w:space="0" w:color="auto"/>
      </w:divBdr>
      <w:divsChild>
        <w:div w:id="616790800">
          <w:marLeft w:val="562"/>
          <w:marRight w:val="0"/>
          <w:marTop w:val="0"/>
          <w:marBottom w:val="120"/>
          <w:divBdr>
            <w:top w:val="none" w:sz="0" w:space="0" w:color="auto"/>
            <w:left w:val="none" w:sz="0" w:space="0" w:color="auto"/>
            <w:bottom w:val="none" w:sz="0" w:space="0" w:color="auto"/>
            <w:right w:val="none" w:sz="0" w:space="0" w:color="auto"/>
          </w:divBdr>
        </w:div>
        <w:div w:id="1011562299">
          <w:marLeft w:val="562"/>
          <w:marRight w:val="0"/>
          <w:marTop w:val="0"/>
          <w:marBottom w:val="120"/>
          <w:divBdr>
            <w:top w:val="none" w:sz="0" w:space="0" w:color="auto"/>
            <w:left w:val="none" w:sz="0" w:space="0" w:color="auto"/>
            <w:bottom w:val="none" w:sz="0" w:space="0" w:color="auto"/>
            <w:right w:val="none" w:sz="0" w:space="0" w:color="auto"/>
          </w:divBdr>
        </w:div>
        <w:div w:id="2090495033">
          <w:marLeft w:val="562"/>
          <w:marRight w:val="0"/>
          <w:marTop w:val="0"/>
          <w:marBottom w:val="120"/>
          <w:divBdr>
            <w:top w:val="none" w:sz="0" w:space="0" w:color="auto"/>
            <w:left w:val="none" w:sz="0" w:space="0" w:color="auto"/>
            <w:bottom w:val="none" w:sz="0" w:space="0" w:color="auto"/>
            <w:right w:val="none" w:sz="0" w:space="0" w:color="auto"/>
          </w:divBdr>
        </w:div>
        <w:div w:id="2071998625">
          <w:marLeft w:val="562"/>
          <w:marRight w:val="0"/>
          <w:marTop w:val="0"/>
          <w:marBottom w:val="120"/>
          <w:divBdr>
            <w:top w:val="none" w:sz="0" w:space="0" w:color="auto"/>
            <w:left w:val="none" w:sz="0" w:space="0" w:color="auto"/>
            <w:bottom w:val="none" w:sz="0" w:space="0" w:color="auto"/>
            <w:right w:val="none" w:sz="0" w:space="0" w:color="auto"/>
          </w:divBdr>
        </w:div>
        <w:div w:id="911309015">
          <w:marLeft w:val="562"/>
          <w:marRight w:val="0"/>
          <w:marTop w:val="0"/>
          <w:marBottom w:val="120"/>
          <w:divBdr>
            <w:top w:val="none" w:sz="0" w:space="0" w:color="auto"/>
            <w:left w:val="none" w:sz="0" w:space="0" w:color="auto"/>
            <w:bottom w:val="none" w:sz="0" w:space="0" w:color="auto"/>
            <w:right w:val="none" w:sz="0" w:space="0" w:color="auto"/>
          </w:divBdr>
        </w:div>
        <w:div w:id="175197643">
          <w:marLeft w:val="562"/>
          <w:marRight w:val="0"/>
          <w:marTop w:val="0"/>
          <w:marBottom w:val="120"/>
          <w:divBdr>
            <w:top w:val="none" w:sz="0" w:space="0" w:color="auto"/>
            <w:left w:val="none" w:sz="0" w:space="0" w:color="auto"/>
            <w:bottom w:val="none" w:sz="0" w:space="0" w:color="auto"/>
            <w:right w:val="none" w:sz="0" w:space="0" w:color="auto"/>
          </w:divBdr>
        </w:div>
        <w:div w:id="2048026851">
          <w:marLeft w:val="562"/>
          <w:marRight w:val="0"/>
          <w:marTop w:val="0"/>
          <w:marBottom w:val="120"/>
          <w:divBdr>
            <w:top w:val="none" w:sz="0" w:space="0" w:color="auto"/>
            <w:left w:val="none" w:sz="0" w:space="0" w:color="auto"/>
            <w:bottom w:val="none" w:sz="0" w:space="0" w:color="auto"/>
            <w:right w:val="none" w:sz="0" w:space="0" w:color="auto"/>
          </w:divBdr>
        </w:div>
      </w:divsChild>
    </w:div>
    <w:div w:id="1751658889">
      <w:bodyDiv w:val="1"/>
      <w:marLeft w:val="0"/>
      <w:marRight w:val="0"/>
      <w:marTop w:val="0"/>
      <w:marBottom w:val="0"/>
      <w:divBdr>
        <w:top w:val="none" w:sz="0" w:space="0" w:color="auto"/>
        <w:left w:val="none" w:sz="0" w:space="0" w:color="auto"/>
        <w:bottom w:val="none" w:sz="0" w:space="0" w:color="auto"/>
        <w:right w:val="none" w:sz="0" w:space="0" w:color="auto"/>
      </w:divBdr>
    </w:div>
    <w:div w:id="1774010288">
      <w:bodyDiv w:val="1"/>
      <w:marLeft w:val="0"/>
      <w:marRight w:val="0"/>
      <w:marTop w:val="0"/>
      <w:marBottom w:val="0"/>
      <w:divBdr>
        <w:top w:val="none" w:sz="0" w:space="0" w:color="auto"/>
        <w:left w:val="none" w:sz="0" w:space="0" w:color="auto"/>
        <w:bottom w:val="none" w:sz="0" w:space="0" w:color="auto"/>
        <w:right w:val="none" w:sz="0" w:space="0" w:color="auto"/>
      </w:divBdr>
    </w:div>
    <w:div w:id="1787850191">
      <w:bodyDiv w:val="1"/>
      <w:marLeft w:val="0"/>
      <w:marRight w:val="0"/>
      <w:marTop w:val="0"/>
      <w:marBottom w:val="0"/>
      <w:divBdr>
        <w:top w:val="none" w:sz="0" w:space="0" w:color="auto"/>
        <w:left w:val="none" w:sz="0" w:space="0" w:color="auto"/>
        <w:bottom w:val="none" w:sz="0" w:space="0" w:color="auto"/>
        <w:right w:val="none" w:sz="0" w:space="0" w:color="auto"/>
      </w:divBdr>
    </w:div>
    <w:div w:id="1812094703">
      <w:bodyDiv w:val="1"/>
      <w:marLeft w:val="0"/>
      <w:marRight w:val="0"/>
      <w:marTop w:val="0"/>
      <w:marBottom w:val="0"/>
      <w:divBdr>
        <w:top w:val="none" w:sz="0" w:space="0" w:color="auto"/>
        <w:left w:val="none" w:sz="0" w:space="0" w:color="auto"/>
        <w:bottom w:val="none" w:sz="0" w:space="0" w:color="auto"/>
        <w:right w:val="none" w:sz="0" w:space="0" w:color="auto"/>
      </w:divBdr>
    </w:div>
    <w:div w:id="1882014500">
      <w:bodyDiv w:val="1"/>
      <w:marLeft w:val="0"/>
      <w:marRight w:val="0"/>
      <w:marTop w:val="0"/>
      <w:marBottom w:val="0"/>
      <w:divBdr>
        <w:top w:val="none" w:sz="0" w:space="0" w:color="auto"/>
        <w:left w:val="none" w:sz="0" w:space="0" w:color="auto"/>
        <w:bottom w:val="none" w:sz="0" w:space="0" w:color="auto"/>
        <w:right w:val="none" w:sz="0" w:space="0" w:color="auto"/>
      </w:divBdr>
      <w:divsChild>
        <w:div w:id="1521695851">
          <w:marLeft w:val="547"/>
          <w:marRight w:val="0"/>
          <w:marTop w:val="0"/>
          <w:marBottom w:val="0"/>
          <w:divBdr>
            <w:top w:val="none" w:sz="0" w:space="0" w:color="auto"/>
            <w:left w:val="none" w:sz="0" w:space="0" w:color="auto"/>
            <w:bottom w:val="none" w:sz="0" w:space="0" w:color="auto"/>
            <w:right w:val="none" w:sz="0" w:space="0" w:color="auto"/>
          </w:divBdr>
        </w:div>
      </w:divsChild>
    </w:div>
    <w:div w:id="1894652312">
      <w:bodyDiv w:val="1"/>
      <w:marLeft w:val="0"/>
      <w:marRight w:val="0"/>
      <w:marTop w:val="0"/>
      <w:marBottom w:val="0"/>
      <w:divBdr>
        <w:top w:val="none" w:sz="0" w:space="0" w:color="auto"/>
        <w:left w:val="none" w:sz="0" w:space="0" w:color="auto"/>
        <w:bottom w:val="none" w:sz="0" w:space="0" w:color="auto"/>
        <w:right w:val="none" w:sz="0" w:space="0" w:color="auto"/>
      </w:divBdr>
    </w:div>
    <w:div w:id="1901750398">
      <w:bodyDiv w:val="1"/>
      <w:marLeft w:val="0"/>
      <w:marRight w:val="0"/>
      <w:marTop w:val="0"/>
      <w:marBottom w:val="0"/>
      <w:divBdr>
        <w:top w:val="none" w:sz="0" w:space="0" w:color="auto"/>
        <w:left w:val="none" w:sz="0" w:space="0" w:color="auto"/>
        <w:bottom w:val="none" w:sz="0" w:space="0" w:color="auto"/>
        <w:right w:val="none" w:sz="0" w:space="0" w:color="auto"/>
      </w:divBdr>
    </w:div>
    <w:div w:id="1957250768">
      <w:bodyDiv w:val="1"/>
      <w:marLeft w:val="0"/>
      <w:marRight w:val="0"/>
      <w:marTop w:val="0"/>
      <w:marBottom w:val="0"/>
      <w:divBdr>
        <w:top w:val="none" w:sz="0" w:space="0" w:color="auto"/>
        <w:left w:val="none" w:sz="0" w:space="0" w:color="auto"/>
        <w:bottom w:val="none" w:sz="0" w:space="0" w:color="auto"/>
        <w:right w:val="none" w:sz="0" w:space="0" w:color="auto"/>
      </w:divBdr>
    </w:div>
    <w:div w:id="2134209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diagramColors" Target="diagrams/colors1.xml"/><Relationship Id="rId26" Type="http://schemas.openxmlformats.org/officeDocument/2006/relationships/chart" Target="charts/chart10.xml"/><Relationship Id="rId39" Type="http://schemas.openxmlformats.org/officeDocument/2006/relationships/image" Target="media/image4.jpeg"/><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7.png"/><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hyperlink" Target="https://github.com/kinnisvara/infohaldus" TargetMode="External"/><Relationship Id="rId63" Type="http://schemas.openxmlformats.org/officeDocument/2006/relationships/chart" Target="charts/chart30.xml"/><Relationship Id="rId68" Type="http://schemas.openxmlformats.org/officeDocument/2006/relationships/image" Target="media/image10.emf"/><Relationship Id="rId76" Type="http://schemas.openxmlformats.org/officeDocument/2006/relationships/footer" Target="footer2.xml"/><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package" Target="embeddings/Microsoft_Office_Excel_Worksheet3.xlsx"/><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13.xml"/><Relationship Id="rId11" Type="http://schemas.openxmlformats.org/officeDocument/2006/relationships/chart" Target="charts/chart3.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image" Target="media/image5.png"/><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chart" Target="charts/chart25.xml"/><Relationship Id="rId66" Type="http://schemas.openxmlformats.org/officeDocument/2006/relationships/chart" Target="charts/chart33.xml"/><Relationship Id="rId74" Type="http://schemas.openxmlformats.org/officeDocument/2006/relationships/image" Target="media/image13.emf"/><Relationship Id="rId79" Type="http://schemas.openxmlformats.org/officeDocument/2006/relationships/chart" Target="charts/chart35.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8.xml"/><Relationship Id="rId82" Type="http://schemas.openxmlformats.org/officeDocument/2006/relationships/image" Target="media/image15.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package" Target="embeddings/Microsoft_Office_Excel_Worksheet1.xlsx"/><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8.emf"/><Relationship Id="rId48" Type="http://schemas.microsoft.com/office/2007/relationships/diagramDrawing" Target="diagrams/drawing2.xm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package" Target="embeddings/Microsoft_Office_Excel_Worksheet2.xlsx"/><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diagramQuickStyle" Target="diagrams/quickStyle3.xml"/><Relationship Id="rId72" Type="http://schemas.openxmlformats.org/officeDocument/2006/relationships/image" Target="media/image12.emf"/><Relationship Id="rId80" Type="http://schemas.openxmlformats.org/officeDocument/2006/relationships/chart" Target="charts/chart36.xml"/><Relationship Id="rId85"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diagramQuickStyle" Target="diagrams/quickStyle2.xml"/><Relationship Id="rId59" Type="http://schemas.openxmlformats.org/officeDocument/2006/relationships/chart" Target="charts/chart26.xml"/><Relationship Id="rId67" Type="http://schemas.openxmlformats.org/officeDocument/2006/relationships/footer" Target="footer1.xml"/><Relationship Id="rId20" Type="http://schemas.openxmlformats.org/officeDocument/2006/relationships/chart" Target="charts/chart4.xml"/><Relationship Id="rId41" Type="http://schemas.openxmlformats.org/officeDocument/2006/relationships/image" Target="media/image6.png"/><Relationship Id="rId54" Type="http://schemas.openxmlformats.org/officeDocument/2006/relationships/image" Target="media/image9.png"/><Relationship Id="rId62" Type="http://schemas.openxmlformats.org/officeDocument/2006/relationships/chart" Target="charts/chart29.xml"/><Relationship Id="rId70" Type="http://schemas.openxmlformats.org/officeDocument/2006/relationships/image" Target="media/image11.emf"/><Relationship Id="rId75" Type="http://schemas.openxmlformats.org/officeDocument/2006/relationships/package" Target="embeddings/Microsoft_Office_Excel_Worksheet5.xlsx"/><Relationship Id="rId83" Type="http://schemas.openxmlformats.org/officeDocument/2006/relationships/image" Target="media/image1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diagramData" Target="diagrams/data3.xml"/><Relationship Id="rId57" Type="http://schemas.openxmlformats.org/officeDocument/2006/relationships/chart" Target="charts/chart24.xml"/><Relationship Id="rId10" Type="http://schemas.openxmlformats.org/officeDocument/2006/relationships/chart" Target="charts/chart2.xml"/><Relationship Id="rId31" Type="http://schemas.openxmlformats.org/officeDocument/2006/relationships/chart" Target="charts/chart15.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package" Target="embeddings/Microsoft_Office_Excel_Worksheet4.xlsx"/><Relationship Id="rId78" Type="http://schemas.openxmlformats.org/officeDocument/2006/relationships/chart" Target="charts/chart34.xml"/><Relationship Id="rId81" Type="http://schemas.openxmlformats.org/officeDocument/2006/relationships/image" Target="media/image14.png"/><Relationship Id="rId86" Type="http://schemas.openxmlformats.org/officeDocument/2006/relationships/package" Target="embeddings/Microsoft_Office_Excel_Worksheet7.xlsx"/></Relationships>
</file>

<file path=word/charts/_rels/chart1.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V&#245;imalused\REKVmahud2015_46_kolm_STS_Lopp.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Omandamin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Riigivara-voorandamislepingute-loend.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Riigivara-voorandamislepingute-loend.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Vara-uleandmine-eraoiguslikule-juriidilisele-isikule%20%20RKV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Kasutamiseks%20andmine%20hooned+maad+pinna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Kasutamiseks%20andmine%20hooned+maad+pinna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amiseks%20andmine_v&#245;tmine.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amiseks%20andmine_v&#245;tmin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TiinaV\Desktop\renditasude%20keskmise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amiseks%20andmine_v&#245;tmi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STS_US_BAA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amiseks%20andmine_v&#245;tmin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uslepingute%20andmete%20korrastamin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Hoonete-loend%20050115_23.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ailid\RMIN\Yksused\RVO\Riigi%20eelarve\RE%202016\KA%20rahastamin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KA%20rahastamine%20Diagrammi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ailid\RMIN\Kasutajad\Veronika.Ilsjan\personal\2013-2014%20KA\KA%20rahastamin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ailid\RMIN\Kasutajad\veronika.ilsjan\personal\2013-2014%20KA\KA%20rahastamin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V&#245;imalused\REKVmahud2015_46_kolm_STS_Lopp.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STS_US_BAA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YlevaadeSTSs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YlevaadeSTSs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YlevaadeSTSst.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Pinnasaldo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StsenaariumidKoondKuluGraafik.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asutaja\Documents\RM%20projektid\RM%20Riigi%20portfelli%20analyys%20III%20etapp\Andmebaas\StsenaariumidKoondKuluGraafik.xlsx" TargetMode="Externa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1.xml"/></Relationships>
</file>

<file path=word/charts/_rels/chart35.xml.rels><?xml version="1.0" encoding="UTF-8" standalone="yes"?>
<Relationships xmlns="http://schemas.openxmlformats.org/package/2006/relationships"><Relationship Id="rId1" Type="http://schemas.openxmlformats.org/officeDocument/2006/relationships/oleObject" Target="https://intranet.rkas.ee/haldus/Halduse%20aruanded/4-M2%20kulud%20kulukohtade%20l&#245;ike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ttps://intranet.rkas.ee/haldus/Halduse%20aruanded/4-M2%20kulud%20kulukohtade%20l&#245;ik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ailid\RMIN\Yksused\RVO\Kinnisvarapoliitika\Koondaruanne\2014\andmed\Hoonete-loend%20050115_23.0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Hoonete-loend%20050115_23.0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Kasutamiseks%20andmine_v&#245;tmin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enetlused\Omandamin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aa-loend%200501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ailid\RMIN\Yksused\RVO\Kinnisvarapoliitika\Koondaruanne\2014\andmed\Maa-loend%200501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a:pPr>
            <a:r>
              <a:rPr lang="et-EE" sz="1200">
                <a:latin typeface="Times New Roman" pitchFamily="18" charset="0"/>
                <a:cs typeface="Times New Roman" pitchFamily="18" charset="0"/>
              </a:rPr>
              <a:t>Analüüsitud</a:t>
            </a:r>
            <a:r>
              <a:rPr lang="et-EE" sz="1200" baseline="0">
                <a:latin typeface="Times New Roman" pitchFamily="18" charset="0"/>
                <a:cs typeface="Times New Roman" pitchFamily="18" charset="0"/>
              </a:rPr>
              <a:t> portfelli eelarve aastas</a:t>
            </a:r>
            <a:endParaRPr lang="et-EE" sz="1200">
              <a:latin typeface="Times New Roman" pitchFamily="18" charset="0"/>
              <a:cs typeface="Times New Roman" pitchFamily="18" charset="0"/>
            </a:endParaRPr>
          </a:p>
        </c:rich>
      </c:tx>
    </c:title>
    <c:plotArea>
      <c:layout>
        <c:manualLayout>
          <c:layoutTarget val="inner"/>
          <c:xMode val="edge"/>
          <c:yMode val="edge"/>
          <c:x val="8.0860538538023052E-2"/>
          <c:y val="0.13535923361813029"/>
          <c:w val="0.91368476282721556"/>
          <c:h val="0.62202244214848457"/>
        </c:manualLayout>
      </c:layout>
      <c:lineChart>
        <c:grouping val="standard"/>
        <c:ser>
          <c:idx val="0"/>
          <c:order val="0"/>
          <c:tx>
            <c:strRef>
              <c:f>Koondpilt!$F$45</c:f>
              <c:strCache>
                <c:ptCount val="1"/>
                <c:pt idx="0">
                  <c:v>Pessimistlik prognoos</c:v>
                </c:pt>
              </c:strCache>
            </c:strRef>
          </c:tx>
          <c:marker>
            <c:symbol val="none"/>
          </c:marker>
          <c:dLbls>
            <c:delete val="1"/>
          </c:dLbls>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Koondpilt!$G$45:$AK$45</c:f>
              <c:numCache>
                <c:formatCode>#,##0</c:formatCode>
                <c:ptCount val="31"/>
                <c:pt idx="0">
                  <c:v>127.76339549232088</c:v>
                </c:pt>
                <c:pt idx="1">
                  <c:v>129.93969326506516</c:v>
                </c:pt>
                <c:pt idx="2">
                  <c:v>143.61539001324508</c:v>
                </c:pt>
                <c:pt idx="3">
                  <c:v>142.73050749704078</c:v>
                </c:pt>
                <c:pt idx="4">
                  <c:v>149.05038474317436</c:v>
                </c:pt>
                <c:pt idx="5">
                  <c:v>152.03109726709681</c:v>
                </c:pt>
                <c:pt idx="6">
                  <c:v>130.10124097983504</c:v>
                </c:pt>
                <c:pt idx="7">
                  <c:v>133.24508491947913</c:v>
                </c:pt>
                <c:pt idx="8">
                  <c:v>136.42191607903368</c:v>
                </c:pt>
                <c:pt idx="9">
                  <c:v>139.65430648062136</c:v>
                </c:pt>
                <c:pt idx="10">
                  <c:v>142.94665288867134</c:v>
                </c:pt>
                <c:pt idx="11">
                  <c:v>146.30309133543687</c:v>
                </c:pt>
                <c:pt idx="12">
                  <c:v>149.72753405565541</c:v>
                </c:pt>
                <c:pt idx="13">
                  <c:v>150.49118753348068</c:v>
                </c:pt>
                <c:pt idx="14">
                  <c:v>154.0626437316707</c:v>
                </c:pt>
                <c:pt idx="15">
                  <c:v>157.71281510588642</c:v>
                </c:pt>
                <c:pt idx="16">
                  <c:v>161.323670851016</c:v>
                </c:pt>
                <c:pt idx="17">
                  <c:v>164.96319620363047</c:v>
                </c:pt>
                <c:pt idx="18">
                  <c:v>168.62918481579189</c:v>
                </c:pt>
                <c:pt idx="19">
                  <c:v>172.31934430749283</c:v>
                </c:pt>
                <c:pt idx="20">
                  <c:v>176.03129781807164</c:v>
                </c:pt>
                <c:pt idx="21">
                  <c:v>179.76258576475962</c:v>
                </c:pt>
                <c:pt idx="22">
                  <c:v>183.5782008190464</c:v>
                </c:pt>
                <c:pt idx="23">
                  <c:v>187.41098951772707</c:v>
                </c:pt>
                <c:pt idx="24">
                  <c:v>191.29356993986036</c:v>
                </c:pt>
                <c:pt idx="25">
                  <c:v>195.26156713128378</c:v>
                </c:pt>
                <c:pt idx="26">
                  <c:v>199.31686026091663</c:v>
                </c:pt>
                <c:pt idx="27">
                  <c:v>203.46136983940261</c:v>
                </c:pt>
                <c:pt idx="28">
                  <c:v>207.69705862861457</c:v>
                </c:pt>
                <c:pt idx="29">
                  <c:v>212.02593257118923</c:v>
                </c:pt>
                <c:pt idx="30">
                  <c:v>216.45004174050061</c:v>
                </c:pt>
              </c:numCache>
            </c:numRef>
          </c:val>
        </c:ser>
        <c:ser>
          <c:idx val="1"/>
          <c:order val="1"/>
          <c:tx>
            <c:strRef>
              <c:f>Koondpilt!$F$46</c:f>
              <c:strCache>
                <c:ptCount val="1"/>
                <c:pt idx="0">
                  <c:v>Optimistlik prognoos</c:v>
                </c:pt>
              </c:strCache>
            </c:strRef>
          </c:tx>
          <c:spPr>
            <a:ln w="25400" cap="flat" cmpd="sng" algn="ctr">
              <a:solidFill>
                <a:schemeClr val="accent3"/>
              </a:solidFill>
              <a:prstDash val="solid"/>
            </a:ln>
            <a:effectLst/>
          </c:spPr>
          <c:marker>
            <c:symbol val="none"/>
          </c:marker>
          <c:dLbls>
            <c:delete val="1"/>
          </c:dLbls>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Koondpilt!$G$46:$AK$46</c:f>
              <c:numCache>
                <c:formatCode>#,##0</c:formatCode>
                <c:ptCount val="31"/>
                <c:pt idx="0">
                  <c:v>144.19412193061581</c:v>
                </c:pt>
                <c:pt idx="1">
                  <c:v>150.56039754359841</c:v>
                </c:pt>
                <c:pt idx="2">
                  <c:v>169.27766046489472</c:v>
                </c:pt>
                <c:pt idx="3">
                  <c:v>173.61555318248122</c:v>
                </c:pt>
                <c:pt idx="4">
                  <c:v>185.14072351005814</c:v>
                </c:pt>
                <c:pt idx="5">
                  <c:v>193.64126839930032</c:v>
                </c:pt>
                <c:pt idx="6">
                  <c:v>177.63310297984052</c:v>
                </c:pt>
                <c:pt idx="7">
                  <c:v>187.15258942805929</c:v>
                </c:pt>
                <c:pt idx="8">
                  <c:v>197.00495228423978</c:v>
                </c:pt>
                <c:pt idx="9">
                  <c:v>207.24476517768088</c:v>
                </c:pt>
                <c:pt idx="10">
                  <c:v>217.90211062162501</c:v>
                </c:pt>
                <c:pt idx="11">
                  <c:v>229.0077781948491</c:v>
                </c:pt>
                <c:pt idx="12">
                  <c:v>240.53187831444347</c:v>
                </c:pt>
                <c:pt idx="13">
                  <c:v>249.6977210564188</c:v>
                </c:pt>
                <c:pt idx="14">
                  <c:v>262.20802452113833</c:v>
                </c:pt>
                <c:pt idx="15">
                  <c:v>274.75457962494147</c:v>
                </c:pt>
                <c:pt idx="16">
                  <c:v>287.46189861262025</c:v>
                </c:pt>
                <c:pt idx="17">
                  <c:v>300.49818461264124</c:v>
                </c:pt>
                <c:pt idx="18">
                  <c:v>313.55627071890694</c:v>
                </c:pt>
                <c:pt idx="19">
                  <c:v>326.58411114615194</c:v>
                </c:pt>
                <c:pt idx="20">
                  <c:v>339.74462668956346</c:v>
                </c:pt>
                <c:pt idx="21">
                  <c:v>353.21904681032476</c:v>
                </c:pt>
                <c:pt idx="22">
                  <c:v>367.08619241190615</c:v>
                </c:pt>
                <c:pt idx="23">
                  <c:v>381.18272524429153</c:v>
                </c:pt>
                <c:pt idx="24">
                  <c:v>395.57937605750323</c:v>
                </c:pt>
                <c:pt idx="25">
                  <c:v>410.33227085338211</c:v>
                </c:pt>
                <c:pt idx="26">
                  <c:v>425.29402904477689</c:v>
                </c:pt>
                <c:pt idx="27">
                  <c:v>440.43514656655435</c:v>
                </c:pt>
                <c:pt idx="28">
                  <c:v>455.7073849707196</c:v>
                </c:pt>
                <c:pt idx="29">
                  <c:v>471.17266266140462</c:v>
                </c:pt>
                <c:pt idx="30">
                  <c:v>486.7671062769046</c:v>
                </c:pt>
              </c:numCache>
            </c:numRef>
          </c:val>
        </c:ser>
        <c:ser>
          <c:idx val="2"/>
          <c:order val="2"/>
          <c:tx>
            <c:strRef>
              <c:f>Koondpilt!$F$47</c:f>
              <c:strCache>
                <c:ptCount val="1"/>
                <c:pt idx="0">
                  <c:v>Keskmine prognoos</c:v>
                </c:pt>
              </c:strCache>
            </c:strRef>
          </c:tx>
          <c:spPr>
            <a:ln w="25400" cap="flat" cmpd="sng" algn="ctr">
              <a:solidFill>
                <a:schemeClr val="accent2"/>
              </a:solidFill>
              <a:prstDash val="solid"/>
            </a:ln>
            <a:effectLst/>
          </c:spPr>
          <c:marker>
            <c:symbol val="none"/>
          </c:marker>
          <c:dLbls>
            <c:delete val="1"/>
          </c:dLbls>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Koondpilt!$G$47:$AK$47</c:f>
              <c:numCache>
                <c:formatCode>#,##0</c:formatCode>
                <c:ptCount val="31"/>
                <c:pt idx="0">
                  <c:v>135.97875871146832</c:v>
                </c:pt>
                <c:pt idx="1">
                  <c:v>140.25004540433218</c:v>
                </c:pt>
                <c:pt idx="2">
                  <c:v>156.4465252390695</c:v>
                </c:pt>
                <c:pt idx="3">
                  <c:v>158.17303033976074</c:v>
                </c:pt>
                <c:pt idx="4">
                  <c:v>167.09555412661572</c:v>
                </c:pt>
                <c:pt idx="5">
                  <c:v>172.83618283319854</c:v>
                </c:pt>
                <c:pt idx="6">
                  <c:v>153.86717197983839</c:v>
                </c:pt>
                <c:pt idx="7">
                  <c:v>160.19883717376982</c:v>
                </c:pt>
                <c:pt idx="8">
                  <c:v>166.71343418163625</c:v>
                </c:pt>
                <c:pt idx="9">
                  <c:v>173.44953582914965</c:v>
                </c:pt>
                <c:pt idx="10">
                  <c:v>180.42438175514815</c:v>
                </c:pt>
                <c:pt idx="11">
                  <c:v>187.65543476514318</c:v>
                </c:pt>
                <c:pt idx="12">
                  <c:v>195.12970618504934</c:v>
                </c:pt>
                <c:pt idx="13">
                  <c:v>200.09445429494798</c:v>
                </c:pt>
                <c:pt idx="14">
                  <c:v>208.13533412640453</c:v>
                </c:pt>
                <c:pt idx="15">
                  <c:v>216.2336973654136</c:v>
                </c:pt>
                <c:pt idx="16">
                  <c:v>224.39278473181733</c:v>
                </c:pt>
                <c:pt idx="17">
                  <c:v>232.73069040813579</c:v>
                </c:pt>
                <c:pt idx="18">
                  <c:v>241.09272776734949</c:v>
                </c:pt>
                <c:pt idx="19">
                  <c:v>249.45172772682233</c:v>
                </c:pt>
                <c:pt idx="20">
                  <c:v>257.88796225381702</c:v>
                </c:pt>
                <c:pt idx="21">
                  <c:v>266.49081628754169</c:v>
                </c:pt>
                <c:pt idx="22">
                  <c:v>275.33219661547713</c:v>
                </c:pt>
                <c:pt idx="23">
                  <c:v>284.29685738100869</c:v>
                </c:pt>
                <c:pt idx="24">
                  <c:v>293.43647299867968</c:v>
                </c:pt>
                <c:pt idx="25">
                  <c:v>302.79691899233097</c:v>
                </c:pt>
                <c:pt idx="26">
                  <c:v>312.30544465284731</c:v>
                </c:pt>
                <c:pt idx="27">
                  <c:v>321.94825820297723</c:v>
                </c:pt>
                <c:pt idx="28">
                  <c:v>331.70222179966731</c:v>
                </c:pt>
                <c:pt idx="29">
                  <c:v>341.59929761629616</c:v>
                </c:pt>
                <c:pt idx="30">
                  <c:v>351.60857400870321</c:v>
                </c:pt>
              </c:numCache>
            </c:numRef>
          </c:val>
        </c:ser>
        <c:dLbls>
          <c:showVal val="1"/>
        </c:dLbls>
        <c:marker val="1"/>
        <c:axId val="181121792"/>
        <c:axId val="181123328"/>
      </c:lineChart>
      <c:catAx>
        <c:axId val="181121792"/>
        <c:scaling>
          <c:orientation val="minMax"/>
        </c:scaling>
        <c:axPos val="b"/>
        <c:numFmt formatCode="General" sourceLinked="1"/>
        <c:majorTickMark val="none"/>
        <c:tickLblPos val="nextTo"/>
        <c:crossAx val="181123328"/>
        <c:crosses val="autoZero"/>
        <c:auto val="1"/>
        <c:lblAlgn val="ctr"/>
        <c:lblOffset val="100"/>
      </c:catAx>
      <c:valAx>
        <c:axId val="181123328"/>
        <c:scaling>
          <c:orientation val="minMax"/>
        </c:scaling>
        <c:axPos val="l"/>
        <c:majorGridlines/>
        <c:numFmt formatCode="#,##0" sourceLinked="1"/>
        <c:majorTickMark val="none"/>
        <c:tickLblPos val="nextTo"/>
        <c:crossAx val="181121792"/>
        <c:crosses val="autoZero"/>
        <c:crossBetween val="between"/>
      </c:valAx>
    </c:plotArea>
    <c:legend>
      <c:legendPos val="r"/>
      <c:layout>
        <c:manualLayout>
          <c:xMode val="edge"/>
          <c:yMode val="edge"/>
          <c:x val="2.2957213154300535E-2"/>
          <c:y val="0.88257209662390368"/>
          <c:w val="0.97704278684569967"/>
          <c:h val="0.11509098104384224"/>
        </c:manualLayout>
      </c:layout>
    </c:legend>
    <c:plotVisOnly val="1"/>
  </c:chart>
  <c:spPr>
    <a:ln>
      <a:noFill/>
    </a:ln>
  </c:spPr>
  <c:txPr>
    <a:bodyPr/>
    <a:lstStyle/>
    <a:p>
      <a:pPr>
        <a:defRPr>
          <a:latin typeface="Georgia" pitchFamily="18" charset="0"/>
        </a:defRPr>
      </a:pPr>
      <a:endParaRPr lang="et-EE"/>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t-EE"/>
  <c:chart>
    <c:autoTitleDeleted val="1"/>
    <c:plotArea>
      <c:layout/>
      <c:barChart>
        <c:barDir val="col"/>
        <c:grouping val="stacked"/>
        <c:ser>
          <c:idx val="1"/>
          <c:order val="0"/>
          <c:tx>
            <c:strRef>
              <c:f>Omandamine!$K$37</c:f>
              <c:strCache>
                <c:ptCount val="1"/>
                <c:pt idx="0">
                  <c:v>RMK</c:v>
                </c:pt>
              </c:strCache>
            </c:strRef>
          </c:tx>
          <c:cat>
            <c:numRef>
              <c:f>Omandamine!$L$44:$O$44</c:f>
              <c:numCache>
                <c:formatCode>General</c:formatCode>
                <c:ptCount val="4"/>
                <c:pt idx="0">
                  <c:v>2011</c:v>
                </c:pt>
                <c:pt idx="1">
                  <c:v>2012</c:v>
                </c:pt>
                <c:pt idx="2">
                  <c:v>2013</c:v>
                </c:pt>
                <c:pt idx="3">
                  <c:v>2014</c:v>
                </c:pt>
              </c:numCache>
            </c:numRef>
          </c:cat>
          <c:val>
            <c:numRef>
              <c:f>Omandamine!$L$37:$O$37</c:f>
              <c:numCache>
                <c:formatCode>#,##0.00</c:formatCode>
                <c:ptCount val="4"/>
                <c:pt idx="0">
                  <c:v>39126.296600000001</c:v>
                </c:pt>
                <c:pt idx="1">
                  <c:v>54248.149300000005</c:v>
                </c:pt>
                <c:pt idx="2">
                  <c:v>58685.712800000001</c:v>
                </c:pt>
                <c:pt idx="3">
                  <c:v>38426.0887</c:v>
                </c:pt>
              </c:numCache>
            </c:numRef>
          </c:val>
        </c:ser>
        <c:ser>
          <c:idx val="2"/>
          <c:order val="1"/>
          <c:tx>
            <c:strRef>
              <c:f>Omandamine!$K$38</c:f>
              <c:strCache>
                <c:ptCount val="1"/>
                <c:pt idx="0">
                  <c:v>Maa-amet</c:v>
                </c:pt>
              </c:strCache>
            </c:strRef>
          </c:tx>
          <c:cat>
            <c:numRef>
              <c:f>Omandamine!$L$44:$O$44</c:f>
              <c:numCache>
                <c:formatCode>General</c:formatCode>
                <c:ptCount val="4"/>
                <c:pt idx="0">
                  <c:v>2011</c:v>
                </c:pt>
                <c:pt idx="1">
                  <c:v>2012</c:v>
                </c:pt>
                <c:pt idx="2">
                  <c:v>2013</c:v>
                </c:pt>
                <c:pt idx="3">
                  <c:v>2014</c:v>
                </c:pt>
              </c:numCache>
            </c:numRef>
          </c:cat>
          <c:val>
            <c:numRef>
              <c:f>Omandamine!$L$38:$O$38</c:f>
              <c:numCache>
                <c:formatCode>#,##0.00</c:formatCode>
                <c:ptCount val="4"/>
                <c:pt idx="0">
                  <c:v>15070.8547</c:v>
                </c:pt>
                <c:pt idx="1">
                  <c:v>7612.9447</c:v>
                </c:pt>
                <c:pt idx="2">
                  <c:v>14607.018700000002</c:v>
                </c:pt>
                <c:pt idx="3">
                  <c:v>12477.1783</c:v>
                </c:pt>
              </c:numCache>
            </c:numRef>
          </c:val>
        </c:ser>
        <c:ser>
          <c:idx val="3"/>
          <c:order val="2"/>
          <c:tx>
            <c:strRef>
              <c:f>Omandamine!$K$39</c:f>
              <c:strCache>
                <c:ptCount val="1"/>
                <c:pt idx="0">
                  <c:v>Maavalitsused</c:v>
                </c:pt>
              </c:strCache>
            </c:strRef>
          </c:tx>
          <c:cat>
            <c:numRef>
              <c:f>Omandamine!$L$44:$O$44</c:f>
              <c:numCache>
                <c:formatCode>General</c:formatCode>
                <c:ptCount val="4"/>
                <c:pt idx="0">
                  <c:v>2011</c:v>
                </c:pt>
                <c:pt idx="1">
                  <c:v>2012</c:v>
                </c:pt>
                <c:pt idx="2">
                  <c:v>2013</c:v>
                </c:pt>
                <c:pt idx="3">
                  <c:v>2014</c:v>
                </c:pt>
              </c:numCache>
            </c:numRef>
          </c:cat>
          <c:val>
            <c:numRef>
              <c:f>Omandamine!$L$39:$O$39</c:f>
              <c:numCache>
                <c:formatCode>#,##0.00</c:formatCode>
                <c:ptCount val="4"/>
                <c:pt idx="0">
                  <c:v>4416.5479000000005</c:v>
                </c:pt>
                <c:pt idx="1">
                  <c:v>2901.4584</c:v>
                </c:pt>
                <c:pt idx="2">
                  <c:v>1220.1257000000001</c:v>
                </c:pt>
                <c:pt idx="3">
                  <c:v>1393.2568000000001</c:v>
                </c:pt>
              </c:numCache>
            </c:numRef>
          </c:val>
        </c:ser>
        <c:ser>
          <c:idx val="4"/>
          <c:order val="3"/>
          <c:tx>
            <c:strRef>
              <c:f>Omandamine!$K$40</c:f>
              <c:strCache>
                <c:ptCount val="1"/>
                <c:pt idx="0">
                  <c:v>Ministeeriumid</c:v>
                </c:pt>
              </c:strCache>
            </c:strRef>
          </c:tx>
          <c:cat>
            <c:numRef>
              <c:f>Omandamine!$L$44:$O$44</c:f>
              <c:numCache>
                <c:formatCode>General</c:formatCode>
                <c:ptCount val="4"/>
                <c:pt idx="0">
                  <c:v>2011</c:v>
                </c:pt>
                <c:pt idx="1">
                  <c:v>2012</c:v>
                </c:pt>
                <c:pt idx="2">
                  <c:v>2013</c:v>
                </c:pt>
                <c:pt idx="3">
                  <c:v>2014</c:v>
                </c:pt>
              </c:numCache>
            </c:numRef>
          </c:cat>
          <c:val>
            <c:numRef>
              <c:f>Omandamine!$L$40:$O$40</c:f>
              <c:numCache>
                <c:formatCode>#,##0.00</c:formatCode>
                <c:ptCount val="4"/>
                <c:pt idx="0">
                  <c:v>3804.4108000000001</c:v>
                </c:pt>
                <c:pt idx="1">
                  <c:v>523.35860000000241</c:v>
                </c:pt>
                <c:pt idx="2">
                  <c:v>508.30539999999399</c:v>
                </c:pt>
                <c:pt idx="3">
                  <c:v>2408.4346000000032</c:v>
                </c:pt>
              </c:numCache>
            </c:numRef>
          </c:val>
        </c:ser>
        <c:gapWidth val="95"/>
        <c:overlap val="100"/>
        <c:axId val="172964864"/>
        <c:axId val="172970752"/>
      </c:barChart>
      <c:lineChart>
        <c:grouping val="standard"/>
        <c:ser>
          <c:idx val="5"/>
          <c:order val="4"/>
          <c:tx>
            <c:strRef>
              <c:f>Omandamine!$K$41</c:f>
              <c:strCache>
                <c:ptCount val="1"/>
                <c:pt idx="0">
                  <c:v>Keskmine pindala</c:v>
                </c:pt>
              </c:strCache>
            </c:strRef>
          </c:tx>
          <c:marker>
            <c:symbol val="none"/>
          </c:marker>
          <c:cat>
            <c:numRef>
              <c:f>Omandamine!$L$44:$O$44</c:f>
              <c:numCache>
                <c:formatCode>General</c:formatCode>
                <c:ptCount val="4"/>
                <c:pt idx="0">
                  <c:v>2011</c:v>
                </c:pt>
                <c:pt idx="1">
                  <c:v>2012</c:v>
                </c:pt>
                <c:pt idx="2">
                  <c:v>2013</c:v>
                </c:pt>
                <c:pt idx="3">
                  <c:v>2014</c:v>
                </c:pt>
              </c:numCache>
            </c:numRef>
          </c:cat>
          <c:val>
            <c:numRef>
              <c:f>Omandamine!$L$41:$O$41</c:f>
              <c:numCache>
                <c:formatCode>0.00</c:formatCode>
                <c:ptCount val="4"/>
                <c:pt idx="0">
                  <c:v>16.021075462012522</c:v>
                </c:pt>
                <c:pt idx="1">
                  <c:v>18.231195476123986</c:v>
                </c:pt>
                <c:pt idx="2">
                  <c:v>18.055634801444029</c:v>
                </c:pt>
                <c:pt idx="3">
                  <c:v>13.645537141431769</c:v>
                </c:pt>
              </c:numCache>
            </c:numRef>
          </c:val>
        </c:ser>
        <c:marker val="1"/>
        <c:axId val="172994944"/>
        <c:axId val="172972672"/>
      </c:lineChart>
      <c:catAx>
        <c:axId val="172964864"/>
        <c:scaling>
          <c:orientation val="minMax"/>
        </c:scaling>
        <c:axPos val="b"/>
        <c:numFmt formatCode="General" sourceLinked="1"/>
        <c:majorTickMark val="none"/>
        <c:tickLblPos val="nextTo"/>
        <c:crossAx val="172970752"/>
        <c:crosses val="autoZero"/>
        <c:auto val="1"/>
        <c:lblAlgn val="ctr"/>
        <c:lblOffset val="100"/>
      </c:catAx>
      <c:valAx>
        <c:axId val="172970752"/>
        <c:scaling>
          <c:orientation val="minMax"/>
        </c:scaling>
        <c:axPos val="l"/>
        <c:majorGridlines/>
        <c:title>
          <c:tx>
            <c:rich>
              <a:bodyPr/>
              <a:lstStyle/>
              <a:p>
                <a:pPr>
                  <a:defRPr/>
                </a:pPr>
                <a:r>
                  <a:rPr lang="et-EE"/>
                  <a:t>Maa pindala (ha)</a:t>
                </a:r>
              </a:p>
            </c:rich>
          </c:tx>
        </c:title>
        <c:numFmt formatCode="#,##0.00" sourceLinked="1"/>
        <c:majorTickMark val="none"/>
        <c:tickLblPos val="nextTo"/>
        <c:crossAx val="172964864"/>
        <c:crosses val="autoZero"/>
        <c:crossBetween val="between"/>
      </c:valAx>
      <c:valAx>
        <c:axId val="172972672"/>
        <c:scaling>
          <c:orientation val="minMax"/>
          <c:min val="10"/>
        </c:scaling>
        <c:axPos val="r"/>
        <c:numFmt formatCode="0.00" sourceLinked="1"/>
        <c:tickLblPos val="nextTo"/>
        <c:crossAx val="172994944"/>
        <c:crosses val="max"/>
        <c:crossBetween val="between"/>
      </c:valAx>
      <c:catAx>
        <c:axId val="172994944"/>
        <c:scaling>
          <c:orientation val="minMax"/>
        </c:scaling>
        <c:delete val="1"/>
        <c:axPos val="b"/>
        <c:numFmt formatCode="General" sourceLinked="1"/>
        <c:tickLblPos val="none"/>
        <c:crossAx val="172972672"/>
        <c:crosses val="autoZero"/>
        <c:auto val="1"/>
        <c:lblAlgn val="ctr"/>
        <c:lblOffset val="100"/>
      </c:catAx>
      <c:dTable>
        <c:showHorzBorder val="1"/>
        <c:showVertBorder val="1"/>
        <c:showOutline val="1"/>
        <c:showKeys val="1"/>
      </c:dTable>
    </c:plotArea>
    <c:plotVisOnly val="1"/>
    <c:dispBlanksAs val="gap"/>
  </c:chart>
  <c:txPr>
    <a:bodyPr/>
    <a:lstStyle/>
    <a:p>
      <a:pPr>
        <a:defRPr sz="900">
          <a:latin typeface="Georgia" pitchFamily="18" charset="0"/>
        </a:defRPr>
      </a:pPr>
      <a:endParaRPr lang="et-EE"/>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t-EE"/>
  <c:chart>
    <c:autoTitleDeleted val="1"/>
    <c:plotArea>
      <c:layout/>
      <c:barChart>
        <c:barDir val="col"/>
        <c:grouping val="stacked"/>
        <c:ser>
          <c:idx val="1"/>
          <c:order val="0"/>
          <c:tx>
            <c:strRef>
              <c:f>'PIvot lepingud'!$A$196</c:f>
              <c:strCache>
                <c:ptCount val="1"/>
                <c:pt idx="0">
                  <c:v>Keskkonnaministeerium (Maa-amet)</c:v>
                </c:pt>
              </c:strCache>
            </c:strRef>
          </c:tx>
          <c:cat>
            <c:numRef>
              <c:f>'PIvot lepingud'!$B$195:$E$195</c:f>
              <c:numCache>
                <c:formatCode>General</c:formatCode>
                <c:ptCount val="4"/>
                <c:pt idx="0">
                  <c:v>2011</c:v>
                </c:pt>
                <c:pt idx="1">
                  <c:v>2012</c:v>
                </c:pt>
                <c:pt idx="2">
                  <c:v>2013</c:v>
                </c:pt>
                <c:pt idx="3">
                  <c:v>2014</c:v>
                </c:pt>
              </c:numCache>
            </c:numRef>
          </c:cat>
          <c:val>
            <c:numRef>
              <c:f>'PIvot lepingud'!$B$196:$E$196</c:f>
              <c:numCache>
                <c:formatCode>#,##0</c:formatCode>
                <c:ptCount val="4"/>
                <c:pt idx="0">
                  <c:v>34142000.550000004</c:v>
                </c:pt>
                <c:pt idx="1">
                  <c:v>20762940.52</c:v>
                </c:pt>
                <c:pt idx="2">
                  <c:v>20754639.66</c:v>
                </c:pt>
                <c:pt idx="3">
                  <c:v>15221831</c:v>
                </c:pt>
              </c:numCache>
            </c:numRef>
          </c:val>
        </c:ser>
        <c:ser>
          <c:idx val="2"/>
          <c:order val="1"/>
          <c:tx>
            <c:strRef>
              <c:f>'PIvot lepingud'!$A$197</c:f>
              <c:strCache>
                <c:ptCount val="1"/>
                <c:pt idx="0">
                  <c:v>Maavalitsused</c:v>
                </c:pt>
              </c:strCache>
            </c:strRef>
          </c:tx>
          <c:cat>
            <c:numRef>
              <c:f>'PIvot lepingud'!$B$195:$E$195</c:f>
              <c:numCache>
                <c:formatCode>General</c:formatCode>
                <c:ptCount val="4"/>
                <c:pt idx="0">
                  <c:v>2011</c:v>
                </c:pt>
                <c:pt idx="1">
                  <c:v>2012</c:v>
                </c:pt>
                <c:pt idx="2">
                  <c:v>2013</c:v>
                </c:pt>
                <c:pt idx="3">
                  <c:v>2014</c:v>
                </c:pt>
              </c:numCache>
            </c:numRef>
          </c:cat>
          <c:val>
            <c:numRef>
              <c:f>'PIvot lepingud'!$B$197:$E$197</c:f>
              <c:numCache>
                <c:formatCode>#,##0</c:formatCode>
                <c:ptCount val="4"/>
                <c:pt idx="0">
                  <c:v>2431987.3400000003</c:v>
                </c:pt>
                <c:pt idx="1">
                  <c:v>3997697.7800000012</c:v>
                </c:pt>
                <c:pt idx="2">
                  <c:v>10776821.470000004</c:v>
                </c:pt>
                <c:pt idx="3">
                  <c:v>14744861.390000002</c:v>
                </c:pt>
              </c:numCache>
            </c:numRef>
          </c:val>
        </c:ser>
        <c:ser>
          <c:idx val="3"/>
          <c:order val="2"/>
          <c:tx>
            <c:strRef>
              <c:f>'PIvot lepingud'!$A$198</c:f>
              <c:strCache>
                <c:ptCount val="1"/>
                <c:pt idx="0">
                  <c:v>Ministeeriumid</c:v>
                </c:pt>
              </c:strCache>
            </c:strRef>
          </c:tx>
          <c:cat>
            <c:numRef>
              <c:f>'PIvot lepingud'!$B$195:$E$195</c:f>
              <c:numCache>
                <c:formatCode>General</c:formatCode>
                <c:ptCount val="4"/>
                <c:pt idx="0">
                  <c:v>2011</c:v>
                </c:pt>
                <c:pt idx="1">
                  <c:v>2012</c:v>
                </c:pt>
                <c:pt idx="2">
                  <c:v>2013</c:v>
                </c:pt>
                <c:pt idx="3">
                  <c:v>2014</c:v>
                </c:pt>
              </c:numCache>
            </c:numRef>
          </c:cat>
          <c:val>
            <c:numRef>
              <c:f>'PIvot lepingud'!$B$198:$E$198</c:f>
              <c:numCache>
                <c:formatCode>#,##0</c:formatCode>
                <c:ptCount val="4"/>
                <c:pt idx="0">
                  <c:v>1433596.25</c:v>
                </c:pt>
                <c:pt idx="1">
                  <c:v>3936521.8200000003</c:v>
                </c:pt>
                <c:pt idx="2">
                  <c:v>14022133.890000002</c:v>
                </c:pt>
                <c:pt idx="3">
                  <c:v>9841807</c:v>
                </c:pt>
              </c:numCache>
            </c:numRef>
          </c:val>
        </c:ser>
        <c:ser>
          <c:idx val="4"/>
          <c:order val="3"/>
          <c:tx>
            <c:strRef>
              <c:f>'PIvot lepingud'!$A$199</c:f>
              <c:strCache>
                <c:ptCount val="1"/>
                <c:pt idx="0">
                  <c:v>RMK</c:v>
                </c:pt>
              </c:strCache>
            </c:strRef>
          </c:tx>
          <c:cat>
            <c:numRef>
              <c:f>'PIvot lepingud'!$B$195:$E$195</c:f>
              <c:numCache>
                <c:formatCode>General</c:formatCode>
                <c:ptCount val="4"/>
                <c:pt idx="0">
                  <c:v>2011</c:v>
                </c:pt>
                <c:pt idx="1">
                  <c:v>2012</c:v>
                </c:pt>
                <c:pt idx="2">
                  <c:v>2013</c:v>
                </c:pt>
                <c:pt idx="3">
                  <c:v>2014</c:v>
                </c:pt>
              </c:numCache>
            </c:numRef>
          </c:cat>
          <c:val>
            <c:numRef>
              <c:f>'PIvot lepingud'!$B$199:$E$199</c:f>
              <c:numCache>
                <c:formatCode>#,##0</c:formatCode>
                <c:ptCount val="4"/>
                <c:pt idx="0">
                  <c:v>217296</c:v>
                </c:pt>
                <c:pt idx="1">
                  <c:v>676638</c:v>
                </c:pt>
                <c:pt idx="2">
                  <c:v>718156</c:v>
                </c:pt>
                <c:pt idx="3">
                  <c:v>372833</c:v>
                </c:pt>
              </c:numCache>
            </c:numRef>
          </c:val>
        </c:ser>
        <c:gapWidth val="95"/>
        <c:overlap val="100"/>
        <c:axId val="172628224"/>
        <c:axId val="172646400"/>
      </c:barChart>
      <c:lineChart>
        <c:grouping val="standard"/>
        <c:ser>
          <c:idx val="5"/>
          <c:order val="4"/>
          <c:tx>
            <c:strRef>
              <c:f>'PIvot lepingud'!$A$200</c:f>
              <c:strCache>
                <c:ptCount val="1"/>
                <c:pt idx="0">
                  <c:v>Tehinguväärtus kokku</c:v>
                </c:pt>
              </c:strCache>
            </c:strRef>
          </c:tx>
          <c:spPr>
            <a:ln>
              <a:noFill/>
            </a:ln>
          </c:spPr>
          <c:marker>
            <c:symbol val="none"/>
          </c:marker>
          <c:cat>
            <c:numRef>
              <c:f>'PIvot lepingud'!$B$195:$E$195</c:f>
              <c:numCache>
                <c:formatCode>General</c:formatCode>
                <c:ptCount val="4"/>
                <c:pt idx="0">
                  <c:v>2011</c:v>
                </c:pt>
                <c:pt idx="1">
                  <c:v>2012</c:v>
                </c:pt>
                <c:pt idx="2">
                  <c:v>2013</c:v>
                </c:pt>
                <c:pt idx="3">
                  <c:v>2014</c:v>
                </c:pt>
              </c:numCache>
            </c:numRef>
          </c:cat>
          <c:val>
            <c:numRef>
              <c:f>'PIvot lepingud'!$B$200:$E$200</c:f>
              <c:numCache>
                <c:formatCode>#,##0</c:formatCode>
                <c:ptCount val="4"/>
                <c:pt idx="0">
                  <c:v>38224880.140000001</c:v>
                </c:pt>
                <c:pt idx="1">
                  <c:v>29373798.120000001</c:v>
                </c:pt>
                <c:pt idx="2">
                  <c:v>46271751.020000003</c:v>
                </c:pt>
                <c:pt idx="3">
                  <c:v>40181332.390000001</c:v>
                </c:pt>
              </c:numCache>
            </c:numRef>
          </c:val>
        </c:ser>
        <c:marker val="1"/>
        <c:axId val="172628224"/>
        <c:axId val="172646400"/>
      </c:lineChart>
      <c:lineChart>
        <c:grouping val="standard"/>
        <c:ser>
          <c:idx val="6"/>
          <c:order val="5"/>
          <c:tx>
            <c:strRef>
              <c:f>'PIvot lepingud'!$A$201</c:f>
              <c:strCache>
                <c:ptCount val="1"/>
                <c:pt idx="0">
                  <c:v>Kinnistute arv kokku</c:v>
                </c:pt>
              </c:strCache>
            </c:strRef>
          </c:tx>
          <c:marker>
            <c:symbol val="none"/>
          </c:marker>
          <c:cat>
            <c:numRef>
              <c:f>'PIvot lepingud'!$B$195:$E$195</c:f>
              <c:numCache>
                <c:formatCode>General</c:formatCode>
                <c:ptCount val="4"/>
                <c:pt idx="0">
                  <c:v>2011</c:v>
                </c:pt>
                <c:pt idx="1">
                  <c:v>2012</c:v>
                </c:pt>
                <c:pt idx="2">
                  <c:v>2013</c:v>
                </c:pt>
                <c:pt idx="3">
                  <c:v>2014</c:v>
                </c:pt>
              </c:numCache>
            </c:numRef>
          </c:cat>
          <c:val>
            <c:numRef>
              <c:f>'PIvot lepingud'!$B$201:$E$201</c:f>
              <c:numCache>
                <c:formatCode>#,##0</c:formatCode>
                <c:ptCount val="4"/>
                <c:pt idx="0">
                  <c:v>1803</c:v>
                </c:pt>
                <c:pt idx="1">
                  <c:v>1000</c:v>
                </c:pt>
                <c:pt idx="2">
                  <c:v>1713</c:v>
                </c:pt>
                <c:pt idx="3">
                  <c:v>1601</c:v>
                </c:pt>
              </c:numCache>
            </c:numRef>
          </c:val>
        </c:ser>
        <c:marker val="1"/>
        <c:axId val="172649472"/>
        <c:axId val="172647936"/>
      </c:lineChart>
      <c:catAx>
        <c:axId val="172628224"/>
        <c:scaling>
          <c:orientation val="minMax"/>
        </c:scaling>
        <c:axPos val="b"/>
        <c:numFmt formatCode="General" sourceLinked="1"/>
        <c:majorTickMark val="none"/>
        <c:tickLblPos val="nextTo"/>
        <c:crossAx val="172646400"/>
        <c:crosses val="autoZero"/>
        <c:auto val="1"/>
        <c:lblAlgn val="ctr"/>
        <c:lblOffset val="100"/>
      </c:catAx>
      <c:valAx>
        <c:axId val="172646400"/>
        <c:scaling>
          <c:orientation val="minMax"/>
        </c:scaling>
        <c:axPos val="l"/>
        <c:majorGridlines/>
        <c:numFmt formatCode="#,##0" sourceLinked="1"/>
        <c:majorTickMark val="none"/>
        <c:tickLblPos val="nextTo"/>
        <c:crossAx val="172628224"/>
        <c:crosses val="autoZero"/>
        <c:crossBetween val="between"/>
      </c:valAx>
      <c:valAx>
        <c:axId val="172647936"/>
        <c:scaling>
          <c:orientation val="minMax"/>
        </c:scaling>
        <c:axPos val="r"/>
        <c:numFmt formatCode="#,##0" sourceLinked="1"/>
        <c:tickLblPos val="nextTo"/>
        <c:crossAx val="172649472"/>
        <c:crosses val="max"/>
        <c:crossBetween val="between"/>
      </c:valAx>
      <c:catAx>
        <c:axId val="172649472"/>
        <c:scaling>
          <c:orientation val="minMax"/>
        </c:scaling>
        <c:delete val="1"/>
        <c:axPos val="b"/>
        <c:numFmt formatCode="General" sourceLinked="1"/>
        <c:tickLblPos val="none"/>
        <c:crossAx val="172647936"/>
        <c:crosses val="autoZero"/>
        <c:auto val="1"/>
        <c:lblAlgn val="ctr"/>
        <c:lblOffset val="100"/>
      </c:catAx>
      <c:dTable>
        <c:showHorzBorder val="1"/>
        <c:showVertBorder val="1"/>
        <c:showOutline val="1"/>
        <c:showKeys val="1"/>
      </c:dTable>
    </c:plotArea>
    <c:plotVisOnly val="1"/>
    <c:dispBlanksAs val="gap"/>
  </c:chart>
  <c:txPr>
    <a:bodyPr/>
    <a:lstStyle/>
    <a:p>
      <a:pPr>
        <a:defRPr sz="900" baseline="0">
          <a:latin typeface="Georgia" pitchFamily="18" charset="0"/>
        </a:defRPr>
      </a:pPr>
      <a:endParaRPr lang="et-EE"/>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1"/>
          <c:order val="1"/>
          <c:tx>
            <c:strRef>
              <c:f>'PIvot lepingud'!$A$125</c:f>
              <c:strCache>
                <c:ptCount val="1"/>
                <c:pt idx="0">
                  <c:v>Kinnistute pind (ha)</c:v>
                </c:pt>
              </c:strCache>
            </c:strRef>
          </c:tx>
          <c:cat>
            <c:numRef>
              <c:f>'PIvot lepingud'!$B$123:$E$123</c:f>
              <c:numCache>
                <c:formatCode>General</c:formatCode>
                <c:ptCount val="4"/>
                <c:pt idx="0">
                  <c:v>2011</c:v>
                </c:pt>
                <c:pt idx="1">
                  <c:v>2012</c:v>
                </c:pt>
                <c:pt idx="2">
                  <c:v>2013</c:v>
                </c:pt>
                <c:pt idx="3">
                  <c:v>2014</c:v>
                </c:pt>
              </c:numCache>
            </c:numRef>
          </c:cat>
          <c:val>
            <c:numRef>
              <c:f>'PIvot lepingud'!$B$125:$E$125</c:f>
              <c:numCache>
                <c:formatCode>#,##0</c:formatCode>
                <c:ptCount val="4"/>
                <c:pt idx="0">
                  <c:v>16241.966399999912</c:v>
                </c:pt>
                <c:pt idx="1">
                  <c:v>6331.1196000000054</c:v>
                </c:pt>
                <c:pt idx="2">
                  <c:v>6598.6825000000044</c:v>
                </c:pt>
                <c:pt idx="3">
                  <c:v>3433.6654999999987</c:v>
                </c:pt>
              </c:numCache>
            </c:numRef>
          </c:val>
        </c:ser>
        <c:axId val="172681856"/>
        <c:axId val="172888448"/>
      </c:barChart>
      <c:lineChart>
        <c:grouping val="standard"/>
        <c:ser>
          <c:idx val="0"/>
          <c:order val="0"/>
          <c:tx>
            <c:strRef>
              <c:f>'PIvot lepingud'!$A$124</c:f>
              <c:strCache>
                <c:ptCount val="1"/>
                <c:pt idx="0">
                  <c:v>Kinnistute arv</c:v>
                </c:pt>
              </c:strCache>
            </c:strRef>
          </c:tx>
          <c:cat>
            <c:numRef>
              <c:f>'PIvot lepingud'!$B$123:$E$123</c:f>
              <c:numCache>
                <c:formatCode>General</c:formatCode>
                <c:ptCount val="4"/>
                <c:pt idx="0">
                  <c:v>2011</c:v>
                </c:pt>
                <c:pt idx="1">
                  <c:v>2012</c:v>
                </c:pt>
                <c:pt idx="2">
                  <c:v>2013</c:v>
                </c:pt>
                <c:pt idx="3">
                  <c:v>2014</c:v>
                </c:pt>
              </c:numCache>
            </c:numRef>
          </c:cat>
          <c:val>
            <c:numRef>
              <c:f>'PIvot lepingud'!$B$124:$E$124</c:f>
              <c:numCache>
                <c:formatCode>#,##0</c:formatCode>
                <c:ptCount val="4"/>
                <c:pt idx="0">
                  <c:v>1564</c:v>
                </c:pt>
                <c:pt idx="1">
                  <c:v>749</c:v>
                </c:pt>
                <c:pt idx="2" formatCode="General">
                  <c:v>858</c:v>
                </c:pt>
                <c:pt idx="3" formatCode="General">
                  <c:v>626</c:v>
                </c:pt>
              </c:numCache>
            </c:numRef>
          </c:val>
        </c:ser>
        <c:marker val="1"/>
        <c:axId val="172681856"/>
        <c:axId val="172888448"/>
      </c:lineChart>
      <c:lineChart>
        <c:grouping val="standard"/>
        <c:ser>
          <c:idx val="2"/>
          <c:order val="2"/>
          <c:tx>
            <c:strRef>
              <c:f>'PIvot lepingud'!$A$126</c:f>
              <c:strCache>
                <c:ptCount val="1"/>
                <c:pt idx="0">
                  <c:v>Keskmine müügihind €/ha</c:v>
                </c:pt>
              </c:strCache>
            </c:strRef>
          </c:tx>
          <c:marker>
            <c:symbol val="none"/>
          </c:marker>
          <c:cat>
            <c:numRef>
              <c:f>'PIvot lepingud'!$B$123:$E$123</c:f>
              <c:numCache>
                <c:formatCode>General</c:formatCode>
                <c:ptCount val="4"/>
                <c:pt idx="0">
                  <c:v>2011</c:v>
                </c:pt>
                <c:pt idx="1">
                  <c:v>2012</c:v>
                </c:pt>
                <c:pt idx="2">
                  <c:v>2013</c:v>
                </c:pt>
                <c:pt idx="3">
                  <c:v>2014</c:v>
                </c:pt>
              </c:numCache>
            </c:numRef>
          </c:cat>
          <c:val>
            <c:numRef>
              <c:f>'PIvot lepingud'!$B$126:$E$126</c:f>
              <c:numCache>
                <c:formatCode>#,##0</c:formatCode>
                <c:ptCount val="4"/>
                <c:pt idx="0">
                  <c:v>2244.9635531816002</c:v>
                </c:pt>
                <c:pt idx="1">
                  <c:v>3675.4845477883568</c:v>
                </c:pt>
                <c:pt idx="2">
                  <c:v>3002.8678785500001</c:v>
                </c:pt>
                <c:pt idx="3">
                  <c:v>4643.5044415363127</c:v>
                </c:pt>
              </c:numCache>
            </c:numRef>
          </c:val>
        </c:ser>
        <c:marker val="1"/>
        <c:axId val="172892544"/>
        <c:axId val="172890368"/>
      </c:lineChart>
      <c:catAx>
        <c:axId val="172681856"/>
        <c:scaling>
          <c:orientation val="minMax"/>
        </c:scaling>
        <c:axPos val="b"/>
        <c:numFmt formatCode="General" sourceLinked="1"/>
        <c:majorTickMark val="none"/>
        <c:tickLblPos val="nextTo"/>
        <c:crossAx val="172888448"/>
        <c:crosses val="autoZero"/>
        <c:auto val="1"/>
        <c:lblAlgn val="ctr"/>
        <c:lblOffset val="100"/>
      </c:catAx>
      <c:valAx>
        <c:axId val="172888448"/>
        <c:scaling>
          <c:orientation val="minMax"/>
        </c:scaling>
        <c:axPos val="l"/>
        <c:majorGridlines/>
        <c:title>
          <c:tx>
            <c:rich>
              <a:bodyPr/>
              <a:lstStyle/>
              <a:p>
                <a:pPr>
                  <a:defRPr/>
                </a:pPr>
                <a:r>
                  <a:rPr lang="et-EE"/>
                  <a:t>Arv</a:t>
                </a:r>
                <a:r>
                  <a:rPr lang="et-EE" baseline="0"/>
                  <a:t>  (tk) ja pind (ha)</a:t>
                </a:r>
                <a:endParaRPr lang="et-EE"/>
              </a:p>
            </c:rich>
          </c:tx>
        </c:title>
        <c:numFmt formatCode="#,##0" sourceLinked="1"/>
        <c:majorTickMark val="none"/>
        <c:tickLblPos val="nextTo"/>
        <c:txPr>
          <a:bodyPr/>
          <a:lstStyle/>
          <a:p>
            <a:pPr>
              <a:defRPr sz="1050">
                <a:latin typeface="Georgia" pitchFamily="18" charset="0"/>
              </a:defRPr>
            </a:pPr>
            <a:endParaRPr lang="et-EE"/>
          </a:p>
        </c:txPr>
        <c:crossAx val="172681856"/>
        <c:crosses val="autoZero"/>
        <c:crossBetween val="between"/>
      </c:valAx>
      <c:valAx>
        <c:axId val="172890368"/>
        <c:scaling>
          <c:orientation val="minMax"/>
          <c:min val="2000"/>
        </c:scaling>
        <c:axPos val="r"/>
        <c:title>
          <c:tx>
            <c:rich>
              <a:bodyPr rot="-5400000" vert="horz"/>
              <a:lstStyle/>
              <a:p>
                <a:pPr>
                  <a:defRPr/>
                </a:pPr>
                <a:r>
                  <a:rPr lang="et-EE"/>
                  <a:t>Euro/ha</a:t>
                </a:r>
              </a:p>
            </c:rich>
          </c:tx>
        </c:title>
        <c:numFmt formatCode="#,##0" sourceLinked="1"/>
        <c:tickLblPos val="nextTo"/>
        <c:txPr>
          <a:bodyPr/>
          <a:lstStyle/>
          <a:p>
            <a:pPr>
              <a:defRPr sz="1050">
                <a:latin typeface="Georgia" pitchFamily="18" charset="0"/>
              </a:defRPr>
            </a:pPr>
            <a:endParaRPr lang="et-EE"/>
          </a:p>
        </c:txPr>
        <c:crossAx val="172892544"/>
        <c:crosses val="max"/>
        <c:crossBetween val="between"/>
      </c:valAx>
      <c:catAx>
        <c:axId val="172892544"/>
        <c:scaling>
          <c:orientation val="minMax"/>
        </c:scaling>
        <c:delete val="1"/>
        <c:axPos val="b"/>
        <c:numFmt formatCode="General" sourceLinked="1"/>
        <c:tickLblPos val="none"/>
        <c:crossAx val="172890368"/>
        <c:crosses val="autoZero"/>
        <c:auto val="1"/>
        <c:lblAlgn val="ctr"/>
        <c:lblOffset val="100"/>
      </c:catAx>
      <c:dTable>
        <c:showHorzBorder val="1"/>
        <c:showVertBorder val="1"/>
        <c:showOutline val="1"/>
        <c:showKeys val="1"/>
        <c:txPr>
          <a:bodyPr/>
          <a:lstStyle/>
          <a:p>
            <a:pPr rtl="0">
              <a:defRPr sz="1050">
                <a:latin typeface="Georgia" pitchFamily="18" charset="0"/>
              </a:defRPr>
            </a:pPr>
            <a:endParaRPr lang="et-EE"/>
          </a:p>
        </c:txPr>
      </c:dTable>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stacked"/>
        <c:ser>
          <c:idx val="2"/>
          <c:order val="1"/>
          <c:tx>
            <c:strRef>
              <c:f>Üleandmine!$A$58</c:f>
              <c:strCache>
                <c:ptCount val="1"/>
                <c:pt idx="0">
                  <c:v>Hoonete pind</c:v>
                </c:pt>
              </c:strCache>
            </c:strRef>
          </c:tx>
          <c:cat>
            <c:numRef>
              <c:f>Üleandmine!$B$56:$G$56</c:f>
              <c:numCache>
                <c:formatCode>#,##0</c:formatCode>
                <c:ptCount val="6"/>
                <c:pt idx="0">
                  <c:v>2009</c:v>
                </c:pt>
                <c:pt idx="1">
                  <c:v>2010</c:v>
                </c:pt>
                <c:pt idx="2">
                  <c:v>2011</c:v>
                </c:pt>
                <c:pt idx="3">
                  <c:v>2012</c:v>
                </c:pt>
                <c:pt idx="4">
                  <c:v>2013</c:v>
                </c:pt>
                <c:pt idx="5">
                  <c:v>2014</c:v>
                </c:pt>
              </c:numCache>
            </c:numRef>
          </c:cat>
          <c:val>
            <c:numRef>
              <c:f>Üleandmine!$B$58:$G$58</c:f>
              <c:numCache>
                <c:formatCode>#,##0</c:formatCode>
                <c:ptCount val="6"/>
                <c:pt idx="0">
                  <c:v>27324.3</c:v>
                </c:pt>
                <c:pt idx="1">
                  <c:v>33456.800000000003</c:v>
                </c:pt>
                <c:pt idx="2">
                  <c:v>120655.80000000002</c:v>
                </c:pt>
                <c:pt idx="3">
                  <c:v>163136.30000000002</c:v>
                </c:pt>
                <c:pt idx="4" formatCode="#,##0_ ;\-#,##0\ ">
                  <c:v>220752</c:v>
                </c:pt>
                <c:pt idx="5" formatCode="#,##0_ ;\-#,##0\ ">
                  <c:v>68454</c:v>
                </c:pt>
              </c:numCache>
            </c:numRef>
          </c:val>
        </c:ser>
        <c:gapWidth val="95"/>
        <c:overlap val="100"/>
        <c:axId val="172910080"/>
        <c:axId val="172911616"/>
      </c:barChart>
      <c:lineChart>
        <c:grouping val="standard"/>
        <c:ser>
          <c:idx val="0"/>
          <c:order val="0"/>
          <c:tx>
            <c:strRef>
              <c:f>Üleandmine!$A$57</c:f>
              <c:strCache>
                <c:ptCount val="1"/>
                <c:pt idx="0">
                  <c:v>Kinnistute arv</c:v>
                </c:pt>
              </c:strCache>
            </c:strRef>
          </c:tx>
          <c:marker>
            <c:symbol val="none"/>
          </c:marker>
          <c:cat>
            <c:numRef>
              <c:f>Üleandmine!$B$56:$G$56</c:f>
              <c:numCache>
                <c:formatCode>#,##0</c:formatCode>
                <c:ptCount val="6"/>
                <c:pt idx="0">
                  <c:v>2009</c:v>
                </c:pt>
                <c:pt idx="1">
                  <c:v>2010</c:v>
                </c:pt>
                <c:pt idx="2">
                  <c:v>2011</c:v>
                </c:pt>
                <c:pt idx="3">
                  <c:v>2012</c:v>
                </c:pt>
                <c:pt idx="4">
                  <c:v>2013</c:v>
                </c:pt>
                <c:pt idx="5">
                  <c:v>2014</c:v>
                </c:pt>
              </c:numCache>
            </c:numRef>
          </c:cat>
          <c:val>
            <c:numRef>
              <c:f>Üleandmine!$B$57:$G$57</c:f>
              <c:numCache>
                <c:formatCode>#,##0</c:formatCode>
                <c:ptCount val="6"/>
                <c:pt idx="0">
                  <c:v>35</c:v>
                </c:pt>
                <c:pt idx="1">
                  <c:v>46</c:v>
                </c:pt>
                <c:pt idx="2">
                  <c:v>227</c:v>
                </c:pt>
                <c:pt idx="3">
                  <c:v>270</c:v>
                </c:pt>
                <c:pt idx="4">
                  <c:v>225</c:v>
                </c:pt>
                <c:pt idx="5">
                  <c:v>61</c:v>
                </c:pt>
              </c:numCache>
            </c:numRef>
          </c:val>
        </c:ser>
        <c:marker val="1"/>
        <c:axId val="172931712"/>
        <c:axId val="172930176"/>
      </c:lineChart>
      <c:catAx>
        <c:axId val="172910080"/>
        <c:scaling>
          <c:orientation val="minMax"/>
        </c:scaling>
        <c:axPos val="b"/>
        <c:numFmt formatCode="#,##0" sourceLinked="1"/>
        <c:majorTickMark val="none"/>
        <c:tickLblPos val="nextTo"/>
        <c:crossAx val="172911616"/>
        <c:crosses val="autoZero"/>
        <c:auto val="1"/>
        <c:lblAlgn val="ctr"/>
        <c:lblOffset val="100"/>
      </c:catAx>
      <c:valAx>
        <c:axId val="172911616"/>
        <c:scaling>
          <c:orientation val="minMax"/>
        </c:scaling>
        <c:axPos val="l"/>
        <c:majorGridlines/>
        <c:title>
          <c:tx>
            <c:rich>
              <a:bodyPr/>
              <a:lstStyle/>
              <a:p>
                <a:pPr>
                  <a:defRPr/>
                </a:pPr>
                <a:r>
                  <a:rPr lang="et-EE"/>
                  <a:t>Pind m</a:t>
                </a:r>
                <a:r>
                  <a:rPr lang="et-EE">
                    <a:latin typeface="Times New Roman"/>
                    <a:cs typeface="Times New Roman"/>
                  </a:rPr>
                  <a:t>²</a:t>
                </a:r>
                <a:endParaRPr lang="et-EE"/>
              </a:p>
            </c:rich>
          </c:tx>
        </c:title>
        <c:numFmt formatCode="#,##0" sourceLinked="1"/>
        <c:majorTickMark val="none"/>
        <c:tickLblPos val="nextTo"/>
        <c:crossAx val="172910080"/>
        <c:crosses val="autoZero"/>
        <c:crossBetween val="between"/>
      </c:valAx>
      <c:valAx>
        <c:axId val="172930176"/>
        <c:scaling>
          <c:orientation val="minMax"/>
        </c:scaling>
        <c:axPos val="r"/>
        <c:numFmt formatCode="#,##0" sourceLinked="1"/>
        <c:tickLblPos val="nextTo"/>
        <c:crossAx val="172931712"/>
        <c:crosses val="max"/>
        <c:crossBetween val="between"/>
      </c:valAx>
      <c:catAx>
        <c:axId val="172931712"/>
        <c:scaling>
          <c:orientation val="minMax"/>
        </c:scaling>
        <c:delete val="1"/>
        <c:axPos val="b"/>
        <c:numFmt formatCode="#,##0" sourceLinked="1"/>
        <c:tickLblPos val="none"/>
        <c:crossAx val="172930176"/>
        <c:crosses val="autoZero"/>
        <c:auto val="1"/>
        <c:lblAlgn val="ctr"/>
        <c:lblOffset val="100"/>
      </c:catAx>
      <c:dTable>
        <c:showHorzBorder val="1"/>
        <c:showVertBorder val="1"/>
        <c:showOutline val="1"/>
        <c:showKeys val="1"/>
      </c:dTable>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t-EE"/>
  <c:chart>
    <c:autoTitleDeleted val="1"/>
    <c:plotArea>
      <c:layout/>
      <c:barChart>
        <c:barDir val="col"/>
        <c:grouping val="percentStacked"/>
        <c:ser>
          <c:idx val="0"/>
          <c:order val="0"/>
          <c:tx>
            <c:strRef>
              <c:f>Joonis!$A$2</c:f>
              <c:strCache>
                <c:ptCount val="1"/>
                <c:pt idx="0">
                  <c:v>Maavalitsused</c:v>
                </c:pt>
              </c:strCache>
            </c:strRef>
          </c:tx>
          <c:dLbls>
            <c:txPr>
              <a:bodyPr/>
              <a:lstStyle/>
              <a:p>
                <a:pPr>
                  <a:defRPr sz="900">
                    <a:latin typeface="Georgia" pitchFamily="18" charset="0"/>
                  </a:defRPr>
                </a:pPr>
                <a:endParaRPr lang="et-EE"/>
              </a:p>
            </c:txPr>
            <c:showVal val="1"/>
          </c:dLbls>
          <c:val>
            <c:numRef>
              <c:f>Joonis!$B$2</c:f>
              <c:numCache>
                <c:formatCode>General</c:formatCode>
                <c:ptCount val="1"/>
                <c:pt idx="0">
                  <c:v>6772</c:v>
                </c:pt>
              </c:numCache>
            </c:numRef>
          </c:val>
        </c:ser>
        <c:ser>
          <c:idx val="1"/>
          <c:order val="1"/>
          <c:tx>
            <c:strRef>
              <c:f>Joonis!$A$3</c:f>
              <c:strCache>
                <c:ptCount val="1"/>
                <c:pt idx="0">
                  <c:v>RMK</c:v>
                </c:pt>
              </c:strCache>
            </c:strRef>
          </c:tx>
          <c:dLbls>
            <c:txPr>
              <a:bodyPr/>
              <a:lstStyle/>
              <a:p>
                <a:pPr>
                  <a:defRPr sz="900">
                    <a:latin typeface="Georgia" pitchFamily="18" charset="0"/>
                  </a:defRPr>
                </a:pPr>
                <a:endParaRPr lang="et-EE"/>
              </a:p>
            </c:txPr>
            <c:showVal val="1"/>
          </c:dLbls>
          <c:val>
            <c:numRef>
              <c:f>Joonis!$B$3</c:f>
              <c:numCache>
                <c:formatCode>General</c:formatCode>
                <c:ptCount val="1"/>
                <c:pt idx="0">
                  <c:v>1548</c:v>
                </c:pt>
              </c:numCache>
            </c:numRef>
          </c:val>
        </c:ser>
        <c:ser>
          <c:idx val="2"/>
          <c:order val="2"/>
          <c:tx>
            <c:strRef>
              <c:f>Joonis!$A$4</c:f>
              <c:strCache>
                <c:ptCount val="1"/>
                <c:pt idx="0">
                  <c:v>Maa-amet</c:v>
                </c:pt>
              </c:strCache>
            </c:strRef>
          </c:tx>
          <c:dLbls>
            <c:txPr>
              <a:bodyPr/>
              <a:lstStyle/>
              <a:p>
                <a:pPr>
                  <a:defRPr sz="900">
                    <a:latin typeface="Georgia" pitchFamily="18" charset="0"/>
                  </a:defRPr>
                </a:pPr>
                <a:endParaRPr lang="et-EE"/>
              </a:p>
            </c:txPr>
            <c:showVal val="1"/>
          </c:dLbls>
          <c:val>
            <c:numRef>
              <c:f>Joonis!$B$4</c:f>
              <c:numCache>
                <c:formatCode>General</c:formatCode>
                <c:ptCount val="1"/>
                <c:pt idx="0">
                  <c:v>1126</c:v>
                </c:pt>
              </c:numCache>
            </c:numRef>
          </c:val>
        </c:ser>
        <c:ser>
          <c:idx val="3"/>
          <c:order val="3"/>
          <c:tx>
            <c:strRef>
              <c:f>Joonis!$A$5</c:f>
              <c:strCache>
                <c:ptCount val="1"/>
                <c:pt idx="0">
                  <c:v>MKM</c:v>
                </c:pt>
              </c:strCache>
            </c:strRef>
          </c:tx>
          <c:dLbls>
            <c:txPr>
              <a:bodyPr/>
              <a:lstStyle/>
              <a:p>
                <a:pPr>
                  <a:defRPr sz="900">
                    <a:latin typeface="Georgia" pitchFamily="18" charset="0"/>
                  </a:defRPr>
                </a:pPr>
                <a:endParaRPr lang="et-EE"/>
              </a:p>
            </c:txPr>
            <c:showVal val="1"/>
          </c:dLbls>
          <c:val>
            <c:numRef>
              <c:f>Joonis!$B$5</c:f>
              <c:numCache>
                <c:formatCode>General</c:formatCode>
                <c:ptCount val="1"/>
                <c:pt idx="0">
                  <c:v>3561</c:v>
                </c:pt>
              </c:numCache>
            </c:numRef>
          </c:val>
        </c:ser>
        <c:ser>
          <c:idx val="4"/>
          <c:order val="4"/>
          <c:tx>
            <c:strRef>
              <c:f>Joonis!$A$6</c:f>
              <c:strCache>
                <c:ptCount val="1"/>
                <c:pt idx="0">
                  <c:v>Teised valitsejad</c:v>
                </c:pt>
              </c:strCache>
            </c:strRef>
          </c:tx>
          <c:dLbls>
            <c:txPr>
              <a:bodyPr/>
              <a:lstStyle/>
              <a:p>
                <a:pPr>
                  <a:defRPr sz="900">
                    <a:latin typeface="Georgia" pitchFamily="18" charset="0"/>
                  </a:defRPr>
                </a:pPr>
                <a:endParaRPr lang="et-EE"/>
              </a:p>
            </c:txPr>
            <c:showVal val="1"/>
          </c:dLbls>
          <c:val>
            <c:numRef>
              <c:f>Joonis!$B$6</c:f>
              <c:numCache>
                <c:formatCode>General</c:formatCode>
                <c:ptCount val="1"/>
                <c:pt idx="0">
                  <c:v>1439</c:v>
                </c:pt>
              </c:numCache>
            </c:numRef>
          </c:val>
        </c:ser>
        <c:overlap val="100"/>
        <c:axId val="173491712"/>
        <c:axId val="173493248"/>
      </c:barChart>
      <c:catAx>
        <c:axId val="173491712"/>
        <c:scaling>
          <c:orientation val="minMax"/>
        </c:scaling>
        <c:delete val="1"/>
        <c:axPos val="b"/>
        <c:tickLblPos val="none"/>
        <c:crossAx val="173493248"/>
        <c:crosses val="autoZero"/>
        <c:auto val="1"/>
        <c:lblAlgn val="ctr"/>
        <c:lblOffset val="100"/>
      </c:catAx>
      <c:valAx>
        <c:axId val="173493248"/>
        <c:scaling>
          <c:orientation val="minMax"/>
        </c:scaling>
        <c:axPos val="l"/>
        <c:majorGridlines/>
        <c:numFmt formatCode="0%" sourceLinked="1"/>
        <c:tickLblPos val="nextTo"/>
        <c:txPr>
          <a:bodyPr/>
          <a:lstStyle/>
          <a:p>
            <a:pPr>
              <a:defRPr sz="900">
                <a:latin typeface="Georgia" pitchFamily="18" charset="0"/>
              </a:defRPr>
            </a:pPr>
            <a:endParaRPr lang="et-EE"/>
          </a:p>
        </c:txPr>
        <c:crossAx val="173491712"/>
        <c:crosses val="autoZero"/>
        <c:crossBetween val="between"/>
      </c:valAx>
    </c:plotArea>
    <c:legend>
      <c:legendPos val="r"/>
      <c:layout>
        <c:manualLayout>
          <c:xMode val="edge"/>
          <c:yMode val="edge"/>
          <c:x val="0.6282435018203365"/>
          <c:y val="0.26292906095071888"/>
          <c:w val="0.34502370280637995"/>
          <c:h val="0.41858595800525417"/>
        </c:manualLayout>
      </c:layout>
      <c:txPr>
        <a:bodyPr/>
        <a:lstStyle/>
        <a:p>
          <a:pPr>
            <a:defRPr sz="900">
              <a:latin typeface="Georgia" pitchFamily="18" charset="0"/>
            </a:defRPr>
          </a:pPr>
          <a:endParaRPr lang="et-EE"/>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t-EE"/>
  <c:chart>
    <c:plotArea>
      <c:layout/>
      <c:barChart>
        <c:barDir val="col"/>
        <c:grouping val="percentStacked"/>
        <c:ser>
          <c:idx val="0"/>
          <c:order val="0"/>
          <c:tx>
            <c:strRef>
              <c:f>Joonis!$C$2</c:f>
              <c:strCache>
                <c:ptCount val="1"/>
                <c:pt idx="0">
                  <c:v>Maavalitsused </c:v>
                </c:pt>
              </c:strCache>
            </c:strRef>
          </c:tx>
          <c:dLbls>
            <c:txPr>
              <a:bodyPr/>
              <a:lstStyle/>
              <a:p>
                <a:pPr>
                  <a:defRPr sz="900">
                    <a:latin typeface="Georgia" pitchFamily="18" charset="0"/>
                  </a:defRPr>
                </a:pPr>
                <a:endParaRPr lang="et-EE"/>
              </a:p>
            </c:txPr>
            <c:showVal val="1"/>
          </c:dLbls>
          <c:val>
            <c:numRef>
              <c:f>Joonis!$D$2</c:f>
              <c:numCache>
                <c:formatCode>#,##0</c:formatCode>
                <c:ptCount val="1"/>
                <c:pt idx="0">
                  <c:v>281235</c:v>
                </c:pt>
              </c:numCache>
            </c:numRef>
          </c:val>
        </c:ser>
        <c:ser>
          <c:idx val="1"/>
          <c:order val="1"/>
          <c:tx>
            <c:strRef>
              <c:f>Joonis!$C$3</c:f>
              <c:strCache>
                <c:ptCount val="1"/>
                <c:pt idx="0">
                  <c:v>RMK</c:v>
                </c:pt>
              </c:strCache>
            </c:strRef>
          </c:tx>
          <c:dLbls>
            <c:txPr>
              <a:bodyPr/>
              <a:lstStyle/>
              <a:p>
                <a:pPr>
                  <a:defRPr sz="900">
                    <a:latin typeface="Georgia" pitchFamily="18" charset="0"/>
                  </a:defRPr>
                </a:pPr>
                <a:endParaRPr lang="et-EE"/>
              </a:p>
            </c:txPr>
            <c:showVal val="1"/>
          </c:dLbls>
          <c:val>
            <c:numRef>
              <c:f>Joonis!$D$3</c:f>
              <c:numCache>
                <c:formatCode>#,##0</c:formatCode>
                <c:ptCount val="1"/>
                <c:pt idx="0">
                  <c:v>288240</c:v>
                </c:pt>
              </c:numCache>
            </c:numRef>
          </c:val>
        </c:ser>
        <c:ser>
          <c:idx val="2"/>
          <c:order val="2"/>
          <c:tx>
            <c:strRef>
              <c:f>Joonis!$C$4</c:f>
              <c:strCache>
                <c:ptCount val="1"/>
                <c:pt idx="0">
                  <c:v>Maa-amet</c:v>
                </c:pt>
              </c:strCache>
            </c:strRef>
          </c:tx>
          <c:dLbls>
            <c:txPr>
              <a:bodyPr/>
              <a:lstStyle/>
              <a:p>
                <a:pPr>
                  <a:defRPr sz="900">
                    <a:latin typeface="Georgia" pitchFamily="18" charset="0"/>
                  </a:defRPr>
                </a:pPr>
                <a:endParaRPr lang="et-EE"/>
              </a:p>
            </c:txPr>
            <c:showVal val="1"/>
          </c:dLbls>
          <c:val>
            <c:numRef>
              <c:f>Joonis!$D$4</c:f>
              <c:numCache>
                <c:formatCode>#,##0</c:formatCode>
                <c:ptCount val="1"/>
                <c:pt idx="0">
                  <c:v>1747884</c:v>
                </c:pt>
              </c:numCache>
            </c:numRef>
          </c:val>
        </c:ser>
        <c:ser>
          <c:idx val="3"/>
          <c:order val="3"/>
          <c:tx>
            <c:strRef>
              <c:f>Joonis!$C$5</c:f>
              <c:strCache>
                <c:ptCount val="1"/>
                <c:pt idx="0">
                  <c:v>MKM</c:v>
                </c:pt>
              </c:strCache>
            </c:strRef>
          </c:tx>
          <c:dLbls>
            <c:txPr>
              <a:bodyPr/>
              <a:lstStyle/>
              <a:p>
                <a:pPr>
                  <a:defRPr sz="900">
                    <a:latin typeface="Georgia" pitchFamily="18" charset="0"/>
                  </a:defRPr>
                </a:pPr>
                <a:endParaRPr lang="et-EE"/>
              </a:p>
            </c:txPr>
            <c:showVal val="1"/>
          </c:dLbls>
          <c:val>
            <c:numRef>
              <c:f>Joonis!$D$5</c:f>
              <c:numCache>
                <c:formatCode>#,##0</c:formatCode>
                <c:ptCount val="1"/>
                <c:pt idx="0">
                  <c:v>350381</c:v>
                </c:pt>
              </c:numCache>
            </c:numRef>
          </c:val>
        </c:ser>
        <c:ser>
          <c:idx val="4"/>
          <c:order val="4"/>
          <c:tx>
            <c:strRef>
              <c:f>Joonis!$C$6</c:f>
              <c:strCache>
                <c:ptCount val="1"/>
                <c:pt idx="0">
                  <c:v>Teised valitsejad</c:v>
                </c:pt>
              </c:strCache>
            </c:strRef>
          </c:tx>
          <c:dLbls>
            <c:txPr>
              <a:bodyPr/>
              <a:lstStyle/>
              <a:p>
                <a:pPr>
                  <a:defRPr sz="900">
                    <a:latin typeface="Georgia" pitchFamily="18" charset="0"/>
                  </a:defRPr>
                </a:pPr>
                <a:endParaRPr lang="et-EE"/>
              </a:p>
            </c:txPr>
            <c:showVal val="1"/>
          </c:dLbls>
          <c:val>
            <c:numRef>
              <c:f>Joonis!$D$6</c:f>
              <c:numCache>
                <c:formatCode>#,##0</c:formatCode>
                <c:ptCount val="1"/>
                <c:pt idx="0">
                  <c:v>888810.27999999374</c:v>
                </c:pt>
              </c:numCache>
            </c:numRef>
          </c:val>
        </c:ser>
        <c:overlap val="100"/>
        <c:axId val="173091840"/>
        <c:axId val="173105920"/>
      </c:barChart>
      <c:catAx>
        <c:axId val="173091840"/>
        <c:scaling>
          <c:orientation val="minMax"/>
        </c:scaling>
        <c:delete val="1"/>
        <c:axPos val="b"/>
        <c:tickLblPos val="none"/>
        <c:crossAx val="173105920"/>
        <c:crosses val="autoZero"/>
        <c:auto val="1"/>
        <c:lblAlgn val="ctr"/>
        <c:lblOffset val="100"/>
      </c:catAx>
      <c:valAx>
        <c:axId val="173105920"/>
        <c:scaling>
          <c:orientation val="minMax"/>
        </c:scaling>
        <c:axPos val="l"/>
        <c:majorGridlines/>
        <c:numFmt formatCode="0%" sourceLinked="1"/>
        <c:tickLblPos val="nextTo"/>
        <c:txPr>
          <a:bodyPr/>
          <a:lstStyle/>
          <a:p>
            <a:pPr>
              <a:defRPr sz="900">
                <a:latin typeface="Georgia" pitchFamily="18" charset="0"/>
              </a:defRPr>
            </a:pPr>
            <a:endParaRPr lang="et-EE"/>
          </a:p>
        </c:txPr>
        <c:crossAx val="173091840"/>
        <c:crosses val="autoZero"/>
        <c:crossBetween val="between"/>
      </c:valAx>
    </c:plotArea>
    <c:legend>
      <c:legendPos val="r"/>
      <c:layout>
        <c:manualLayout>
          <c:xMode val="edge"/>
          <c:yMode val="edge"/>
          <c:x val="0.60274704298326365"/>
          <c:y val="0.28607720909886941"/>
          <c:w val="0.34567901234567938"/>
          <c:h val="0.41858595800525417"/>
        </c:manualLayout>
      </c:layout>
      <c:txPr>
        <a:bodyPr/>
        <a:lstStyle/>
        <a:p>
          <a:pPr>
            <a:defRPr sz="900">
              <a:latin typeface="Georgia" pitchFamily="18" charset="0"/>
            </a:defRPr>
          </a:pPr>
          <a:endParaRPr lang="et-EE"/>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stacked"/>
        <c:ser>
          <c:idx val="0"/>
          <c:order val="0"/>
          <c:tx>
            <c:strRef>
              <c:f>'Kasutamiseks andmine'!$A$213</c:f>
              <c:strCache>
                <c:ptCount val="1"/>
                <c:pt idx="0">
                  <c:v>kasutusvaldus</c:v>
                </c:pt>
              </c:strCache>
            </c:strRef>
          </c:tx>
          <c:cat>
            <c:numRef>
              <c:f>'Kasutamiseks andmine'!$B$212:$E$212</c:f>
              <c:numCache>
                <c:formatCode>General</c:formatCode>
                <c:ptCount val="4"/>
                <c:pt idx="0">
                  <c:v>2011</c:v>
                </c:pt>
                <c:pt idx="1">
                  <c:v>2012</c:v>
                </c:pt>
                <c:pt idx="2">
                  <c:v>2013</c:v>
                </c:pt>
                <c:pt idx="3">
                  <c:v>2014</c:v>
                </c:pt>
              </c:numCache>
            </c:numRef>
          </c:cat>
          <c:val>
            <c:numRef>
              <c:f>'Kasutamiseks andmine'!$B$213:$E$213</c:f>
              <c:numCache>
                <c:formatCode>#,##0</c:formatCode>
                <c:ptCount val="4"/>
                <c:pt idx="0">
                  <c:v>6194</c:v>
                </c:pt>
                <c:pt idx="1">
                  <c:v>6212</c:v>
                </c:pt>
                <c:pt idx="2" formatCode="General">
                  <c:v>5782</c:v>
                </c:pt>
                <c:pt idx="3">
                  <c:v>5461</c:v>
                </c:pt>
              </c:numCache>
            </c:numRef>
          </c:val>
        </c:ser>
        <c:ser>
          <c:idx val="1"/>
          <c:order val="1"/>
          <c:tx>
            <c:strRef>
              <c:f>'Kasutamiseks andmine'!$A$214</c:f>
              <c:strCache>
                <c:ptCount val="1"/>
                <c:pt idx="0">
                  <c:v>isiklik kasutusõigus</c:v>
                </c:pt>
              </c:strCache>
            </c:strRef>
          </c:tx>
          <c:cat>
            <c:numRef>
              <c:f>'Kasutamiseks andmine'!$B$212:$E$212</c:f>
              <c:numCache>
                <c:formatCode>General</c:formatCode>
                <c:ptCount val="4"/>
                <c:pt idx="0">
                  <c:v>2011</c:v>
                </c:pt>
                <c:pt idx="1">
                  <c:v>2012</c:v>
                </c:pt>
                <c:pt idx="2">
                  <c:v>2013</c:v>
                </c:pt>
                <c:pt idx="3">
                  <c:v>2014</c:v>
                </c:pt>
              </c:numCache>
            </c:numRef>
          </c:cat>
          <c:val>
            <c:numRef>
              <c:f>'Kasutamiseks andmine'!$B$214:$E$214</c:f>
              <c:numCache>
                <c:formatCode>General</c:formatCode>
                <c:ptCount val="4"/>
                <c:pt idx="0" formatCode="#,##0">
                  <c:v>863</c:v>
                </c:pt>
                <c:pt idx="1">
                  <c:v>1081</c:v>
                </c:pt>
                <c:pt idx="2">
                  <c:v>3487</c:v>
                </c:pt>
                <c:pt idx="3" formatCode="#,##0">
                  <c:v>4410</c:v>
                </c:pt>
              </c:numCache>
            </c:numRef>
          </c:val>
        </c:ser>
        <c:ser>
          <c:idx val="2"/>
          <c:order val="2"/>
          <c:tx>
            <c:strRef>
              <c:f>'Kasutamiseks andmine'!$A$215</c:f>
              <c:strCache>
                <c:ptCount val="1"/>
                <c:pt idx="0">
                  <c:v>maa rentimine</c:v>
                </c:pt>
              </c:strCache>
            </c:strRef>
          </c:tx>
          <c:cat>
            <c:numRef>
              <c:f>'Kasutamiseks andmine'!$B$212:$E$212</c:f>
              <c:numCache>
                <c:formatCode>General</c:formatCode>
                <c:ptCount val="4"/>
                <c:pt idx="0">
                  <c:v>2011</c:v>
                </c:pt>
                <c:pt idx="1">
                  <c:v>2012</c:v>
                </c:pt>
                <c:pt idx="2">
                  <c:v>2013</c:v>
                </c:pt>
                <c:pt idx="3">
                  <c:v>2014</c:v>
                </c:pt>
              </c:numCache>
            </c:numRef>
          </c:cat>
          <c:val>
            <c:numRef>
              <c:f>'Kasutamiseks andmine'!$B$215:$E$215</c:f>
              <c:numCache>
                <c:formatCode>#,##0</c:formatCode>
                <c:ptCount val="4"/>
                <c:pt idx="0">
                  <c:v>916</c:v>
                </c:pt>
                <c:pt idx="1">
                  <c:v>980</c:v>
                </c:pt>
                <c:pt idx="2" formatCode="General">
                  <c:v>1384</c:v>
                </c:pt>
                <c:pt idx="3">
                  <c:v>1887</c:v>
                </c:pt>
              </c:numCache>
            </c:numRef>
          </c:val>
        </c:ser>
        <c:ser>
          <c:idx val="3"/>
          <c:order val="3"/>
          <c:tx>
            <c:strRef>
              <c:f>'Kasutamiseks andmine'!$A$216</c:f>
              <c:strCache>
                <c:ptCount val="1"/>
                <c:pt idx="0">
                  <c:v>hoonestusõigus</c:v>
                </c:pt>
              </c:strCache>
            </c:strRef>
          </c:tx>
          <c:cat>
            <c:numRef>
              <c:f>'Kasutamiseks andmine'!$B$212:$E$212</c:f>
              <c:numCache>
                <c:formatCode>General</c:formatCode>
                <c:ptCount val="4"/>
                <c:pt idx="0">
                  <c:v>2011</c:v>
                </c:pt>
                <c:pt idx="1">
                  <c:v>2012</c:v>
                </c:pt>
                <c:pt idx="2">
                  <c:v>2013</c:v>
                </c:pt>
                <c:pt idx="3">
                  <c:v>2014</c:v>
                </c:pt>
              </c:numCache>
            </c:numRef>
          </c:cat>
          <c:val>
            <c:numRef>
              <c:f>'Kasutamiseks andmine'!$B$216:$E$216</c:f>
              <c:numCache>
                <c:formatCode>General</c:formatCode>
                <c:ptCount val="4"/>
                <c:pt idx="0">
                  <c:v>1514</c:v>
                </c:pt>
                <c:pt idx="1">
                  <c:v>1793</c:v>
                </c:pt>
                <c:pt idx="2">
                  <c:v>1734</c:v>
                </c:pt>
                <c:pt idx="3" formatCode="#,##0">
                  <c:v>1439</c:v>
                </c:pt>
              </c:numCache>
            </c:numRef>
          </c:val>
        </c:ser>
        <c:ser>
          <c:idx val="4"/>
          <c:order val="4"/>
          <c:tx>
            <c:strRef>
              <c:f>'Kasutamiseks andmine'!$A$217</c:f>
              <c:strCache>
                <c:ptCount val="1"/>
                <c:pt idx="0">
                  <c:v>üürimine </c:v>
                </c:pt>
              </c:strCache>
            </c:strRef>
          </c:tx>
          <c:cat>
            <c:numRef>
              <c:f>'Kasutamiseks andmine'!$B$212:$E$212</c:f>
              <c:numCache>
                <c:formatCode>General</c:formatCode>
                <c:ptCount val="4"/>
                <c:pt idx="0">
                  <c:v>2011</c:v>
                </c:pt>
                <c:pt idx="1">
                  <c:v>2012</c:v>
                </c:pt>
                <c:pt idx="2">
                  <c:v>2013</c:v>
                </c:pt>
                <c:pt idx="3">
                  <c:v>2014</c:v>
                </c:pt>
              </c:numCache>
            </c:numRef>
          </c:cat>
          <c:val>
            <c:numRef>
              <c:f>'Kasutamiseks andmine'!$B$217:$E$217</c:f>
              <c:numCache>
                <c:formatCode>#,##0</c:formatCode>
                <c:ptCount val="4"/>
                <c:pt idx="0" formatCode="General">
                  <c:v>820</c:v>
                </c:pt>
                <c:pt idx="1">
                  <c:v>1127</c:v>
                </c:pt>
                <c:pt idx="2">
                  <c:v>815</c:v>
                </c:pt>
                <c:pt idx="3">
                  <c:v>790</c:v>
                </c:pt>
              </c:numCache>
            </c:numRef>
          </c:val>
        </c:ser>
        <c:ser>
          <c:idx val="5"/>
          <c:order val="5"/>
          <c:tx>
            <c:strRef>
              <c:f>'Kasutamiseks andmine'!$A$218</c:f>
              <c:strCache>
                <c:ptCount val="1"/>
                <c:pt idx="0">
                  <c:v>rentimine kaevandamiseks</c:v>
                </c:pt>
              </c:strCache>
            </c:strRef>
          </c:tx>
          <c:cat>
            <c:numRef>
              <c:f>'Kasutamiseks andmine'!$B$212:$E$212</c:f>
              <c:numCache>
                <c:formatCode>General</c:formatCode>
                <c:ptCount val="4"/>
                <c:pt idx="0">
                  <c:v>2011</c:v>
                </c:pt>
                <c:pt idx="1">
                  <c:v>2012</c:v>
                </c:pt>
                <c:pt idx="2">
                  <c:v>2013</c:v>
                </c:pt>
                <c:pt idx="3">
                  <c:v>2014</c:v>
                </c:pt>
              </c:numCache>
            </c:numRef>
          </c:cat>
          <c:val>
            <c:numRef>
              <c:f>'Kasutamiseks andmine'!$B$218:$E$218</c:f>
              <c:numCache>
                <c:formatCode>#,##0</c:formatCode>
                <c:ptCount val="4"/>
                <c:pt idx="0" formatCode="General">
                  <c:v>72</c:v>
                </c:pt>
                <c:pt idx="1">
                  <c:v>326</c:v>
                </c:pt>
                <c:pt idx="2" formatCode="General">
                  <c:v>333</c:v>
                </c:pt>
                <c:pt idx="3">
                  <c:v>330</c:v>
                </c:pt>
              </c:numCache>
            </c:numRef>
          </c:val>
        </c:ser>
        <c:ser>
          <c:idx val="6"/>
          <c:order val="6"/>
          <c:tx>
            <c:strRef>
              <c:f>'Kasutamiseks andmine'!$A$219</c:f>
              <c:strCache>
                <c:ptCount val="1"/>
                <c:pt idx="0">
                  <c:v>reaalservituut</c:v>
                </c:pt>
              </c:strCache>
            </c:strRef>
          </c:tx>
          <c:cat>
            <c:numRef>
              <c:f>'Kasutamiseks andmine'!$B$212:$E$212</c:f>
              <c:numCache>
                <c:formatCode>General</c:formatCode>
                <c:ptCount val="4"/>
                <c:pt idx="0">
                  <c:v>2011</c:v>
                </c:pt>
                <c:pt idx="1">
                  <c:v>2012</c:v>
                </c:pt>
                <c:pt idx="2">
                  <c:v>2013</c:v>
                </c:pt>
                <c:pt idx="3">
                  <c:v>2014</c:v>
                </c:pt>
              </c:numCache>
            </c:numRef>
          </c:cat>
          <c:val>
            <c:numRef>
              <c:f>'Kasutamiseks andmine'!$B$219:$E$219</c:f>
              <c:numCache>
                <c:formatCode>#,##0</c:formatCode>
                <c:ptCount val="4"/>
                <c:pt idx="0">
                  <c:v>58</c:v>
                </c:pt>
                <c:pt idx="1">
                  <c:v>91</c:v>
                </c:pt>
                <c:pt idx="2">
                  <c:v>109</c:v>
                </c:pt>
                <c:pt idx="3">
                  <c:v>128</c:v>
                </c:pt>
              </c:numCache>
            </c:numRef>
          </c:val>
        </c:ser>
        <c:ser>
          <c:idx val="7"/>
          <c:order val="7"/>
          <c:tx>
            <c:strRef>
              <c:f>'Kasutamiseks andmine'!$A$220</c:f>
              <c:strCache>
                <c:ptCount val="1"/>
                <c:pt idx="0">
                  <c:v>ehitise ajutine kasutamine</c:v>
                </c:pt>
              </c:strCache>
            </c:strRef>
          </c:tx>
          <c:cat>
            <c:numRef>
              <c:f>'Kasutamiseks andmine'!$B$212:$E$212</c:f>
              <c:numCache>
                <c:formatCode>General</c:formatCode>
                <c:ptCount val="4"/>
                <c:pt idx="0">
                  <c:v>2011</c:v>
                </c:pt>
                <c:pt idx="1">
                  <c:v>2012</c:v>
                </c:pt>
                <c:pt idx="2">
                  <c:v>2013</c:v>
                </c:pt>
                <c:pt idx="3">
                  <c:v>2014</c:v>
                </c:pt>
              </c:numCache>
            </c:numRef>
          </c:cat>
          <c:val>
            <c:numRef>
              <c:f>'Kasutamiseks andmine'!$B$220:$E$220</c:f>
              <c:numCache>
                <c:formatCode>#,##0</c:formatCode>
                <c:ptCount val="4"/>
                <c:pt idx="0">
                  <c:v>0</c:v>
                </c:pt>
                <c:pt idx="1">
                  <c:v>1</c:v>
                </c:pt>
                <c:pt idx="2">
                  <c:v>1</c:v>
                </c:pt>
                <c:pt idx="3">
                  <c:v>1</c:v>
                </c:pt>
              </c:numCache>
            </c:numRef>
          </c:val>
        </c:ser>
        <c:overlap val="100"/>
        <c:axId val="173030400"/>
        <c:axId val="173073152"/>
      </c:barChart>
      <c:lineChart>
        <c:grouping val="standard"/>
        <c:ser>
          <c:idx val="8"/>
          <c:order val="8"/>
          <c:tx>
            <c:strRef>
              <c:f>'Kasutamiseks andmine'!$A$221</c:f>
              <c:strCache>
                <c:ptCount val="1"/>
                <c:pt idx="0">
                  <c:v>Lepingute arv kokku</c:v>
                </c:pt>
              </c:strCache>
            </c:strRef>
          </c:tx>
          <c:spPr>
            <a:ln>
              <a:noFill/>
            </a:ln>
          </c:spPr>
          <c:marker>
            <c:symbol val="none"/>
          </c:marker>
          <c:dLbls>
            <c:dLbl>
              <c:idx val="0"/>
              <c:layout>
                <c:manualLayout>
                  <c:x val="-3.8374719822368356E-2"/>
                  <c:y val="-2.854090011093564E-2"/>
                </c:manualLayout>
              </c:layout>
              <c:showVal val="1"/>
            </c:dLbl>
            <c:dLbl>
              <c:idx val="1"/>
              <c:layout>
                <c:manualLayout>
                  <c:x val="-3.1978933185307042E-2"/>
                  <c:y val="-3.3730154676560341E-2"/>
                </c:manualLayout>
              </c:layout>
              <c:showVal val="1"/>
            </c:dLbl>
            <c:dLbl>
              <c:idx val="2"/>
              <c:layout>
                <c:manualLayout>
                  <c:x val="-3.1978933185307042E-2"/>
                  <c:y val="-3.632478195937263E-2"/>
                </c:manualLayout>
              </c:layout>
              <c:showVal val="1"/>
            </c:dLbl>
            <c:dLbl>
              <c:idx val="3"/>
              <c:layout>
                <c:manualLayout>
                  <c:x val="-3.0379986526041642E-2"/>
                  <c:y val="-2.8540900110935647E-2"/>
                </c:manualLayout>
              </c:layout>
              <c:showVal val="1"/>
            </c:dLbl>
            <c:txPr>
              <a:bodyPr/>
              <a:lstStyle/>
              <a:p>
                <a:pPr>
                  <a:defRPr>
                    <a:latin typeface="Georgia" pitchFamily="18" charset="0"/>
                  </a:defRPr>
                </a:pPr>
                <a:endParaRPr lang="et-EE"/>
              </a:p>
            </c:txPr>
            <c:showVal val="1"/>
          </c:dLbls>
          <c:cat>
            <c:numRef>
              <c:f>'Kasutamiseks andmine'!$B$212:$E$212</c:f>
              <c:numCache>
                <c:formatCode>General</c:formatCode>
                <c:ptCount val="4"/>
                <c:pt idx="0">
                  <c:v>2011</c:v>
                </c:pt>
                <c:pt idx="1">
                  <c:v>2012</c:v>
                </c:pt>
                <c:pt idx="2">
                  <c:v>2013</c:v>
                </c:pt>
                <c:pt idx="3">
                  <c:v>2014</c:v>
                </c:pt>
              </c:numCache>
            </c:numRef>
          </c:cat>
          <c:val>
            <c:numRef>
              <c:f>'Kasutamiseks andmine'!$B$221:$E$221</c:f>
              <c:numCache>
                <c:formatCode>#,##0</c:formatCode>
                <c:ptCount val="4"/>
                <c:pt idx="0">
                  <c:v>10437</c:v>
                </c:pt>
                <c:pt idx="1">
                  <c:v>11611</c:v>
                </c:pt>
                <c:pt idx="2">
                  <c:v>13645</c:v>
                </c:pt>
                <c:pt idx="3">
                  <c:v>14446</c:v>
                </c:pt>
              </c:numCache>
            </c:numRef>
          </c:val>
        </c:ser>
        <c:marker val="1"/>
        <c:axId val="173030400"/>
        <c:axId val="173073152"/>
      </c:lineChart>
      <c:catAx>
        <c:axId val="173030400"/>
        <c:scaling>
          <c:orientation val="minMax"/>
        </c:scaling>
        <c:axPos val="b"/>
        <c:numFmt formatCode="General" sourceLinked="1"/>
        <c:majorTickMark val="none"/>
        <c:tickLblPos val="nextTo"/>
        <c:crossAx val="173073152"/>
        <c:crosses val="autoZero"/>
        <c:auto val="1"/>
        <c:lblAlgn val="ctr"/>
        <c:lblOffset val="100"/>
      </c:catAx>
      <c:valAx>
        <c:axId val="173073152"/>
        <c:scaling>
          <c:orientation val="minMax"/>
        </c:scaling>
        <c:axPos val="l"/>
        <c:majorGridlines/>
        <c:title>
          <c:tx>
            <c:rich>
              <a:bodyPr/>
              <a:lstStyle/>
              <a:p>
                <a:pPr>
                  <a:defRPr/>
                </a:pPr>
                <a:r>
                  <a:rPr lang="et-EE"/>
                  <a:t>Lepingute</a:t>
                </a:r>
                <a:r>
                  <a:rPr lang="et-EE" baseline="0"/>
                  <a:t>  arv</a:t>
                </a:r>
                <a:endParaRPr lang="et-EE"/>
              </a:p>
            </c:rich>
          </c:tx>
          <c:layout>
            <c:manualLayout>
              <c:xMode val="edge"/>
              <c:yMode val="edge"/>
              <c:x val="3.3808622538569005E-2"/>
              <c:y val="0.14512452977543483"/>
            </c:manualLayout>
          </c:layout>
        </c:title>
        <c:numFmt formatCode="#,##0" sourceLinked="1"/>
        <c:majorTickMark val="none"/>
        <c:tickLblPos val="nextTo"/>
        <c:txPr>
          <a:bodyPr/>
          <a:lstStyle/>
          <a:p>
            <a:pPr>
              <a:defRPr sz="900">
                <a:latin typeface="Georgia" pitchFamily="18" charset="0"/>
              </a:defRPr>
            </a:pPr>
            <a:endParaRPr lang="et-EE"/>
          </a:p>
        </c:txPr>
        <c:crossAx val="173030400"/>
        <c:crosses val="autoZero"/>
        <c:crossBetween val="between"/>
      </c:valAx>
      <c:dTable>
        <c:showHorzBorder val="1"/>
        <c:showVertBorder val="1"/>
        <c:showOutline val="1"/>
        <c:showKeys val="1"/>
        <c:txPr>
          <a:bodyPr/>
          <a:lstStyle/>
          <a:p>
            <a:pPr rtl="0">
              <a:defRPr sz="900">
                <a:latin typeface="Georgia" pitchFamily="18" charset="0"/>
              </a:defRPr>
            </a:pPr>
            <a:endParaRPr lang="et-EE"/>
          </a:p>
        </c:txPr>
      </c:dTable>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pieChart>
        <c:varyColors val="1"/>
        <c:ser>
          <c:idx val="0"/>
          <c:order val="0"/>
          <c:dLbls>
            <c:dLbl>
              <c:idx val="0"/>
              <c:layout>
                <c:manualLayout>
                  <c:x val="0.19482404614044391"/>
                  <c:y val="9.8251237830576904E-2"/>
                </c:manualLayout>
              </c:layout>
              <c:showCatName val="1"/>
              <c:showPercent val="1"/>
            </c:dLbl>
            <c:dLbl>
              <c:idx val="1"/>
              <c:tx>
                <c:rich>
                  <a:bodyPr/>
                  <a:lstStyle/>
                  <a:p>
                    <a:r>
                      <a:rPr lang="et-EE"/>
                      <a:t>Äriühing</a:t>
                    </a:r>
                    <a:r>
                      <a:rPr lang="en-US"/>
                      <a:t>
31%</a:t>
                    </a:r>
                  </a:p>
                </c:rich>
              </c:tx>
              <c:showCatName val="1"/>
              <c:showPercent val="1"/>
            </c:dLbl>
            <c:dLbl>
              <c:idx val="2"/>
              <c:layout>
                <c:manualLayout>
                  <c:x val="8.2476977195705029E-2"/>
                  <c:y val="-0.21197814939291548"/>
                </c:manualLayout>
              </c:layout>
              <c:tx>
                <c:rich>
                  <a:bodyPr/>
                  <a:lstStyle/>
                  <a:p>
                    <a:r>
                      <a:rPr lang="et-EE"/>
                      <a:t>Era</a:t>
                    </a:r>
                    <a:r>
                      <a:rPr lang="en-US"/>
                      <a:t>isik
39%</a:t>
                    </a:r>
                  </a:p>
                </c:rich>
              </c:tx>
              <c:showCatName val="1"/>
              <c:showPercent val="1"/>
            </c:dLbl>
            <c:txPr>
              <a:bodyPr/>
              <a:lstStyle/>
              <a:p>
                <a:pPr>
                  <a:defRPr sz="900">
                    <a:latin typeface="Georgia" pitchFamily="18" charset="0"/>
                  </a:defRPr>
                </a:pPr>
                <a:endParaRPr lang="et-EE"/>
              </a:p>
            </c:txPr>
            <c:showCatName val="1"/>
            <c:showPercent val="1"/>
            <c:showLeaderLines val="1"/>
          </c:dLbls>
          <c:cat>
            <c:strRef>
              <c:f>'Kasutamiseks andmine'!$A$81:$A$87</c:f>
              <c:strCache>
                <c:ptCount val="7"/>
                <c:pt idx="0">
                  <c:v>Avalik-õiguslik juriidiline isik</c:v>
                </c:pt>
                <c:pt idx="1">
                  <c:v>Eraõiguslik juriidiline isik</c:v>
                </c:pt>
                <c:pt idx="2">
                  <c:v>Füüsiline isik</c:v>
                </c:pt>
                <c:pt idx="3">
                  <c:v>Kohalik omavalitsus</c:v>
                </c:pt>
                <c:pt idx="4">
                  <c:v>Mittetulundusühing</c:v>
                </c:pt>
                <c:pt idx="5">
                  <c:v>Sihtasutus</c:v>
                </c:pt>
                <c:pt idx="6">
                  <c:v>Välisriik</c:v>
                </c:pt>
              </c:strCache>
            </c:strRef>
          </c:cat>
          <c:val>
            <c:numRef>
              <c:f>'Kasutamiseks andmine'!$C$81:$C$87</c:f>
              <c:numCache>
                <c:formatCode>#,##0</c:formatCode>
                <c:ptCount val="7"/>
                <c:pt idx="0">
                  <c:v>1824</c:v>
                </c:pt>
                <c:pt idx="1">
                  <c:v>27585.700000000004</c:v>
                </c:pt>
                <c:pt idx="2">
                  <c:v>34372.199999999983</c:v>
                </c:pt>
                <c:pt idx="3">
                  <c:v>9240.2999999999811</c:v>
                </c:pt>
                <c:pt idx="4">
                  <c:v>6625.9</c:v>
                </c:pt>
                <c:pt idx="5">
                  <c:v>2758.9</c:v>
                </c:pt>
                <c:pt idx="6">
                  <c:v>6108</c:v>
                </c:pt>
              </c:numCache>
            </c:numRef>
          </c:val>
        </c:ser>
        <c:dLbls>
          <c:showCatName val="1"/>
          <c:showPercent val="1"/>
        </c:dLbls>
        <c:firstSliceAng val="0"/>
      </c:pieChart>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t-EE"/>
  <c:chart>
    <c:plotArea>
      <c:layout/>
      <c:lineChart>
        <c:grouping val="standard"/>
        <c:ser>
          <c:idx val="0"/>
          <c:order val="0"/>
          <c:tx>
            <c:strRef>
              <c:f>renditasud!$B$13</c:f>
              <c:strCache>
                <c:ptCount val="1"/>
                <c:pt idx="0">
                  <c:v>Keskmine põllumaa rendi alghind €/ha</c:v>
                </c:pt>
              </c:strCache>
            </c:strRef>
          </c:tx>
          <c:marker>
            <c:symbol val="none"/>
          </c:marker>
          <c:cat>
            <c:numRef>
              <c:f>renditasud!$A$14:$A$17</c:f>
              <c:numCache>
                <c:formatCode>General</c:formatCode>
                <c:ptCount val="4"/>
                <c:pt idx="0">
                  <c:v>2011</c:v>
                </c:pt>
                <c:pt idx="1">
                  <c:v>2012</c:v>
                </c:pt>
                <c:pt idx="2">
                  <c:v>2013</c:v>
                </c:pt>
                <c:pt idx="3">
                  <c:v>2014</c:v>
                </c:pt>
              </c:numCache>
            </c:numRef>
          </c:cat>
          <c:val>
            <c:numRef>
              <c:f>renditasud!$B$14:$B$17</c:f>
              <c:numCache>
                <c:formatCode>General</c:formatCode>
                <c:ptCount val="4"/>
                <c:pt idx="0">
                  <c:v>43</c:v>
                </c:pt>
                <c:pt idx="1">
                  <c:v>45</c:v>
                </c:pt>
                <c:pt idx="2">
                  <c:v>76</c:v>
                </c:pt>
                <c:pt idx="3">
                  <c:v>80</c:v>
                </c:pt>
              </c:numCache>
            </c:numRef>
          </c:val>
        </c:ser>
        <c:ser>
          <c:idx val="1"/>
          <c:order val="1"/>
          <c:tx>
            <c:strRef>
              <c:f>renditasud!$C$13</c:f>
              <c:strCache>
                <c:ptCount val="1"/>
                <c:pt idx="0">
                  <c:v>Enampakkumisel kujunenud keskmine põllumaa renditasu €/ha</c:v>
                </c:pt>
              </c:strCache>
            </c:strRef>
          </c:tx>
          <c:marker>
            <c:symbol val="none"/>
          </c:marker>
          <c:cat>
            <c:numRef>
              <c:f>renditasud!$A$14:$A$17</c:f>
              <c:numCache>
                <c:formatCode>General</c:formatCode>
                <c:ptCount val="4"/>
                <c:pt idx="0">
                  <c:v>2011</c:v>
                </c:pt>
                <c:pt idx="1">
                  <c:v>2012</c:v>
                </c:pt>
                <c:pt idx="2">
                  <c:v>2013</c:v>
                </c:pt>
                <c:pt idx="3">
                  <c:v>2014</c:v>
                </c:pt>
              </c:numCache>
            </c:numRef>
          </c:cat>
          <c:val>
            <c:numRef>
              <c:f>renditasud!$C$14:$C$17</c:f>
              <c:numCache>
                <c:formatCode>General</c:formatCode>
                <c:ptCount val="4"/>
                <c:pt idx="0">
                  <c:v>56</c:v>
                </c:pt>
                <c:pt idx="1">
                  <c:v>92</c:v>
                </c:pt>
                <c:pt idx="2">
                  <c:v>128</c:v>
                </c:pt>
                <c:pt idx="3">
                  <c:v>114</c:v>
                </c:pt>
              </c:numCache>
            </c:numRef>
          </c:val>
        </c:ser>
        <c:marker val="1"/>
        <c:axId val="173576192"/>
        <c:axId val="173577728"/>
      </c:lineChart>
      <c:catAx>
        <c:axId val="173576192"/>
        <c:scaling>
          <c:orientation val="minMax"/>
        </c:scaling>
        <c:axPos val="b"/>
        <c:numFmt formatCode="General" sourceLinked="1"/>
        <c:tickLblPos val="nextTo"/>
        <c:crossAx val="173577728"/>
        <c:crosses val="autoZero"/>
        <c:auto val="1"/>
        <c:lblAlgn val="ctr"/>
        <c:lblOffset val="100"/>
      </c:catAx>
      <c:valAx>
        <c:axId val="173577728"/>
        <c:scaling>
          <c:orientation val="minMax"/>
        </c:scaling>
        <c:axPos val="l"/>
        <c:majorGridlines/>
        <c:numFmt formatCode="General" sourceLinked="1"/>
        <c:tickLblPos val="nextTo"/>
        <c:crossAx val="173576192"/>
        <c:crosses val="autoZero"/>
        <c:crossBetween val="between"/>
      </c:valAx>
    </c:plotArea>
    <c:legend>
      <c:legendPos val="r"/>
    </c:legend>
    <c:plotVisOnly val="1"/>
  </c:chart>
  <c:txPr>
    <a:bodyPr/>
    <a:lstStyle/>
    <a:p>
      <a:pPr>
        <a:defRPr sz="900">
          <a:latin typeface="Arial" pitchFamily="34" charset="0"/>
          <a:cs typeface="Arial" pitchFamily="34" charset="0"/>
        </a:defRPr>
      </a:pPr>
      <a:endParaRPr lang="et-EE"/>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a:pPr>
            <a:r>
              <a:rPr lang="en-US"/>
              <a:t> </a:t>
            </a:r>
          </a:p>
        </c:rich>
      </c:tx>
    </c:title>
    <c:plotArea>
      <c:layout/>
      <c:barChart>
        <c:barDir val="col"/>
        <c:grouping val="clustered"/>
        <c:ser>
          <c:idx val="0"/>
          <c:order val="0"/>
          <c:tx>
            <c:strRef>
              <c:f>'Kasutamiseks andmine'!$AG$132</c:f>
              <c:strCache>
                <c:ptCount val="1"/>
                <c:pt idx="0">
                  <c:v>Kastutusvalduse seadmine</c:v>
                </c:pt>
              </c:strCache>
            </c:strRef>
          </c:tx>
          <c:cat>
            <c:numRef>
              <c:f>'Kasutamiseks andmine'!$AH$131:$AK$131</c:f>
              <c:numCache>
                <c:formatCode>General</c:formatCode>
                <c:ptCount val="4"/>
                <c:pt idx="0">
                  <c:v>2011</c:v>
                </c:pt>
                <c:pt idx="1">
                  <c:v>2012</c:v>
                </c:pt>
                <c:pt idx="2">
                  <c:v>2013</c:v>
                </c:pt>
                <c:pt idx="3">
                  <c:v>2014</c:v>
                </c:pt>
              </c:numCache>
            </c:numRef>
          </c:cat>
          <c:val>
            <c:numRef>
              <c:f>'Kasutamiseks andmine'!$AH$132:$AK$132</c:f>
              <c:numCache>
                <c:formatCode>General</c:formatCode>
                <c:ptCount val="4"/>
                <c:pt idx="0">
                  <c:v>555</c:v>
                </c:pt>
                <c:pt idx="1">
                  <c:v>329</c:v>
                </c:pt>
                <c:pt idx="2">
                  <c:v>307</c:v>
                </c:pt>
                <c:pt idx="3">
                  <c:v>236</c:v>
                </c:pt>
              </c:numCache>
            </c:numRef>
          </c:val>
        </c:ser>
        <c:ser>
          <c:idx val="1"/>
          <c:order val="1"/>
          <c:tx>
            <c:strRef>
              <c:f>'Kasutamiseks andmine'!$AG$133</c:f>
              <c:strCache>
                <c:ptCount val="1"/>
                <c:pt idx="0">
                  <c:v>Kasutusvalduse lõpetamine</c:v>
                </c:pt>
              </c:strCache>
            </c:strRef>
          </c:tx>
          <c:cat>
            <c:numRef>
              <c:f>'Kasutamiseks andmine'!$AH$131:$AK$131</c:f>
              <c:numCache>
                <c:formatCode>General</c:formatCode>
                <c:ptCount val="4"/>
                <c:pt idx="0">
                  <c:v>2011</c:v>
                </c:pt>
                <c:pt idx="1">
                  <c:v>2012</c:v>
                </c:pt>
                <c:pt idx="2">
                  <c:v>2013</c:v>
                </c:pt>
                <c:pt idx="3">
                  <c:v>2014</c:v>
                </c:pt>
              </c:numCache>
            </c:numRef>
          </c:cat>
          <c:val>
            <c:numRef>
              <c:f>'Kasutamiseks andmine'!$AH$133:$AK$133</c:f>
              <c:numCache>
                <c:formatCode>General</c:formatCode>
                <c:ptCount val="4"/>
                <c:pt idx="0">
                  <c:v>193</c:v>
                </c:pt>
                <c:pt idx="1">
                  <c:v>216</c:v>
                </c:pt>
                <c:pt idx="2">
                  <c:v>648</c:v>
                </c:pt>
                <c:pt idx="3">
                  <c:v>423</c:v>
                </c:pt>
              </c:numCache>
            </c:numRef>
          </c:val>
        </c:ser>
        <c:axId val="173590016"/>
        <c:axId val="173591552"/>
      </c:barChart>
      <c:lineChart>
        <c:grouping val="standard"/>
        <c:ser>
          <c:idx val="2"/>
          <c:order val="2"/>
          <c:tx>
            <c:strRef>
              <c:f>'Kasutamiseks andmine'!$AG$135</c:f>
              <c:strCache>
                <c:ptCount val="1"/>
                <c:pt idx="0">
                  <c:v>Kasutusvalduse lepingute arv</c:v>
                </c:pt>
              </c:strCache>
            </c:strRef>
          </c:tx>
          <c:marker>
            <c:symbol val="none"/>
          </c:marker>
          <c:cat>
            <c:numRef>
              <c:f>'Kasutamiseks andmine'!$AH$131:$AK$131</c:f>
              <c:numCache>
                <c:formatCode>General</c:formatCode>
                <c:ptCount val="4"/>
                <c:pt idx="0">
                  <c:v>2011</c:v>
                </c:pt>
                <c:pt idx="1">
                  <c:v>2012</c:v>
                </c:pt>
                <c:pt idx="2">
                  <c:v>2013</c:v>
                </c:pt>
                <c:pt idx="3">
                  <c:v>2014</c:v>
                </c:pt>
              </c:numCache>
            </c:numRef>
          </c:cat>
          <c:val>
            <c:numRef>
              <c:f>'Kasutamiseks andmine'!$AH$135:$AK$135</c:f>
              <c:numCache>
                <c:formatCode>General</c:formatCode>
                <c:ptCount val="4"/>
                <c:pt idx="0">
                  <c:v>6152</c:v>
                </c:pt>
                <c:pt idx="1">
                  <c:v>6171</c:v>
                </c:pt>
                <c:pt idx="2">
                  <c:v>5721</c:v>
                </c:pt>
                <c:pt idx="3">
                  <c:v>5395</c:v>
                </c:pt>
              </c:numCache>
            </c:numRef>
          </c:val>
        </c:ser>
        <c:marker val="1"/>
        <c:axId val="173590016"/>
        <c:axId val="173591552"/>
      </c:lineChart>
      <c:catAx>
        <c:axId val="173590016"/>
        <c:scaling>
          <c:orientation val="minMax"/>
        </c:scaling>
        <c:axPos val="b"/>
        <c:numFmt formatCode="General" sourceLinked="1"/>
        <c:majorTickMark val="none"/>
        <c:tickLblPos val="nextTo"/>
        <c:crossAx val="173591552"/>
        <c:crosses val="autoZero"/>
        <c:auto val="1"/>
        <c:lblAlgn val="ctr"/>
        <c:lblOffset val="100"/>
      </c:catAx>
      <c:valAx>
        <c:axId val="173591552"/>
        <c:scaling>
          <c:orientation val="minMax"/>
        </c:scaling>
        <c:axPos val="l"/>
        <c:majorGridlines/>
        <c:title>
          <c:tx>
            <c:rich>
              <a:bodyPr/>
              <a:lstStyle/>
              <a:p>
                <a:pPr>
                  <a:defRPr/>
                </a:pPr>
                <a:r>
                  <a:rPr lang="et-EE"/>
                  <a:t>Lepingute</a:t>
                </a:r>
                <a:r>
                  <a:rPr lang="et-EE" baseline="0"/>
                  <a:t> arv</a:t>
                </a:r>
                <a:endParaRPr lang="en-US"/>
              </a:p>
            </c:rich>
          </c:tx>
        </c:title>
        <c:numFmt formatCode="General" sourceLinked="1"/>
        <c:majorTickMark val="none"/>
        <c:tickLblPos val="nextTo"/>
        <c:crossAx val="173590016"/>
        <c:crosses val="autoZero"/>
        <c:crossBetween val="between"/>
      </c:valAx>
      <c:dTable>
        <c:showHorzBorder val="1"/>
        <c:showVertBorder val="1"/>
        <c:showOutline val="1"/>
        <c:showKeys val="1"/>
      </c:dTable>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defRPr sz="1200" b="0"/>
            </a:pPr>
            <a:r>
              <a:rPr lang="et-EE" sz="1200" b="1" i="0" u="none" strike="noStrike" baseline="0">
                <a:latin typeface="Times New Roman" pitchFamily="18" charset="0"/>
                <a:cs typeface="Times New Roman" pitchFamily="18" charset="0"/>
              </a:rPr>
              <a:t>Eelarve jääk perioodi lõpus riigi kinnisvarastrateegia elluviimise jätkamisel erinevate eelarveprognoosidega</a:t>
            </a:r>
            <a:endParaRPr lang="et-EE" sz="1200" b="1">
              <a:latin typeface="Times New Roman" pitchFamily="18" charset="0"/>
              <a:cs typeface="Times New Roman" pitchFamily="18" charset="0"/>
            </a:endParaRPr>
          </a:p>
        </c:rich>
      </c:tx>
    </c:title>
    <c:plotArea>
      <c:layout/>
      <c:lineChart>
        <c:grouping val="standard"/>
        <c:ser>
          <c:idx val="0"/>
          <c:order val="0"/>
          <c:tx>
            <c:strRef>
              <c:f>'KOOND STS_S'!$B$74</c:f>
              <c:strCache>
                <c:ptCount val="1"/>
                <c:pt idx="0">
                  <c:v>Pessimistlik prognoos</c:v>
                </c:pt>
              </c:strCache>
            </c:strRef>
          </c:tx>
          <c:spPr>
            <a:ln>
              <a:prstDash val="dash"/>
            </a:ln>
          </c:spPr>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STS_S'!$C$74:$AG$74</c:f>
              <c:numCache>
                <c:formatCode>General</c:formatCode>
                <c:ptCount val="31"/>
                <c:pt idx="0">
                  <c:v>-41.309753661324294</c:v>
                </c:pt>
                <c:pt idx="1">
                  <c:v>-184.22574508443441</c:v>
                </c:pt>
                <c:pt idx="2">
                  <c:v>-274.36611513091265</c:v>
                </c:pt>
                <c:pt idx="3">
                  <c:v>-331.86709588484553</c:v>
                </c:pt>
                <c:pt idx="4">
                  <c:v>-355.31175854396059</c:v>
                </c:pt>
                <c:pt idx="5">
                  <c:v>-384.17098297015701</c:v>
                </c:pt>
                <c:pt idx="6">
                  <c:v>-429.11991193063056</c:v>
                </c:pt>
                <c:pt idx="7">
                  <c:v>-475.65135153984932</c:v>
                </c:pt>
                <c:pt idx="8">
                  <c:v>-523.78190651095304</c:v>
                </c:pt>
                <c:pt idx="9">
                  <c:v>-573.53954359224088</c:v>
                </c:pt>
                <c:pt idx="10">
                  <c:v>-624.95444272283044</c:v>
                </c:pt>
                <c:pt idx="11">
                  <c:v>-678.05886578839693</c:v>
                </c:pt>
                <c:pt idx="12">
                  <c:v>-732.88704396865853</c:v>
                </c:pt>
                <c:pt idx="13">
                  <c:v>-792.20759718521936</c:v>
                </c:pt>
                <c:pt idx="14">
                  <c:v>-864.86935847778079</c:v>
                </c:pt>
                <c:pt idx="15">
                  <c:v>-927.82504841042248</c:v>
                </c:pt>
                <c:pt idx="16">
                  <c:v>-992.59832782188755</c:v>
                </c:pt>
                <c:pt idx="17">
                  <c:v>-1059.2036280770874</c:v>
                </c:pt>
                <c:pt idx="18">
                  <c:v>-1127.6542699358304</c:v>
                </c:pt>
                <c:pt idx="19">
                  <c:v>-1198.0033247106408</c:v>
                </c:pt>
                <c:pt idx="20">
                  <c:v>-1270.1799538875377</c:v>
                </c:pt>
                <c:pt idx="21">
                  <c:v>-1389.8248023028198</c:v>
                </c:pt>
                <c:pt idx="22">
                  <c:v>-1465.8003014597066</c:v>
                </c:pt>
                <c:pt idx="23">
                  <c:v>-1547.9292586433003</c:v>
                </c:pt>
                <c:pt idx="24">
                  <c:v>-1627.7884282453535</c:v>
                </c:pt>
                <c:pt idx="25">
                  <c:v>-1709.6449609259428</c:v>
                </c:pt>
                <c:pt idx="26">
                  <c:v>-1793.5427986727452</c:v>
                </c:pt>
                <c:pt idx="27">
                  <c:v>-1879.5268501972455</c:v>
                </c:pt>
                <c:pt idx="28">
                  <c:v>-1967.6430122024922</c:v>
                </c:pt>
                <c:pt idx="29">
                  <c:v>-2057.9381911191599</c:v>
                </c:pt>
                <c:pt idx="30">
                  <c:v>-2150.4603253192308</c:v>
                </c:pt>
              </c:numCache>
            </c:numRef>
          </c:val>
        </c:ser>
        <c:ser>
          <c:idx val="1"/>
          <c:order val="1"/>
          <c:tx>
            <c:strRef>
              <c:f>'KOOND STS_S'!$B$75</c:f>
              <c:strCache>
                <c:ptCount val="1"/>
                <c:pt idx="0">
                  <c:v>Keskmine prognoos</c:v>
                </c:pt>
              </c:strCache>
            </c:strRef>
          </c:tx>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STS_S'!$C$75:$AG$75</c:f>
              <c:numCache>
                <c:formatCode>General</c:formatCode>
                <c:ptCount val="31"/>
                <c:pt idx="0">
                  <c:v>-33.094390442177328</c:v>
                </c:pt>
                <c:pt idx="1">
                  <c:v>-165.70002972602072</c:v>
                </c:pt>
                <c:pt idx="2">
                  <c:v>-243.00926454667376</c:v>
                </c:pt>
                <c:pt idx="3">
                  <c:v>-285.06772245788193</c:v>
                </c:pt>
                <c:pt idx="4">
                  <c:v>-290.46721573355904</c:v>
                </c:pt>
                <c:pt idx="5">
                  <c:v>-298.52135459365354</c:v>
                </c:pt>
                <c:pt idx="6">
                  <c:v>-319.70435255412383</c:v>
                </c:pt>
                <c:pt idx="7">
                  <c:v>-339.28203990905155</c:v>
                </c:pt>
                <c:pt idx="8">
                  <c:v>-357.12107677755125</c:v>
                </c:pt>
                <c:pt idx="9">
                  <c:v>-373.08348451030986</c:v>
                </c:pt>
                <c:pt idx="10">
                  <c:v>-387.02065477442267</c:v>
                </c:pt>
                <c:pt idx="11">
                  <c:v>-398.77273441027705</c:v>
                </c:pt>
                <c:pt idx="12">
                  <c:v>-408.19874046114865</c:v>
                </c:pt>
                <c:pt idx="13">
                  <c:v>-417.91602691624661</c:v>
                </c:pt>
                <c:pt idx="14">
                  <c:v>-436.5050978140693</c:v>
                </c:pt>
                <c:pt idx="15">
                  <c:v>-440.93990548718051</c:v>
                </c:pt>
                <c:pt idx="16">
                  <c:v>-442.64407101785127</c:v>
                </c:pt>
                <c:pt idx="17">
                  <c:v>-441.48187706853696</c:v>
                </c:pt>
                <c:pt idx="18">
                  <c:v>-437.46897597574269</c:v>
                </c:pt>
                <c:pt idx="19">
                  <c:v>-430.68564733120871</c:v>
                </c:pt>
                <c:pt idx="20">
                  <c:v>-421.00561207235882</c:v>
                </c:pt>
                <c:pt idx="21">
                  <c:v>-453.92222996486174</c:v>
                </c:pt>
                <c:pt idx="22">
                  <c:v>-438.14373332531738</c:v>
                </c:pt>
                <c:pt idx="23">
                  <c:v>-423.38682264562294</c:v>
                </c:pt>
                <c:pt idx="24">
                  <c:v>-401.10308918887517</c:v>
                </c:pt>
                <c:pt idx="25">
                  <c:v>-375.42427000839899</c:v>
                </c:pt>
                <c:pt idx="26">
                  <c:v>-346.33352336327113</c:v>
                </c:pt>
                <c:pt idx="27">
                  <c:v>-313.83068652417984</c:v>
                </c:pt>
                <c:pt idx="28">
                  <c:v>-277.9416853584064</c:v>
                </c:pt>
                <c:pt idx="29">
                  <c:v>-238.66349922994723</c:v>
                </c:pt>
                <c:pt idx="30">
                  <c:v>-196.02710116181692</c:v>
                </c:pt>
              </c:numCache>
            </c:numRef>
          </c:val>
        </c:ser>
        <c:ser>
          <c:idx val="2"/>
          <c:order val="2"/>
          <c:tx>
            <c:strRef>
              <c:f>'KOOND STS_S'!$B$76</c:f>
              <c:strCache>
                <c:ptCount val="1"/>
                <c:pt idx="0">
                  <c:v>Optimistlik prognoos</c:v>
                </c:pt>
              </c:strCache>
            </c:strRef>
          </c:tx>
          <c:spPr>
            <a:ln>
              <a:prstDash val="sysDot"/>
            </a:ln>
          </c:spPr>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STS_S'!$C$76:$AG$76</c:f>
              <c:numCache>
                <c:formatCode>General</c:formatCode>
                <c:ptCount val="31"/>
                <c:pt idx="0">
                  <c:v>-24.879027223029436</c:v>
                </c:pt>
                <c:pt idx="1">
                  <c:v>-147.17431436760711</c:v>
                </c:pt>
                <c:pt idx="2">
                  <c:v>-211.65241396243746</c:v>
                </c:pt>
                <c:pt idx="3">
                  <c:v>-238.26834903092509</c:v>
                </c:pt>
                <c:pt idx="4">
                  <c:v>-225.62267292315539</c:v>
                </c:pt>
                <c:pt idx="5">
                  <c:v>-212.87172621715021</c:v>
                </c:pt>
                <c:pt idx="6">
                  <c:v>-210.28879317761709</c:v>
                </c:pt>
                <c:pt idx="7">
                  <c:v>-202.9127282782548</c:v>
                </c:pt>
                <c:pt idx="8">
                  <c:v>-190.460247044151</c:v>
                </c:pt>
                <c:pt idx="9">
                  <c:v>-172.62742542837879</c:v>
                </c:pt>
                <c:pt idx="10">
                  <c:v>-149.08686682601487</c:v>
                </c:pt>
                <c:pt idx="11">
                  <c:v>-119.48660303216792</c:v>
                </c:pt>
                <c:pt idx="12">
                  <c:v>-83.510436953640209</c:v>
                </c:pt>
                <c:pt idx="13">
                  <c:v>-43.624456647273597</c:v>
                </c:pt>
                <c:pt idx="14">
                  <c:v>-8.1408371503574219</c:v>
                </c:pt>
                <c:pt idx="15">
                  <c:v>45.945237436051912</c:v>
                </c:pt>
                <c:pt idx="16">
                  <c:v>107.31018578619376</c:v>
                </c:pt>
                <c:pt idx="17">
                  <c:v>176.23987394000432</c:v>
                </c:pt>
                <c:pt idx="18">
                  <c:v>252.71631798436078</c:v>
                </c:pt>
                <c:pt idx="19">
                  <c:v>336.632030048221</c:v>
                </c:pt>
                <c:pt idx="20">
                  <c:v>428.16872974281893</c:v>
                </c:pt>
                <c:pt idx="21">
                  <c:v>481.98034237309895</c:v>
                </c:pt>
                <c:pt idx="22">
                  <c:v>589.51283480907625</c:v>
                </c:pt>
                <c:pt idx="23">
                  <c:v>701.15561335205086</c:v>
                </c:pt>
                <c:pt idx="24">
                  <c:v>825.58224986761934</c:v>
                </c:pt>
                <c:pt idx="25">
                  <c:v>958.79642090914854</c:v>
                </c:pt>
                <c:pt idx="26">
                  <c:v>1100.8757519462224</c:v>
                </c:pt>
                <c:pt idx="27">
                  <c:v>1251.8654771488705</c:v>
                </c:pt>
                <c:pt idx="28">
                  <c:v>1411.7596414857117</c:v>
                </c:pt>
                <c:pt idx="29">
                  <c:v>1580.6111926592598</c:v>
                </c:pt>
                <c:pt idx="30">
                  <c:v>1758.4061229955939</c:v>
                </c:pt>
              </c:numCache>
            </c:numRef>
          </c:val>
        </c:ser>
        <c:marker val="1"/>
        <c:axId val="181235072"/>
        <c:axId val="181240960"/>
      </c:lineChart>
      <c:catAx>
        <c:axId val="181235072"/>
        <c:scaling>
          <c:orientation val="minMax"/>
        </c:scaling>
        <c:axPos val="b"/>
        <c:numFmt formatCode="General" sourceLinked="1"/>
        <c:tickLblPos val="nextTo"/>
        <c:crossAx val="181240960"/>
        <c:crosses val="autoZero"/>
        <c:auto val="1"/>
        <c:lblAlgn val="ctr"/>
        <c:lblOffset val="100"/>
      </c:catAx>
      <c:valAx>
        <c:axId val="181240960"/>
        <c:scaling>
          <c:orientation val="minMax"/>
        </c:scaling>
        <c:axPos val="l"/>
        <c:majorGridlines/>
        <c:title>
          <c:tx>
            <c:rich>
              <a:bodyPr rot="-5400000" vert="horz"/>
              <a:lstStyle/>
              <a:p>
                <a:pPr>
                  <a:defRPr sz="1000"/>
                </a:pPr>
                <a:r>
                  <a:rPr lang="et-EE" sz="1000"/>
                  <a:t>mln EUR</a:t>
                </a:r>
              </a:p>
            </c:rich>
          </c:tx>
        </c:title>
        <c:numFmt formatCode="General" sourceLinked="1"/>
        <c:tickLblPos val="nextTo"/>
        <c:crossAx val="181235072"/>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'Kasutamiseks andmine'!$AH$138</c:f>
              <c:strCache>
                <c:ptCount val="1"/>
                <c:pt idx="0">
                  <c:v>Hoonestusõiguse seadmine</c:v>
                </c:pt>
              </c:strCache>
            </c:strRef>
          </c:tx>
          <c:cat>
            <c:multiLvlStrRef>
              <c:f>'Kasutamiseks andmine'!#REF!</c:f>
            </c:multiLvlStrRef>
          </c:cat>
          <c:val>
            <c:numRef>
              <c:f>'Kasutamiseks andmine'!$AI$138:$AL$138</c:f>
              <c:numCache>
                <c:formatCode>General</c:formatCode>
                <c:ptCount val="4"/>
                <c:pt idx="0">
                  <c:v>223</c:v>
                </c:pt>
                <c:pt idx="1">
                  <c:v>258</c:v>
                </c:pt>
                <c:pt idx="2">
                  <c:v>79</c:v>
                </c:pt>
                <c:pt idx="3">
                  <c:v>58</c:v>
                </c:pt>
              </c:numCache>
            </c:numRef>
          </c:val>
        </c:ser>
        <c:ser>
          <c:idx val="1"/>
          <c:order val="1"/>
          <c:tx>
            <c:strRef>
              <c:f>'Kasutamiseks andmine'!$AH$139</c:f>
              <c:strCache>
                <c:ptCount val="1"/>
                <c:pt idx="0">
                  <c:v>Hoonestusõiguse lõpetamine</c:v>
                </c:pt>
              </c:strCache>
            </c:strRef>
          </c:tx>
          <c:cat>
            <c:multiLvlStrRef>
              <c:f>'Kasutamiseks andmine'!#REF!</c:f>
            </c:multiLvlStrRef>
          </c:cat>
          <c:val>
            <c:numRef>
              <c:f>'Kasutamiseks andmine'!$AI$139:$AL$139</c:f>
              <c:numCache>
                <c:formatCode>General</c:formatCode>
                <c:ptCount val="4"/>
                <c:pt idx="0">
                  <c:v>0</c:v>
                </c:pt>
                <c:pt idx="1">
                  <c:v>1</c:v>
                </c:pt>
                <c:pt idx="2">
                  <c:v>74</c:v>
                </c:pt>
                <c:pt idx="3">
                  <c:v>251</c:v>
                </c:pt>
              </c:numCache>
            </c:numRef>
          </c:val>
        </c:ser>
        <c:axId val="172706048"/>
        <c:axId val="172720128"/>
      </c:barChart>
      <c:lineChart>
        <c:grouping val="standard"/>
        <c:ser>
          <c:idx val="2"/>
          <c:order val="2"/>
          <c:tx>
            <c:strRef>
              <c:f>'Kasutamiseks andmine'!$AH$147</c:f>
              <c:strCache>
                <c:ptCount val="1"/>
                <c:pt idx="0">
                  <c:v>Hoonestusõiguse lepingute arv</c:v>
                </c:pt>
              </c:strCache>
            </c:strRef>
          </c:tx>
          <c:marker>
            <c:symbol val="none"/>
          </c:marker>
          <c:cat>
            <c:multiLvlStrRef>
              <c:f>'Kasutamiseks andmine'!#REF!</c:f>
            </c:multiLvlStrRef>
          </c:cat>
          <c:val>
            <c:numRef>
              <c:f>'Kasutamiseks andmine'!$AI$147:$AL$147</c:f>
              <c:numCache>
                <c:formatCode>General</c:formatCode>
                <c:ptCount val="4"/>
                <c:pt idx="0">
                  <c:v>1249</c:v>
                </c:pt>
                <c:pt idx="1">
                  <c:v>1508</c:v>
                </c:pt>
                <c:pt idx="2">
                  <c:v>1464</c:v>
                </c:pt>
                <c:pt idx="3">
                  <c:v>1166</c:v>
                </c:pt>
              </c:numCache>
            </c:numRef>
          </c:val>
        </c:ser>
        <c:marker val="1"/>
        <c:axId val="172706048"/>
        <c:axId val="172720128"/>
      </c:lineChart>
      <c:catAx>
        <c:axId val="172706048"/>
        <c:scaling>
          <c:orientation val="minMax"/>
        </c:scaling>
        <c:axPos val="b"/>
        <c:numFmt formatCode="General" sourceLinked="1"/>
        <c:majorTickMark val="none"/>
        <c:tickLblPos val="nextTo"/>
        <c:crossAx val="172720128"/>
        <c:crosses val="autoZero"/>
        <c:auto val="1"/>
        <c:lblAlgn val="ctr"/>
        <c:lblOffset val="100"/>
      </c:catAx>
      <c:valAx>
        <c:axId val="172720128"/>
        <c:scaling>
          <c:orientation val="minMax"/>
        </c:scaling>
        <c:axPos val="l"/>
        <c:majorGridlines/>
        <c:title>
          <c:tx>
            <c:rich>
              <a:bodyPr/>
              <a:lstStyle/>
              <a:p>
                <a:pPr>
                  <a:defRPr/>
                </a:pPr>
                <a:r>
                  <a:rPr lang="et-EE"/>
                  <a:t>Lepingute</a:t>
                </a:r>
                <a:r>
                  <a:rPr lang="et-EE" baseline="0"/>
                  <a:t> arv</a:t>
                </a:r>
                <a:endParaRPr lang="et-EE"/>
              </a:p>
            </c:rich>
          </c:tx>
          <c:layout>
            <c:manualLayout>
              <c:xMode val="edge"/>
              <c:yMode val="edge"/>
              <c:x val="2.6845637583893821E-2"/>
              <c:y val="0.23624854184893931"/>
            </c:manualLayout>
          </c:layout>
        </c:title>
        <c:numFmt formatCode="General" sourceLinked="1"/>
        <c:majorTickMark val="none"/>
        <c:tickLblPos val="nextTo"/>
        <c:crossAx val="172706048"/>
        <c:crosses val="autoZero"/>
        <c:crossBetween val="between"/>
      </c:valAx>
      <c:dTable>
        <c:showHorzBorder val="1"/>
        <c:showVertBorder val="1"/>
        <c:showOutline val="1"/>
        <c:showKeys val="1"/>
      </c:dTable>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stacked"/>
        <c:ser>
          <c:idx val="0"/>
          <c:order val="0"/>
          <c:tx>
            <c:strRef>
              <c:f>'Lepingute korrastamine'!$A$12</c:f>
              <c:strCache>
                <c:ptCount val="1"/>
                <c:pt idx="0">
                  <c:v>RKVR uued lepingud</c:v>
                </c:pt>
              </c:strCache>
            </c:strRef>
          </c:tx>
          <c:dLbls>
            <c:dLbl>
              <c:idx val="1"/>
              <c:showVal val="1"/>
            </c:dLbl>
            <c:dLbl>
              <c:idx val="2"/>
              <c:showVal val="1"/>
            </c:dLbl>
            <c:dLbl>
              <c:idx val="3"/>
              <c:showVal val="1"/>
            </c:dLbl>
            <c:dLbl>
              <c:idx val="4"/>
              <c:showVal val="1"/>
            </c:dLbl>
            <c:delete val="1"/>
            <c:txPr>
              <a:bodyPr/>
              <a:lstStyle/>
              <a:p>
                <a:pPr>
                  <a:defRPr sz="900">
                    <a:latin typeface="Georgia" pitchFamily="18" charset="0"/>
                  </a:defRPr>
                </a:pPr>
                <a:endParaRPr lang="et-EE"/>
              </a:p>
            </c:txPr>
          </c:dLbls>
          <c:cat>
            <c:numRef>
              <c:f>'Lepingute korrastamine'!$B$11:$F$11</c:f>
              <c:numCache>
                <c:formatCode>General</c:formatCode>
                <c:ptCount val="5"/>
                <c:pt idx="0">
                  <c:v>2010</c:v>
                </c:pt>
                <c:pt idx="1">
                  <c:v>2011</c:v>
                </c:pt>
                <c:pt idx="2">
                  <c:v>2012</c:v>
                </c:pt>
                <c:pt idx="3">
                  <c:v>2013</c:v>
                </c:pt>
                <c:pt idx="4">
                  <c:v>2014</c:v>
                </c:pt>
              </c:numCache>
            </c:numRef>
          </c:cat>
          <c:val>
            <c:numRef>
              <c:f>'Lepingute korrastamine'!$B$12:$F$12</c:f>
              <c:numCache>
                <c:formatCode>General</c:formatCode>
                <c:ptCount val="5"/>
                <c:pt idx="0">
                  <c:v>0</c:v>
                </c:pt>
                <c:pt idx="1">
                  <c:v>6288</c:v>
                </c:pt>
                <c:pt idx="2">
                  <c:v>8642</c:v>
                </c:pt>
                <c:pt idx="3">
                  <c:v>12521</c:v>
                </c:pt>
                <c:pt idx="4">
                  <c:v>13196</c:v>
                </c:pt>
              </c:numCache>
            </c:numRef>
          </c:val>
        </c:ser>
        <c:ser>
          <c:idx val="1"/>
          <c:order val="1"/>
          <c:tx>
            <c:strRef>
              <c:f>'Lepingute korrastamine'!$A$13</c:f>
              <c:strCache>
                <c:ptCount val="1"/>
                <c:pt idx="0">
                  <c:v>RVR lepingud</c:v>
                </c:pt>
              </c:strCache>
            </c:strRef>
          </c:tx>
          <c:dLbls>
            <c:txPr>
              <a:bodyPr/>
              <a:lstStyle/>
              <a:p>
                <a:pPr>
                  <a:defRPr>
                    <a:latin typeface="Georgia" pitchFamily="18" charset="0"/>
                  </a:defRPr>
                </a:pPr>
                <a:endParaRPr lang="et-EE"/>
              </a:p>
            </c:txPr>
            <c:showVal val="1"/>
          </c:dLbls>
          <c:cat>
            <c:numRef>
              <c:f>'Lepingute korrastamine'!$B$11:$F$11</c:f>
              <c:numCache>
                <c:formatCode>General</c:formatCode>
                <c:ptCount val="5"/>
                <c:pt idx="0">
                  <c:v>2010</c:v>
                </c:pt>
                <c:pt idx="1">
                  <c:v>2011</c:v>
                </c:pt>
                <c:pt idx="2">
                  <c:v>2012</c:v>
                </c:pt>
                <c:pt idx="3">
                  <c:v>2013</c:v>
                </c:pt>
                <c:pt idx="4">
                  <c:v>2014</c:v>
                </c:pt>
              </c:numCache>
            </c:numRef>
          </c:cat>
          <c:val>
            <c:numRef>
              <c:f>'Lepingute korrastamine'!$B$13:$F$13</c:f>
              <c:numCache>
                <c:formatCode>General</c:formatCode>
                <c:ptCount val="5"/>
                <c:pt idx="0">
                  <c:v>9570</c:v>
                </c:pt>
                <c:pt idx="1">
                  <c:v>4278</c:v>
                </c:pt>
                <c:pt idx="2">
                  <c:v>3104</c:v>
                </c:pt>
                <c:pt idx="3">
                  <c:v>1752</c:v>
                </c:pt>
                <c:pt idx="4">
                  <c:v>1250</c:v>
                </c:pt>
              </c:numCache>
            </c:numRef>
          </c:val>
        </c:ser>
        <c:gapWidth val="95"/>
        <c:overlap val="100"/>
        <c:axId val="173415808"/>
        <c:axId val="173425792"/>
      </c:barChart>
      <c:catAx>
        <c:axId val="173415808"/>
        <c:scaling>
          <c:orientation val="minMax"/>
        </c:scaling>
        <c:axPos val="b"/>
        <c:numFmt formatCode="General" sourceLinked="1"/>
        <c:majorTickMark val="none"/>
        <c:tickLblPos val="nextTo"/>
        <c:crossAx val="173425792"/>
        <c:crosses val="autoZero"/>
        <c:auto val="1"/>
        <c:lblAlgn val="ctr"/>
        <c:lblOffset val="100"/>
      </c:catAx>
      <c:valAx>
        <c:axId val="173425792"/>
        <c:scaling>
          <c:orientation val="minMax"/>
        </c:scaling>
        <c:axPos val="l"/>
        <c:majorGridlines/>
        <c:title>
          <c:tx>
            <c:rich>
              <a:bodyPr/>
              <a:lstStyle/>
              <a:p>
                <a:pPr>
                  <a:defRPr/>
                </a:pPr>
                <a:r>
                  <a:rPr lang="en-US"/>
                  <a:t>Lepingute arv kokku</a:t>
                </a:r>
              </a:p>
            </c:rich>
          </c:tx>
        </c:title>
        <c:numFmt formatCode="General" sourceLinked="1"/>
        <c:majorTickMark val="none"/>
        <c:tickLblPos val="nextTo"/>
        <c:txPr>
          <a:bodyPr/>
          <a:lstStyle/>
          <a:p>
            <a:pPr>
              <a:defRPr sz="900">
                <a:latin typeface="Georgia" pitchFamily="18" charset="0"/>
              </a:defRPr>
            </a:pPr>
            <a:endParaRPr lang="et-EE"/>
          </a:p>
        </c:txPr>
        <c:crossAx val="173415808"/>
        <c:crosses val="autoZero"/>
        <c:crossBetween val="between"/>
      </c:valAx>
      <c:dTable>
        <c:showHorzBorder val="1"/>
        <c:showVertBorder val="1"/>
        <c:showOutline val="1"/>
        <c:showKeys val="1"/>
        <c:txPr>
          <a:bodyPr/>
          <a:lstStyle/>
          <a:p>
            <a:pPr rtl="0">
              <a:defRPr>
                <a:latin typeface="Georgia" pitchFamily="18" charset="0"/>
              </a:defRPr>
            </a:pPr>
            <a:endParaRPr lang="et-EE"/>
          </a:p>
        </c:txPr>
      </c:dTable>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t-EE"/>
  <c:style val="10"/>
  <c:chart>
    <c:plotArea>
      <c:layout>
        <c:manualLayout>
          <c:layoutTarget val="inner"/>
          <c:xMode val="edge"/>
          <c:yMode val="edge"/>
          <c:x val="0.47649199732387076"/>
          <c:y val="3.2399355273402312E-2"/>
          <c:w val="0.39421957797445184"/>
          <c:h val="0.79890625210311428"/>
        </c:manualLayout>
      </c:layout>
      <c:barChart>
        <c:barDir val="bar"/>
        <c:grouping val="percentStacked"/>
        <c:ser>
          <c:idx val="0"/>
          <c:order val="0"/>
          <c:tx>
            <c:strRef>
              <c:f>'Tabel-Omandis hooned'!$N$34:$N$35</c:f>
              <c:strCache>
                <c:ptCount val="1"/>
                <c:pt idx="0">
                  <c:v>EHR-i kantud hoonete pind</c:v>
                </c:pt>
              </c:strCache>
            </c:strRef>
          </c:tx>
          <c:cat>
            <c:strRef>
              <c:f>'Tabel-Omandis hooned'!$M$36:$M$51</c:f>
              <c:strCache>
                <c:ptCount val="14"/>
                <c:pt idx="0">
                  <c:v>Kaitseministeerium</c:v>
                </c:pt>
                <c:pt idx="1">
                  <c:v>Siseministeerium</c:v>
                </c:pt>
                <c:pt idx="2">
                  <c:v>Majandus- ja Kommunikatsiooni-ministeerium</c:v>
                </c:pt>
                <c:pt idx="3">
                  <c:v>Keskkonnaministeerium</c:v>
                </c:pt>
                <c:pt idx="4">
                  <c:v>Põllumajandus-ministeerium</c:v>
                </c:pt>
                <c:pt idx="5">
                  <c:v>Kultuuriministeerium</c:v>
                </c:pt>
                <c:pt idx="6">
                  <c:v>Välisministeerium</c:v>
                </c:pt>
                <c:pt idx="7">
                  <c:v>Riigikantselei</c:v>
                </c:pt>
                <c:pt idx="8">
                  <c:v>Riigikogu Kantselei</c:v>
                </c:pt>
                <c:pt idx="9">
                  <c:v>Riigikohus</c:v>
                </c:pt>
                <c:pt idx="10">
                  <c:v>Vabariigi Presidendi Kantselei</c:v>
                </c:pt>
                <c:pt idx="11">
                  <c:v>Ida-Viru Maavalitsus</c:v>
                </c:pt>
                <c:pt idx="12">
                  <c:v>Lääne-Viru Maavalitsus</c:v>
                </c:pt>
                <c:pt idx="13">
                  <c:v>Võru Maavalitsus</c:v>
                </c:pt>
              </c:strCache>
            </c:strRef>
          </c:cat>
          <c:val>
            <c:numRef>
              <c:f>'Tabel-Omandis hooned'!$N$36:$N$51</c:f>
              <c:numCache>
                <c:formatCode>_-* #,##0\ _k_r_-;\-* #,##0\ _k_r_-;_-* "-"??\ _k_r_-;_-@_-</c:formatCode>
                <c:ptCount val="14"/>
                <c:pt idx="0">
                  <c:v>292287</c:v>
                </c:pt>
                <c:pt idx="1">
                  <c:v>87726.8</c:v>
                </c:pt>
                <c:pt idx="2">
                  <c:v>20657.599999999897</c:v>
                </c:pt>
                <c:pt idx="3">
                  <c:v>119071.10000000002</c:v>
                </c:pt>
                <c:pt idx="4">
                  <c:v>88480.000000000015</c:v>
                </c:pt>
                <c:pt idx="5">
                  <c:v>31627.499999999982</c:v>
                </c:pt>
                <c:pt idx="6">
                  <c:v>12508.4</c:v>
                </c:pt>
                <c:pt idx="7">
                  <c:v>7027.6</c:v>
                </c:pt>
                <c:pt idx="8">
                  <c:v>15842.2</c:v>
                </c:pt>
                <c:pt idx="9">
                  <c:v>5702.5</c:v>
                </c:pt>
                <c:pt idx="10">
                  <c:v>3773.6000000000004</c:v>
                </c:pt>
                <c:pt idx="11">
                  <c:v>34.1</c:v>
                </c:pt>
                <c:pt idx="12">
                  <c:v>1974.3000000000002</c:v>
                </c:pt>
                <c:pt idx="13">
                  <c:v>76.7</c:v>
                </c:pt>
              </c:numCache>
            </c:numRef>
          </c:val>
        </c:ser>
        <c:ser>
          <c:idx val="1"/>
          <c:order val="1"/>
          <c:tx>
            <c:strRef>
              <c:f>'Tabel-Omandis hooned'!$O$34:$O$35</c:f>
              <c:strCache>
                <c:ptCount val="1"/>
                <c:pt idx="0">
                  <c:v>EHR-i kandmata hoonete pind</c:v>
                </c:pt>
              </c:strCache>
            </c:strRef>
          </c:tx>
          <c:cat>
            <c:strRef>
              <c:f>'Tabel-Omandis hooned'!$M$36:$M$51</c:f>
              <c:strCache>
                <c:ptCount val="14"/>
                <c:pt idx="0">
                  <c:v>Kaitseministeerium</c:v>
                </c:pt>
                <c:pt idx="1">
                  <c:v>Siseministeerium</c:v>
                </c:pt>
                <c:pt idx="2">
                  <c:v>Majandus- ja Kommunikatsiooni-ministeerium</c:v>
                </c:pt>
                <c:pt idx="3">
                  <c:v>Keskkonnaministeerium</c:v>
                </c:pt>
                <c:pt idx="4">
                  <c:v>Põllumajandus-ministeerium</c:v>
                </c:pt>
                <c:pt idx="5">
                  <c:v>Kultuuriministeerium</c:v>
                </c:pt>
                <c:pt idx="6">
                  <c:v>Välisministeerium</c:v>
                </c:pt>
                <c:pt idx="7">
                  <c:v>Riigikantselei</c:v>
                </c:pt>
                <c:pt idx="8">
                  <c:v>Riigikogu Kantselei</c:v>
                </c:pt>
                <c:pt idx="9">
                  <c:v>Riigikohus</c:v>
                </c:pt>
                <c:pt idx="10">
                  <c:v>Vabariigi Presidendi Kantselei</c:v>
                </c:pt>
                <c:pt idx="11">
                  <c:v>Ida-Viru Maavalitsus</c:v>
                </c:pt>
                <c:pt idx="12">
                  <c:v>Lääne-Viru Maavalitsus</c:v>
                </c:pt>
                <c:pt idx="13">
                  <c:v>Võru Maavalitsus</c:v>
                </c:pt>
              </c:strCache>
            </c:strRef>
          </c:cat>
          <c:val>
            <c:numRef>
              <c:f>'Tabel-Omandis hooned'!$O$36:$O$51</c:f>
              <c:numCache>
                <c:formatCode>_-* #,##0\ _k_r_-;\-* #,##0\ _k_r_-;_-* "-"??\ _k_r_-;_-@_-</c:formatCode>
                <c:ptCount val="14"/>
                <c:pt idx="0">
                  <c:v>104218.90000000031</c:v>
                </c:pt>
                <c:pt idx="1">
                  <c:v>34742.800000000017</c:v>
                </c:pt>
                <c:pt idx="2">
                  <c:v>34157.700000000004</c:v>
                </c:pt>
                <c:pt idx="3">
                  <c:v>16172.599999999878</c:v>
                </c:pt>
                <c:pt idx="4">
                  <c:v>14442.000000000015</c:v>
                </c:pt>
                <c:pt idx="5">
                  <c:v>5848.1</c:v>
                </c:pt>
                <c:pt idx="6">
                  <c:v>5320.7999999999984</c:v>
                </c:pt>
                <c:pt idx="7">
                  <c:v>0</c:v>
                </c:pt>
                <c:pt idx="8">
                  <c:v>0</c:v>
                </c:pt>
                <c:pt idx="9">
                  <c:v>0</c:v>
                </c:pt>
                <c:pt idx="10">
                  <c:v>0</c:v>
                </c:pt>
                <c:pt idx="11">
                  <c:v>0</c:v>
                </c:pt>
                <c:pt idx="12">
                  <c:v>0</c:v>
                </c:pt>
                <c:pt idx="13">
                  <c:v>0</c:v>
                </c:pt>
              </c:numCache>
            </c:numRef>
          </c:val>
        </c:ser>
        <c:overlap val="100"/>
        <c:axId val="173446656"/>
        <c:axId val="173448192"/>
      </c:barChart>
      <c:catAx>
        <c:axId val="173446656"/>
        <c:scaling>
          <c:orientation val="minMax"/>
        </c:scaling>
        <c:axPos val="l"/>
        <c:tickLblPos val="nextTo"/>
        <c:crossAx val="173448192"/>
        <c:crosses val="autoZero"/>
        <c:auto val="1"/>
        <c:lblAlgn val="ctr"/>
        <c:lblOffset val="100"/>
      </c:catAx>
      <c:valAx>
        <c:axId val="173448192"/>
        <c:scaling>
          <c:orientation val="minMax"/>
        </c:scaling>
        <c:axPos val="b"/>
        <c:majorGridlines/>
        <c:numFmt formatCode="0%" sourceLinked="1"/>
        <c:tickLblPos val="nextTo"/>
        <c:crossAx val="173446656"/>
        <c:crosses val="autoZero"/>
        <c:crossBetween val="between"/>
      </c:valAx>
    </c:plotArea>
    <c:legend>
      <c:legendPos val="r"/>
      <c:layout>
        <c:manualLayout>
          <c:xMode val="edge"/>
          <c:yMode val="edge"/>
          <c:x val="0.20995584375482576"/>
          <c:y val="0.9288775863703016"/>
          <c:w val="0.74877690288713905"/>
          <c:h val="7.1122417390133974E-2"/>
        </c:manualLayout>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Majkulud!$A$16</c:f>
              <c:strCache>
                <c:ptCount val="1"/>
                <c:pt idx="0">
                  <c:v>Keskvalitsuse riigieelarvelised asutused</c:v>
                </c:pt>
              </c:strCache>
            </c:strRef>
          </c:tx>
          <c:cat>
            <c:strRef>
              <c:f>Majkulud!$B$15:$F$15</c:f>
              <c:strCache>
                <c:ptCount val="5"/>
                <c:pt idx="0">
                  <c:v>2010</c:v>
                </c:pt>
                <c:pt idx="1">
                  <c:v>2011</c:v>
                </c:pt>
                <c:pt idx="2">
                  <c:v>2012</c:v>
                </c:pt>
                <c:pt idx="3">
                  <c:v>2013</c:v>
                </c:pt>
                <c:pt idx="4">
                  <c:v>2014</c:v>
                </c:pt>
              </c:strCache>
            </c:strRef>
          </c:cat>
          <c:val>
            <c:numRef>
              <c:f>Majkulud!$B$16:$F$16</c:f>
              <c:numCache>
                <c:formatCode>_-* #,##0\ _k_r_-;\-* #,##0\ _k_r_-;_-* "-"??\ _k_r_-;_-@_-</c:formatCode>
                <c:ptCount val="5"/>
                <c:pt idx="0">
                  <c:v>85949668.173119918</c:v>
                </c:pt>
                <c:pt idx="1">
                  <c:v>88859109.059999973</c:v>
                </c:pt>
                <c:pt idx="2">
                  <c:v>93877309.655999899</c:v>
                </c:pt>
                <c:pt idx="3">
                  <c:v>97373168.256000042</c:v>
                </c:pt>
                <c:pt idx="4">
                  <c:v>114177840.52799991</c:v>
                </c:pt>
              </c:numCache>
            </c:numRef>
          </c:val>
        </c:ser>
        <c:ser>
          <c:idx val="1"/>
          <c:order val="1"/>
          <c:tx>
            <c:strRef>
              <c:f>Majkulud!$A$18</c:f>
              <c:strCache>
                <c:ptCount val="1"/>
                <c:pt idx="0">
                  <c:v>Muu keskvalitsus (AÕJI, SA, MTÜ, ÄÜ)</c:v>
                </c:pt>
              </c:strCache>
            </c:strRef>
          </c:tx>
          <c:cat>
            <c:strRef>
              <c:f>Majkulud!$B$15:$F$15</c:f>
              <c:strCache>
                <c:ptCount val="5"/>
                <c:pt idx="0">
                  <c:v>2010</c:v>
                </c:pt>
                <c:pt idx="1">
                  <c:v>2011</c:v>
                </c:pt>
                <c:pt idx="2">
                  <c:v>2012</c:v>
                </c:pt>
                <c:pt idx="3">
                  <c:v>2013</c:v>
                </c:pt>
                <c:pt idx="4">
                  <c:v>2014</c:v>
                </c:pt>
              </c:strCache>
            </c:strRef>
          </c:cat>
          <c:val>
            <c:numRef>
              <c:f>Majkulud!$B$18:$F$18</c:f>
              <c:numCache>
                <c:formatCode>_-* #,##0\ _k_r_-;\-* #,##0\ _k_r_-;_-* "-"??\ _k_r_-;_-@_-</c:formatCode>
                <c:ptCount val="5"/>
                <c:pt idx="0">
                  <c:v>104388075.9238802</c:v>
                </c:pt>
                <c:pt idx="1">
                  <c:v>109569650.78399999</c:v>
                </c:pt>
                <c:pt idx="2">
                  <c:v>129713330.03999998</c:v>
                </c:pt>
                <c:pt idx="3">
                  <c:v>146986983.86399999</c:v>
                </c:pt>
                <c:pt idx="4">
                  <c:v>161495964.37200007</c:v>
                </c:pt>
              </c:numCache>
            </c:numRef>
          </c:val>
        </c:ser>
        <c:ser>
          <c:idx val="2"/>
          <c:order val="2"/>
          <c:tx>
            <c:strRef>
              <c:f>Majkulud!$A$20</c:f>
              <c:strCache>
                <c:ptCount val="1"/>
                <c:pt idx="0">
                  <c:v>Kohalikud omavalitsused (sh SA, MTÜ, AÜ)</c:v>
                </c:pt>
              </c:strCache>
            </c:strRef>
          </c:tx>
          <c:cat>
            <c:strRef>
              <c:f>Majkulud!$B$15:$F$15</c:f>
              <c:strCache>
                <c:ptCount val="5"/>
                <c:pt idx="0">
                  <c:v>2010</c:v>
                </c:pt>
                <c:pt idx="1">
                  <c:v>2011</c:v>
                </c:pt>
                <c:pt idx="2">
                  <c:v>2012</c:v>
                </c:pt>
                <c:pt idx="3">
                  <c:v>2013</c:v>
                </c:pt>
                <c:pt idx="4">
                  <c:v>2014</c:v>
                </c:pt>
              </c:strCache>
            </c:strRef>
          </c:cat>
          <c:val>
            <c:numRef>
              <c:f>Majkulud!$B$20:$F$20</c:f>
              <c:numCache>
                <c:formatCode>_-* #,##0\ _k_r_-;\-* #,##0\ _k_r_-;_-* "-"??\ _k_r_-;_-@_-</c:formatCode>
                <c:ptCount val="5"/>
                <c:pt idx="0">
                  <c:v>152997816.10163984</c:v>
                </c:pt>
                <c:pt idx="1">
                  <c:v>159461111.73599985</c:v>
                </c:pt>
                <c:pt idx="2">
                  <c:v>177661796.26799995</c:v>
                </c:pt>
                <c:pt idx="3">
                  <c:v>188999383.43999961</c:v>
                </c:pt>
                <c:pt idx="4">
                  <c:v>189389292.67199928</c:v>
                </c:pt>
              </c:numCache>
            </c:numRef>
          </c:val>
        </c:ser>
        <c:ser>
          <c:idx val="3"/>
          <c:order val="3"/>
          <c:tx>
            <c:strRef>
              <c:f>Majkulud!$A$22</c:f>
              <c:strCache>
                <c:ptCount val="1"/>
                <c:pt idx="0">
                  <c:v>Muu valitsussektor</c:v>
                </c:pt>
              </c:strCache>
            </c:strRef>
          </c:tx>
          <c:cat>
            <c:strRef>
              <c:f>Majkulud!$B$15:$F$15</c:f>
              <c:strCache>
                <c:ptCount val="5"/>
                <c:pt idx="0">
                  <c:v>2010</c:v>
                </c:pt>
                <c:pt idx="1">
                  <c:v>2011</c:v>
                </c:pt>
                <c:pt idx="2">
                  <c:v>2012</c:v>
                </c:pt>
                <c:pt idx="3">
                  <c:v>2013</c:v>
                </c:pt>
                <c:pt idx="4">
                  <c:v>2014</c:v>
                </c:pt>
              </c:strCache>
            </c:strRef>
          </c:cat>
          <c:val>
            <c:numRef>
              <c:f>Majkulud!$B$22:$F$22</c:f>
              <c:numCache>
                <c:formatCode>_-* #,##0\ _k_r_-;\-* #,##0\ _k_r_-;_-* "-"??\ _k_r_-;_-@_-</c:formatCode>
                <c:ptCount val="5"/>
                <c:pt idx="0">
                  <c:v>3215920.2689999994</c:v>
                </c:pt>
                <c:pt idx="1">
                  <c:v>3375548.4240000001</c:v>
                </c:pt>
                <c:pt idx="2">
                  <c:v>3957409.1640000022</c:v>
                </c:pt>
                <c:pt idx="3">
                  <c:v>3658368.4200000004</c:v>
                </c:pt>
                <c:pt idx="4">
                  <c:v>2524032.8400000003</c:v>
                </c:pt>
              </c:numCache>
            </c:numRef>
          </c:val>
        </c:ser>
        <c:axId val="175127552"/>
        <c:axId val="175137536"/>
      </c:barChart>
      <c:catAx>
        <c:axId val="175127552"/>
        <c:scaling>
          <c:orientation val="minMax"/>
        </c:scaling>
        <c:axPos val="b"/>
        <c:majorTickMark val="none"/>
        <c:tickLblPos val="nextTo"/>
        <c:crossAx val="175137536"/>
        <c:crosses val="autoZero"/>
        <c:auto val="1"/>
        <c:lblAlgn val="ctr"/>
        <c:lblOffset val="100"/>
      </c:catAx>
      <c:valAx>
        <c:axId val="175137536"/>
        <c:scaling>
          <c:orientation val="minMax"/>
        </c:scaling>
        <c:axPos val="l"/>
        <c:majorGridlines/>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600" b="1" i="0" u="none" strike="noStrike" kern="1200" baseline="0">
                    <a:solidFill>
                      <a:sysClr val="windowText" lastClr="000000"/>
                    </a:solidFill>
                    <a:latin typeface="+mn-lt"/>
                    <a:ea typeface="+mn-ea"/>
                    <a:cs typeface="+mn-cs"/>
                  </a:defRPr>
                </a:pPr>
                <a:r>
                  <a:rPr lang="en-US" sz="1100" b="1" i="0" baseline="0"/>
                  <a:t>Eurot aastas</a:t>
                </a:r>
                <a:endParaRPr lang="et-EE" sz="600"/>
              </a:p>
            </c:rich>
          </c:tx>
        </c:title>
        <c:numFmt formatCode="_-* #,##0\ _k_r_-;\-* #,##0\ _k_r_-;_-* &quot;-&quot;??\ _k_r_-;_-@_-" sourceLinked="1"/>
        <c:majorTickMark val="none"/>
        <c:tickLblPos val="nextTo"/>
        <c:crossAx val="175127552"/>
        <c:crosses val="autoZero"/>
        <c:crossBetween val="between"/>
      </c:valAx>
      <c:dTable>
        <c:showHorzBorder val="1"/>
        <c:showVertBorder val="1"/>
        <c:showOutline val="1"/>
        <c:showKeys val="1"/>
        <c:txPr>
          <a:bodyPr/>
          <a:lstStyle/>
          <a:p>
            <a:pPr rtl="0">
              <a:defRPr sz="900"/>
            </a:pPr>
            <a:endParaRPr lang="et-EE"/>
          </a:p>
        </c:txPr>
      </c:dTable>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stacked"/>
        <c:ser>
          <c:idx val="0"/>
          <c:order val="0"/>
          <c:tx>
            <c:strRef>
              <c:f>'Kulud 2010-2014'!$A$38</c:f>
              <c:strCache>
                <c:ptCount val="1"/>
                <c:pt idx="0">
                  <c:v>Üür ja majandamiskulud RKAS-le </c:v>
                </c:pt>
              </c:strCache>
            </c:strRef>
          </c:tx>
          <c:cat>
            <c:strRef>
              <c:f>'Kulud 2010-2014'!$B$35:$F$35</c:f>
              <c:strCache>
                <c:ptCount val="5"/>
                <c:pt idx="0">
                  <c:v>2010</c:v>
                </c:pt>
                <c:pt idx="1">
                  <c:v>2011</c:v>
                </c:pt>
                <c:pt idx="2">
                  <c:v>2012</c:v>
                </c:pt>
                <c:pt idx="3">
                  <c:v>2013</c:v>
                </c:pt>
                <c:pt idx="4">
                  <c:v>2014</c:v>
                </c:pt>
              </c:strCache>
            </c:strRef>
          </c:cat>
          <c:val>
            <c:numRef>
              <c:f>'Kulud 2010-2014'!$B$38:$F$38</c:f>
              <c:numCache>
                <c:formatCode>#,##0</c:formatCode>
                <c:ptCount val="5"/>
                <c:pt idx="0">
                  <c:v>19222500.389279976</c:v>
                </c:pt>
                <c:pt idx="1">
                  <c:v>24685896.396000005</c:v>
                </c:pt>
                <c:pt idx="2">
                  <c:v>33323172.743999992</c:v>
                </c:pt>
                <c:pt idx="3">
                  <c:v>39433022.892000005</c:v>
                </c:pt>
                <c:pt idx="4">
                  <c:v>62648172.984000005</c:v>
                </c:pt>
              </c:numCache>
            </c:numRef>
          </c:val>
        </c:ser>
        <c:ser>
          <c:idx val="4"/>
          <c:order val="1"/>
          <c:tx>
            <c:strRef>
              <c:f>'Kulud 2010-2014'!$A$40</c:f>
              <c:strCache>
                <c:ptCount val="1"/>
                <c:pt idx="0">
                  <c:v>Üür teisele riigiasutusele </c:v>
                </c:pt>
              </c:strCache>
            </c:strRef>
          </c:tx>
          <c:cat>
            <c:strRef>
              <c:f>'Kulud 2010-2014'!$B$35:$F$35</c:f>
              <c:strCache>
                <c:ptCount val="5"/>
                <c:pt idx="0">
                  <c:v>2010</c:v>
                </c:pt>
                <c:pt idx="1">
                  <c:v>2011</c:v>
                </c:pt>
                <c:pt idx="2">
                  <c:v>2012</c:v>
                </c:pt>
                <c:pt idx="3">
                  <c:v>2013</c:v>
                </c:pt>
                <c:pt idx="4">
                  <c:v>2014</c:v>
                </c:pt>
              </c:strCache>
            </c:strRef>
          </c:cat>
          <c:val>
            <c:numRef>
              <c:f>'Kulud 2010-2014'!$B$40:$F$40</c:f>
              <c:numCache>
                <c:formatCode>#,##0</c:formatCode>
                <c:ptCount val="5"/>
                <c:pt idx="0">
                  <c:v>226271.68115999998</c:v>
                </c:pt>
                <c:pt idx="1">
                  <c:v>211308.51599999997</c:v>
                </c:pt>
                <c:pt idx="2">
                  <c:v>167027.71199999997</c:v>
                </c:pt>
                <c:pt idx="3">
                  <c:v>142461.98399999968</c:v>
                </c:pt>
                <c:pt idx="4">
                  <c:v>165770.64000000001</c:v>
                </c:pt>
              </c:numCache>
            </c:numRef>
          </c:val>
        </c:ser>
        <c:ser>
          <c:idx val="1"/>
          <c:order val="2"/>
          <c:tx>
            <c:strRef>
              <c:f>'Kulud 2010-2014'!$A$42</c:f>
              <c:strCache>
                <c:ptCount val="1"/>
                <c:pt idx="0">
                  <c:v>Üür teistele partneritele </c:v>
                </c:pt>
              </c:strCache>
            </c:strRef>
          </c:tx>
          <c:cat>
            <c:strRef>
              <c:f>'Kulud 2010-2014'!$B$35:$F$35</c:f>
              <c:strCache>
                <c:ptCount val="5"/>
                <c:pt idx="0">
                  <c:v>2010</c:v>
                </c:pt>
                <c:pt idx="1">
                  <c:v>2011</c:v>
                </c:pt>
                <c:pt idx="2">
                  <c:v>2012</c:v>
                </c:pt>
                <c:pt idx="3">
                  <c:v>2013</c:v>
                </c:pt>
                <c:pt idx="4">
                  <c:v>2014</c:v>
                </c:pt>
              </c:strCache>
            </c:strRef>
          </c:cat>
          <c:val>
            <c:numRef>
              <c:f>'Kulud 2010-2014'!$B$42:$F$42</c:f>
              <c:numCache>
                <c:formatCode>#,##0</c:formatCode>
                <c:ptCount val="5"/>
                <c:pt idx="0">
                  <c:v>16179225.034200005</c:v>
                </c:pt>
                <c:pt idx="1">
                  <c:v>17358630.95999999</c:v>
                </c:pt>
                <c:pt idx="2">
                  <c:v>17148385.775999986</c:v>
                </c:pt>
                <c:pt idx="3">
                  <c:v>16986202.979999986</c:v>
                </c:pt>
                <c:pt idx="4">
                  <c:v>16470162.155999992</c:v>
                </c:pt>
              </c:numCache>
            </c:numRef>
          </c:val>
        </c:ser>
        <c:ser>
          <c:idx val="2"/>
          <c:order val="3"/>
          <c:tx>
            <c:strRef>
              <c:f>'Kulud 2010-2014'!$A$44</c:f>
              <c:strCache>
                <c:ptCount val="1"/>
                <c:pt idx="0">
                  <c:v>Muud majandamiskulud</c:v>
                </c:pt>
              </c:strCache>
            </c:strRef>
          </c:tx>
          <c:cat>
            <c:strRef>
              <c:f>'Kulud 2010-2014'!$B$35:$F$35</c:f>
              <c:strCache>
                <c:ptCount val="5"/>
                <c:pt idx="0">
                  <c:v>2010</c:v>
                </c:pt>
                <c:pt idx="1">
                  <c:v>2011</c:v>
                </c:pt>
                <c:pt idx="2">
                  <c:v>2012</c:v>
                </c:pt>
                <c:pt idx="3">
                  <c:v>2013</c:v>
                </c:pt>
                <c:pt idx="4">
                  <c:v>2014</c:v>
                </c:pt>
              </c:strCache>
            </c:strRef>
          </c:cat>
          <c:val>
            <c:numRef>
              <c:f>'Kulud 2010-2014'!$B$44:$F$44</c:f>
              <c:numCache>
                <c:formatCode>#,##0</c:formatCode>
                <c:ptCount val="5"/>
                <c:pt idx="0">
                  <c:v>54041193.183880024</c:v>
                </c:pt>
                <c:pt idx="1">
                  <c:v>46603273.187999979</c:v>
                </c:pt>
                <c:pt idx="2">
                  <c:v>43238723.423999943</c:v>
                </c:pt>
                <c:pt idx="3">
                  <c:v>40811480.400000066</c:v>
                </c:pt>
                <c:pt idx="4">
                  <c:v>34893734.748000003</c:v>
                </c:pt>
              </c:numCache>
            </c:numRef>
          </c:val>
        </c:ser>
        <c:ser>
          <c:idx val="3"/>
          <c:order val="4"/>
          <c:tx>
            <c:strRef>
              <c:f>'Kulud 2010-2014'!$A$46</c:f>
              <c:strCache>
                <c:ptCount val="1"/>
                <c:pt idx="0">
                  <c:v>Kapitalirendi intress RKAS-le </c:v>
                </c:pt>
              </c:strCache>
            </c:strRef>
          </c:tx>
          <c:cat>
            <c:strRef>
              <c:f>'Kulud 2010-2014'!$B$35:$F$35</c:f>
              <c:strCache>
                <c:ptCount val="5"/>
                <c:pt idx="0">
                  <c:v>2010</c:v>
                </c:pt>
                <c:pt idx="1">
                  <c:v>2011</c:v>
                </c:pt>
                <c:pt idx="2">
                  <c:v>2012</c:v>
                </c:pt>
                <c:pt idx="3">
                  <c:v>2013</c:v>
                </c:pt>
                <c:pt idx="4">
                  <c:v>2014</c:v>
                </c:pt>
              </c:strCache>
            </c:strRef>
          </c:cat>
          <c:val>
            <c:numRef>
              <c:f>'Kulud 2010-2014'!$B$46:$F$46</c:f>
              <c:numCache>
                <c:formatCode>#,##0</c:formatCode>
                <c:ptCount val="5"/>
                <c:pt idx="0">
                  <c:v>3719522.1153999977</c:v>
                </c:pt>
                <c:pt idx="1">
                  <c:v>4206423.96</c:v>
                </c:pt>
                <c:pt idx="2">
                  <c:v>4175393.0200000005</c:v>
                </c:pt>
                <c:pt idx="3">
                  <c:v>4099326.69</c:v>
                </c:pt>
                <c:pt idx="4">
                  <c:v>4193091.8899999997</c:v>
                </c:pt>
              </c:numCache>
            </c:numRef>
          </c:val>
        </c:ser>
        <c:gapWidth val="95"/>
        <c:overlap val="100"/>
        <c:axId val="175051904"/>
        <c:axId val="175053440"/>
      </c:barChart>
      <c:catAx>
        <c:axId val="175051904"/>
        <c:scaling>
          <c:orientation val="minMax"/>
        </c:scaling>
        <c:axPos val="b"/>
        <c:numFmt formatCode="General" sourceLinked="1"/>
        <c:majorTickMark val="none"/>
        <c:tickLblPos val="nextTo"/>
        <c:crossAx val="175053440"/>
        <c:crosses val="autoZero"/>
        <c:auto val="1"/>
        <c:lblAlgn val="ctr"/>
        <c:lblOffset val="100"/>
      </c:catAx>
      <c:valAx>
        <c:axId val="175053440"/>
        <c:scaling>
          <c:orientation val="minMax"/>
        </c:scaling>
        <c:axPos val="l"/>
        <c:majorGridlines/>
        <c:title>
          <c:tx>
            <c:rich>
              <a:bodyPr/>
              <a:lstStyle/>
              <a:p>
                <a:pPr>
                  <a:defRPr/>
                </a:pPr>
                <a:r>
                  <a:rPr lang="en-US"/>
                  <a:t>Eurot</a:t>
                </a:r>
                <a:r>
                  <a:rPr lang="et-EE"/>
                  <a:t>/</a:t>
                </a:r>
                <a:r>
                  <a:rPr lang="en-US"/>
                  <a:t> aastas</a:t>
                </a:r>
              </a:p>
            </c:rich>
          </c:tx>
        </c:title>
        <c:numFmt formatCode="#,##0" sourceLinked="1"/>
        <c:majorTickMark val="none"/>
        <c:tickLblPos val="nextTo"/>
        <c:crossAx val="175051904"/>
        <c:crosses val="autoZero"/>
        <c:crossBetween val="between"/>
      </c:valAx>
      <c:dTable>
        <c:showHorzBorder val="1"/>
        <c:showVertBorder val="1"/>
        <c:showOutline val="1"/>
        <c:showKeys val="1"/>
        <c:txPr>
          <a:bodyPr/>
          <a:lstStyle/>
          <a:p>
            <a:pPr rtl="0">
              <a:defRPr sz="900"/>
            </a:pPr>
            <a:endParaRPr lang="et-EE"/>
          </a:p>
        </c:txPr>
      </c:dTable>
    </c:plotArea>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lineChart>
        <c:grouping val="standard"/>
        <c:ser>
          <c:idx val="0"/>
          <c:order val="0"/>
          <c:tx>
            <c:strRef>
              <c:f>'Kulud 2010-2014'!$A$38</c:f>
              <c:strCache>
                <c:ptCount val="1"/>
                <c:pt idx="0">
                  <c:v>Üür ja majandamiskulud RKAS-le </c:v>
                </c:pt>
              </c:strCache>
            </c:strRef>
          </c:tx>
          <c:marker>
            <c:symbol val="none"/>
          </c:marker>
          <c:cat>
            <c:numRef>
              <c:f>'Kulud 2010-2014'!$B$37:$F$37</c:f>
              <c:numCache>
                <c:formatCode>#,##0</c:formatCode>
                <c:ptCount val="5"/>
                <c:pt idx="0">
                  <c:v>2010</c:v>
                </c:pt>
                <c:pt idx="1">
                  <c:v>2011</c:v>
                </c:pt>
                <c:pt idx="2">
                  <c:v>2012</c:v>
                </c:pt>
                <c:pt idx="3">
                  <c:v>2013</c:v>
                </c:pt>
                <c:pt idx="4">
                  <c:v>2014</c:v>
                </c:pt>
              </c:numCache>
            </c:numRef>
          </c:cat>
          <c:val>
            <c:numRef>
              <c:f>'Kulud 2010-2014'!$B$38:$F$38</c:f>
              <c:numCache>
                <c:formatCode>#,##0</c:formatCode>
                <c:ptCount val="5"/>
                <c:pt idx="0">
                  <c:v>19222500.389279976</c:v>
                </c:pt>
                <c:pt idx="1">
                  <c:v>24685896.396000005</c:v>
                </c:pt>
                <c:pt idx="2">
                  <c:v>33323172.743999992</c:v>
                </c:pt>
                <c:pt idx="3">
                  <c:v>39433022.892000005</c:v>
                </c:pt>
                <c:pt idx="4">
                  <c:v>62648172.984000005</c:v>
                </c:pt>
              </c:numCache>
            </c:numRef>
          </c:val>
        </c:ser>
        <c:ser>
          <c:idx val="1"/>
          <c:order val="1"/>
          <c:tx>
            <c:strRef>
              <c:f>'Kulud 2010-2014'!$A$40</c:f>
              <c:strCache>
                <c:ptCount val="1"/>
                <c:pt idx="0">
                  <c:v>Üür teisele riigiasutusele </c:v>
                </c:pt>
              </c:strCache>
            </c:strRef>
          </c:tx>
          <c:marker>
            <c:symbol val="none"/>
          </c:marker>
          <c:cat>
            <c:numRef>
              <c:f>'Kulud 2010-2014'!$B$37:$F$37</c:f>
              <c:numCache>
                <c:formatCode>#,##0</c:formatCode>
                <c:ptCount val="5"/>
                <c:pt idx="0">
                  <c:v>2010</c:v>
                </c:pt>
                <c:pt idx="1">
                  <c:v>2011</c:v>
                </c:pt>
                <c:pt idx="2">
                  <c:v>2012</c:v>
                </c:pt>
                <c:pt idx="3">
                  <c:v>2013</c:v>
                </c:pt>
                <c:pt idx="4">
                  <c:v>2014</c:v>
                </c:pt>
              </c:numCache>
            </c:numRef>
          </c:cat>
          <c:val>
            <c:numRef>
              <c:f>'Kulud 2010-2014'!$B$40:$F$40</c:f>
              <c:numCache>
                <c:formatCode>#,##0</c:formatCode>
                <c:ptCount val="5"/>
                <c:pt idx="0">
                  <c:v>226271.68115999998</c:v>
                </c:pt>
                <c:pt idx="1">
                  <c:v>211308.51599999997</c:v>
                </c:pt>
                <c:pt idx="2">
                  <c:v>167027.71199999997</c:v>
                </c:pt>
                <c:pt idx="3">
                  <c:v>142461.98399999968</c:v>
                </c:pt>
                <c:pt idx="4">
                  <c:v>165770.64000000001</c:v>
                </c:pt>
              </c:numCache>
            </c:numRef>
          </c:val>
        </c:ser>
        <c:ser>
          <c:idx val="2"/>
          <c:order val="2"/>
          <c:tx>
            <c:strRef>
              <c:f>'Kulud 2010-2014'!$A$42</c:f>
              <c:strCache>
                <c:ptCount val="1"/>
                <c:pt idx="0">
                  <c:v>Üür teistele partneritele </c:v>
                </c:pt>
              </c:strCache>
            </c:strRef>
          </c:tx>
          <c:marker>
            <c:symbol val="none"/>
          </c:marker>
          <c:cat>
            <c:numRef>
              <c:f>'Kulud 2010-2014'!$B$37:$F$37</c:f>
              <c:numCache>
                <c:formatCode>#,##0</c:formatCode>
                <c:ptCount val="5"/>
                <c:pt idx="0">
                  <c:v>2010</c:v>
                </c:pt>
                <c:pt idx="1">
                  <c:v>2011</c:v>
                </c:pt>
                <c:pt idx="2">
                  <c:v>2012</c:v>
                </c:pt>
                <c:pt idx="3">
                  <c:v>2013</c:v>
                </c:pt>
                <c:pt idx="4">
                  <c:v>2014</c:v>
                </c:pt>
              </c:numCache>
            </c:numRef>
          </c:cat>
          <c:val>
            <c:numRef>
              <c:f>'Kulud 2010-2014'!$B$42:$F$42</c:f>
              <c:numCache>
                <c:formatCode>#,##0</c:formatCode>
                <c:ptCount val="5"/>
                <c:pt idx="0">
                  <c:v>16179225.034200005</c:v>
                </c:pt>
                <c:pt idx="1">
                  <c:v>17358630.95999999</c:v>
                </c:pt>
                <c:pt idx="2">
                  <c:v>17148385.775999986</c:v>
                </c:pt>
                <c:pt idx="3">
                  <c:v>16986202.979999986</c:v>
                </c:pt>
                <c:pt idx="4">
                  <c:v>16470162.155999992</c:v>
                </c:pt>
              </c:numCache>
            </c:numRef>
          </c:val>
        </c:ser>
        <c:ser>
          <c:idx val="3"/>
          <c:order val="3"/>
          <c:tx>
            <c:strRef>
              <c:f>'Kulud 2010-2014'!$A$44</c:f>
              <c:strCache>
                <c:ptCount val="1"/>
                <c:pt idx="0">
                  <c:v>Muud majandamiskulud</c:v>
                </c:pt>
              </c:strCache>
            </c:strRef>
          </c:tx>
          <c:marker>
            <c:symbol val="none"/>
          </c:marker>
          <c:cat>
            <c:numRef>
              <c:f>'Kulud 2010-2014'!$B$37:$F$37</c:f>
              <c:numCache>
                <c:formatCode>#,##0</c:formatCode>
                <c:ptCount val="5"/>
                <c:pt idx="0">
                  <c:v>2010</c:v>
                </c:pt>
                <c:pt idx="1">
                  <c:v>2011</c:v>
                </c:pt>
                <c:pt idx="2">
                  <c:v>2012</c:v>
                </c:pt>
                <c:pt idx="3">
                  <c:v>2013</c:v>
                </c:pt>
                <c:pt idx="4">
                  <c:v>2014</c:v>
                </c:pt>
              </c:numCache>
            </c:numRef>
          </c:cat>
          <c:val>
            <c:numRef>
              <c:f>'Kulud 2010-2014'!$B$44:$F$44</c:f>
              <c:numCache>
                <c:formatCode>#,##0</c:formatCode>
                <c:ptCount val="5"/>
                <c:pt idx="0">
                  <c:v>54041193.183880024</c:v>
                </c:pt>
                <c:pt idx="1">
                  <c:v>46603273.187999979</c:v>
                </c:pt>
                <c:pt idx="2">
                  <c:v>43238723.423999943</c:v>
                </c:pt>
                <c:pt idx="3">
                  <c:v>40811480.400000066</c:v>
                </c:pt>
                <c:pt idx="4">
                  <c:v>34893734.748000003</c:v>
                </c:pt>
              </c:numCache>
            </c:numRef>
          </c:val>
        </c:ser>
        <c:ser>
          <c:idx val="4"/>
          <c:order val="4"/>
          <c:tx>
            <c:strRef>
              <c:f>'Kulud 2010-2014'!$A$46</c:f>
              <c:strCache>
                <c:ptCount val="1"/>
                <c:pt idx="0">
                  <c:v>Kapitalirendi intress RKAS-le </c:v>
                </c:pt>
              </c:strCache>
            </c:strRef>
          </c:tx>
          <c:marker>
            <c:symbol val="none"/>
          </c:marker>
          <c:cat>
            <c:numRef>
              <c:f>'Kulud 2010-2014'!$B$37:$F$37</c:f>
              <c:numCache>
                <c:formatCode>#,##0</c:formatCode>
                <c:ptCount val="5"/>
                <c:pt idx="0">
                  <c:v>2010</c:v>
                </c:pt>
                <c:pt idx="1">
                  <c:v>2011</c:v>
                </c:pt>
                <c:pt idx="2">
                  <c:v>2012</c:v>
                </c:pt>
                <c:pt idx="3">
                  <c:v>2013</c:v>
                </c:pt>
                <c:pt idx="4">
                  <c:v>2014</c:v>
                </c:pt>
              </c:numCache>
            </c:numRef>
          </c:cat>
          <c:val>
            <c:numRef>
              <c:f>'Kulud 2010-2014'!$B$46:$F$46</c:f>
              <c:numCache>
                <c:formatCode>#,##0</c:formatCode>
                <c:ptCount val="5"/>
                <c:pt idx="0">
                  <c:v>3719522.1153999977</c:v>
                </c:pt>
                <c:pt idx="1">
                  <c:v>4206423.96</c:v>
                </c:pt>
                <c:pt idx="2">
                  <c:v>4175393.0200000005</c:v>
                </c:pt>
                <c:pt idx="3">
                  <c:v>4099326.69</c:v>
                </c:pt>
                <c:pt idx="4">
                  <c:v>4193091.8899999997</c:v>
                </c:pt>
              </c:numCache>
            </c:numRef>
          </c:val>
        </c:ser>
        <c:marker val="1"/>
        <c:axId val="175090304"/>
        <c:axId val="175104384"/>
      </c:lineChart>
      <c:catAx>
        <c:axId val="175090304"/>
        <c:scaling>
          <c:orientation val="minMax"/>
        </c:scaling>
        <c:axPos val="b"/>
        <c:numFmt formatCode="#,##0" sourceLinked="1"/>
        <c:majorTickMark val="none"/>
        <c:tickLblPos val="nextTo"/>
        <c:crossAx val="175104384"/>
        <c:crosses val="autoZero"/>
        <c:auto val="1"/>
        <c:lblAlgn val="ctr"/>
        <c:lblOffset val="100"/>
      </c:catAx>
      <c:valAx>
        <c:axId val="175104384"/>
        <c:scaling>
          <c:orientation val="minMax"/>
        </c:scaling>
        <c:axPos val="l"/>
        <c:numFmt formatCode="#,##0" sourceLinked="1"/>
        <c:majorTickMark val="none"/>
        <c:tickLblPos val="nextTo"/>
        <c:crossAx val="175090304"/>
        <c:crosses val="autoZero"/>
        <c:crossBetween val="between"/>
      </c:valAx>
    </c:plotArea>
    <c:legend>
      <c:legendPos val="b"/>
      <c:txPr>
        <a:bodyPr/>
        <a:lstStyle/>
        <a:p>
          <a:pPr>
            <a:defRPr sz="900"/>
          </a:pPr>
          <a:endParaRPr lang="et-EE"/>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Investeeringud!$A$8</c:f>
              <c:strCache>
                <c:ptCount val="1"/>
                <c:pt idx="0">
                  <c:v>Keskvalitsuse riigieelarvelised asutused</c:v>
                </c:pt>
              </c:strCache>
            </c:strRef>
          </c:tx>
          <c:cat>
            <c:strRef>
              <c:f>Investeeringud!$B$7:$P$7</c:f>
              <c:strCache>
                <c:ptCount val="2"/>
                <c:pt idx="0">
                  <c:v>Aasta keskmine 2005-2009</c:v>
                </c:pt>
                <c:pt idx="1">
                  <c:v>Aasta keskmine 2010-2014</c:v>
                </c:pt>
              </c:strCache>
            </c:strRef>
          </c:cat>
          <c:val>
            <c:numRef>
              <c:f>Investeeringud!$B$8:$P$8</c:f>
              <c:numCache>
                <c:formatCode>_-* #,##0\ _k_r_-;\-* #,##0\ _k_r_-;_-* "-"??\ _k_r_-;_-@_-</c:formatCode>
                <c:ptCount val="2"/>
                <c:pt idx="0">
                  <c:v>54206514.844103999</c:v>
                </c:pt>
                <c:pt idx="1">
                  <c:v>66237977.674775988</c:v>
                </c:pt>
              </c:numCache>
            </c:numRef>
          </c:val>
        </c:ser>
        <c:ser>
          <c:idx val="1"/>
          <c:order val="1"/>
          <c:tx>
            <c:strRef>
              <c:f>Investeeringud!$A$9</c:f>
              <c:strCache>
                <c:ptCount val="1"/>
                <c:pt idx="0">
                  <c:v>Muu keskvalitsus (AÕJI, SA, MTÜ, ÄÜ)</c:v>
                </c:pt>
              </c:strCache>
            </c:strRef>
          </c:tx>
          <c:cat>
            <c:strRef>
              <c:f>Investeeringud!$B$7:$P$7</c:f>
              <c:strCache>
                <c:ptCount val="2"/>
                <c:pt idx="0">
                  <c:v>Aasta keskmine 2005-2009</c:v>
                </c:pt>
                <c:pt idx="1">
                  <c:v>Aasta keskmine 2010-2014</c:v>
                </c:pt>
              </c:strCache>
            </c:strRef>
          </c:cat>
          <c:val>
            <c:numRef>
              <c:f>Investeeringud!$B$9:$P$9</c:f>
              <c:numCache>
                <c:formatCode>_-* #,##0\ _k_r_-;\-* #,##0\ _k_r_-;_-* "-"??\ _k_r_-;_-@_-</c:formatCode>
                <c:ptCount val="2"/>
                <c:pt idx="0">
                  <c:v>114686195.66239198</c:v>
                </c:pt>
                <c:pt idx="1">
                  <c:v>43434259.711919993</c:v>
                </c:pt>
              </c:numCache>
            </c:numRef>
          </c:val>
        </c:ser>
        <c:ser>
          <c:idx val="2"/>
          <c:order val="2"/>
          <c:tx>
            <c:strRef>
              <c:f>Investeeringud!$A$10</c:f>
              <c:strCache>
                <c:ptCount val="1"/>
                <c:pt idx="0">
                  <c:v>Kohalikud omavalitsused (sh SA, MTÜ, AÜ)</c:v>
                </c:pt>
              </c:strCache>
            </c:strRef>
          </c:tx>
          <c:cat>
            <c:strRef>
              <c:f>Investeeringud!$B$7:$P$7</c:f>
              <c:strCache>
                <c:ptCount val="2"/>
                <c:pt idx="0">
                  <c:v>Aasta keskmine 2005-2009</c:v>
                </c:pt>
                <c:pt idx="1">
                  <c:v>Aasta keskmine 2010-2014</c:v>
                </c:pt>
              </c:strCache>
            </c:strRef>
          </c:cat>
          <c:val>
            <c:numRef>
              <c:f>Investeeringud!$B$10:$P$10</c:f>
              <c:numCache>
                <c:formatCode>_-* #,##0\ _k_r_-;\-* #,##0\ _k_r_-;_-* "-"??\ _k_r_-;_-@_-</c:formatCode>
                <c:ptCount val="2"/>
                <c:pt idx="0">
                  <c:v>163786393.18471211</c:v>
                </c:pt>
                <c:pt idx="1">
                  <c:v>117062344.59028798</c:v>
                </c:pt>
              </c:numCache>
            </c:numRef>
          </c:val>
        </c:ser>
        <c:ser>
          <c:idx val="3"/>
          <c:order val="3"/>
          <c:tx>
            <c:strRef>
              <c:f>Investeeringud!$A$11</c:f>
              <c:strCache>
                <c:ptCount val="1"/>
                <c:pt idx="0">
                  <c:v>Muu valitsussektor</c:v>
                </c:pt>
              </c:strCache>
            </c:strRef>
          </c:tx>
          <c:cat>
            <c:strRef>
              <c:f>Investeeringud!$B$7:$P$7</c:f>
              <c:strCache>
                <c:ptCount val="2"/>
                <c:pt idx="0">
                  <c:v>Aasta keskmine 2005-2009</c:v>
                </c:pt>
                <c:pt idx="1">
                  <c:v>Aasta keskmine 2010-2014</c:v>
                </c:pt>
              </c:strCache>
            </c:strRef>
          </c:cat>
          <c:val>
            <c:numRef>
              <c:f>Investeeringud!$B$11:$P$11</c:f>
              <c:numCache>
                <c:formatCode>_-* #,##0\ _k_r_-;\-* #,##0\ _k_r_-;_-* "-"??\ _k_r_-;_-@_-</c:formatCode>
                <c:ptCount val="2"/>
                <c:pt idx="0">
                  <c:v>2565185.0574959987</c:v>
                </c:pt>
                <c:pt idx="1">
                  <c:v>1513328.2779600001</c:v>
                </c:pt>
              </c:numCache>
            </c:numRef>
          </c:val>
        </c:ser>
        <c:gapWidth val="95"/>
        <c:axId val="175186688"/>
        <c:axId val="175188224"/>
      </c:barChart>
      <c:catAx>
        <c:axId val="175186688"/>
        <c:scaling>
          <c:orientation val="minMax"/>
        </c:scaling>
        <c:axPos val="b"/>
        <c:majorTickMark val="none"/>
        <c:tickLblPos val="nextTo"/>
        <c:crossAx val="175188224"/>
        <c:crosses val="autoZero"/>
        <c:auto val="1"/>
        <c:lblAlgn val="ctr"/>
        <c:lblOffset val="100"/>
      </c:catAx>
      <c:valAx>
        <c:axId val="175188224"/>
        <c:scaling>
          <c:orientation val="minMax"/>
        </c:scaling>
        <c:axPos val="l"/>
        <c:majorGridlines/>
        <c:title>
          <c:tx>
            <c:rich>
              <a:bodyPr/>
              <a:lstStyle/>
              <a:p>
                <a:pPr>
                  <a:defRPr/>
                </a:pPr>
                <a:r>
                  <a:rPr lang="en-US"/>
                  <a:t>Eurot aastas</a:t>
                </a:r>
              </a:p>
            </c:rich>
          </c:tx>
        </c:title>
        <c:numFmt formatCode="_-* #,##0\ _k_r_-;\-* #,##0\ _k_r_-;_-* &quot;-&quot;??\ _k_r_-;_-@_-" sourceLinked="1"/>
        <c:majorTickMark val="none"/>
        <c:tickLblPos val="nextTo"/>
        <c:crossAx val="175186688"/>
        <c:crosses val="autoZero"/>
        <c:crossBetween val="between"/>
      </c:valAx>
      <c:dTable>
        <c:showHorzBorder val="1"/>
        <c:showVertBorder val="1"/>
        <c:showOutline val="1"/>
        <c:showKeys val="1"/>
      </c:dTable>
    </c:plotArea>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4871281714785828"/>
          <c:y val="0.11213190950614346"/>
          <c:w val="0.81409951881014875"/>
          <c:h val="0.64704684092941556"/>
        </c:manualLayout>
      </c:layout>
      <c:lineChart>
        <c:grouping val="standard"/>
        <c:ser>
          <c:idx val="0"/>
          <c:order val="0"/>
          <c:tx>
            <c:strRef>
              <c:f>Koondpilt!$F$45</c:f>
              <c:strCache>
                <c:ptCount val="1"/>
                <c:pt idx="0">
                  <c:v>Pessimistlik prognoos</c:v>
                </c:pt>
              </c:strCache>
            </c:strRef>
          </c:tx>
          <c:marker>
            <c:symbol val="none"/>
          </c:marker>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Koondpilt!$G$45:$AK$45</c:f>
              <c:numCache>
                <c:formatCode>#,##0</c:formatCode>
                <c:ptCount val="31"/>
                <c:pt idx="0">
                  <c:v>127.76339549232088</c:v>
                </c:pt>
                <c:pt idx="1">
                  <c:v>129.93969326506533</c:v>
                </c:pt>
                <c:pt idx="2">
                  <c:v>143.61539001324508</c:v>
                </c:pt>
                <c:pt idx="3">
                  <c:v>142.73050749704078</c:v>
                </c:pt>
                <c:pt idx="4">
                  <c:v>149.05038474317436</c:v>
                </c:pt>
                <c:pt idx="5">
                  <c:v>152.03109726709681</c:v>
                </c:pt>
                <c:pt idx="6">
                  <c:v>130.10124097983504</c:v>
                </c:pt>
                <c:pt idx="7">
                  <c:v>133.24508491947913</c:v>
                </c:pt>
                <c:pt idx="8">
                  <c:v>136.42191607903339</c:v>
                </c:pt>
                <c:pt idx="9">
                  <c:v>139.6543064806211</c:v>
                </c:pt>
                <c:pt idx="10">
                  <c:v>142.94665288867134</c:v>
                </c:pt>
                <c:pt idx="11">
                  <c:v>146.30309133543687</c:v>
                </c:pt>
                <c:pt idx="12">
                  <c:v>149.72753405565541</c:v>
                </c:pt>
                <c:pt idx="13">
                  <c:v>150.49118753348054</c:v>
                </c:pt>
                <c:pt idx="14">
                  <c:v>154.0626437316707</c:v>
                </c:pt>
                <c:pt idx="15">
                  <c:v>157.71281510588656</c:v>
                </c:pt>
                <c:pt idx="16">
                  <c:v>161.323670851016</c:v>
                </c:pt>
                <c:pt idx="17">
                  <c:v>164.96319620363047</c:v>
                </c:pt>
                <c:pt idx="18">
                  <c:v>168.62918481579189</c:v>
                </c:pt>
                <c:pt idx="19">
                  <c:v>172.31934430749268</c:v>
                </c:pt>
                <c:pt idx="20">
                  <c:v>176.03129781807144</c:v>
                </c:pt>
                <c:pt idx="21">
                  <c:v>179.7625857647599</c:v>
                </c:pt>
                <c:pt idx="22">
                  <c:v>183.5782008190464</c:v>
                </c:pt>
                <c:pt idx="23">
                  <c:v>187.41098951772707</c:v>
                </c:pt>
                <c:pt idx="24">
                  <c:v>191.29356993986065</c:v>
                </c:pt>
                <c:pt idx="25">
                  <c:v>195.26156713128378</c:v>
                </c:pt>
                <c:pt idx="26">
                  <c:v>199.31686026091677</c:v>
                </c:pt>
                <c:pt idx="27">
                  <c:v>203.46136983940261</c:v>
                </c:pt>
                <c:pt idx="28">
                  <c:v>207.69705862861457</c:v>
                </c:pt>
                <c:pt idx="29">
                  <c:v>212.02593257118923</c:v>
                </c:pt>
                <c:pt idx="30">
                  <c:v>216.45004174050061</c:v>
                </c:pt>
              </c:numCache>
            </c:numRef>
          </c:val>
        </c:ser>
        <c:ser>
          <c:idx val="1"/>
          <c:order val="1"/>
          <c:tx>
            <c:strRef>
              <c:f>Koondpilt!$F$46</c:f>
              <c:strCache>
                <c:ptCount val="1"/>
                <c:pt idx="0">
                  <c:v>Optimistlik prognoos</c:v>
                </c:pt>
              </c:strCache>
            </c:strRef>
          </c:tx>
          <c:spPr>
            <a:ln w="25400" cap="flat" cmpd="sng" algn="ctr">
              <a:solidFill>
                <a:schemeClr val="accent3"/>
              </a:solidFill>
              <a:prstDash val="solid"/>
            </a:ln>
            <a:effectLst/>
          </c:spPr>
          <c:marker>
            <c:symbol val="none"/>
          </c:marker>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Koondpilt!$G$46:$AK$46</c:f>
              <c:numCache>
                <c:formatCode>#,##0</c:formatCode>
                <c:ptCount val="31"/>
                <c:pt idx="0">
                  <c:v>144.19412193061581</c:v>
                </c:pt>
                <c:pt idx="1">
                  <c:v>150.56039754359841</c:v>
                </c:pt>
                <c:pt idx="2">
                  <c:v>169.27766046489492</c:v>
                </c:pt>
                <c:pt idx="3">
                  <c:v>173.61555318248136</c:v>
                </c:pt>
                <c:pt idx="4">
                  <c:v>185.14072351005828</c:v>
                </c:pt>
                <c:pt idx="5">
                  <c:v>193.64126839930032</c:v>
                </c:pt>
                <c:pt idx="6">
                  <c:v>177.6331029798408</c:v>
                </c:pt>
                <c:pt idx="7">
                  <c:v>187.15258942805929</c:v>
                </c:pt>
                <c:pt idx="8">
                  <c:v>197.00495228423978</c:v>
                </c:pt>
                <c:pt idx="9">
                  <c:v>207.24476517768102</c:v>
                </c:pt>
                <c:pt idx="10">
                  <c:v>217.90211062162501</c:v>
                </c:pt>
                <c:pt idx="11">
                  <c:v>229.00777819484929</c:v>
                </c:pt>
                <c:pt idx="12">
                  <c:v>240.53187831444347</c:v>
                </c:pt>
                <c:pt idx="13">
                  <c:v>249.6977210564188</c:v>
                </c:pt>
                <c:pt idx="14">
                  <c:v>262.20802452113833</c:v>
                </c:pt>
                <c:pt idx="15">
                  <c:v>274.75457962494107</c:v>
                </c:pt>
                <c:pt idx="16">
                  <c:v>287.46189861262025</c:v>
                </c:pt>
                <c:pt idx="17">
                  <c:v>300.49818461264124</c:v>
                </c:pt>
                <c:pt idx="18">
                  <c:v>313.55627071890694</c:v>
                </c:pt>
                <c:pt idx="19">
                  <c:v>326.58411114615194</c:v>
                </c:pt>
                <c:pt idx="20">
                  <c:v>339.74462668956284</c:v>
                </c:pt>
                <c:pt idx="21">
                  <c:v>353.21904681032476</c:v>
                </c:pt>
                <c:pt idx="22">
                  <c:v>367.0861924119065</c:v>
                </c:pt>
                <c:pt idx="23">
                  <c:v>381.18272524429153</c:v>
                </c:pt>
                <c:pt idx="24">
                  <c:v>395.57937605750323</c:v>
                </c:pt>
                <c:pt idx="25">
                  <c:v>410.33227085338211</c:v>
                </c:pt>
                <c:pt idx="26">
                  <c:v>425.29402904477689</c:v>
                </c:pt>
                <c:pt idx="27">
                  <c:v>440.43514656655486</c:v>
                </c:pt>
                <c:pt idx="28">
                  <c:v>455.7073849707196</c:v>
                </c:pt>
                <c:pt idx="29">
                  <c:v>471.17266266140433</c:v>
                </c:pt>
                <c:pt idx="30">
                  <c:v>486.767106276905</c:v>
                </c:pt>
              </c:numCache>
            </c:numRef>
          </c:val>
        </c:ser>
        <c:ser>
          <c:idx val="2"/>
          <c:order val="2"/>
          <c:tx>
            <c:strRef>
              <c:f>Koondpilt!$F$47</c:f>
              <c:strCache>
                <c:ptCount val="1"/>
                <c:pt idx="0">
                  <c:v>Keskmine prognoos</c:v>
                </c:pt>
              </c:strCache>
            </c:strRef>
          </c:tx>
          <c:spPr>
            <a:ln w="25400" cap="flat" cmpd="sng" algn="ctr">
              <a:solidFill>
                <a:schemeClr val="accent2"/>
              </a:solidFill>
              <a:prstDash val="solid"/>
            </a:ln>
            <a:effectLst/>
          </c:spPr>
          <c:marker>
            <c:symbol val="none"/>
          </c:marker>
          <c:cat>
            <c:numRef>
              <c:f>Koondpilt!$G$44:$AK$44</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Koondpilt!$G$47:$AK$47</c:f>
              <c:numCache>
                <c:formatCode>#,##0</c:formatCode>
                <c:ptCount val="31"/>
                <c:pt idx="0">
                  <c:v>135.97875871146832</c:v>
                </c:pt>
                <c:pt idx="1">
                  <c:v>140.25004540433218</c:v>
                </c:pt>
                <c:pt idx="2">
                  <c:v>156.44652523906967</c:v>
                </c:pt>
                <c:pt idx="3">
                  <c:v>158.17303033976088</c:v>
                </c:pt>
                <c:pt idx="4">
                  <c:v>167.09555412661592</c:v>
                </c:pt>
                <c:pt idx="5">
                  <c:v>172.83618283319854</c:v>
                </c:pt>
                <c:pt idx="6">
                  <c:v>153.86717197983839</c:v>
                </c:pt>
                <c:pt idx="7">
                  <c:v>160.19883717376968</c:v>
                </c:pt>
                <c:pt idx="8">
                  <c:v>166.71343418163625</c:v>
                </c:pt>
                <c:pt idx="9">
                  <c:v>173.44953582914994</c:v>
                </c:pt>
                <c:pt idx="10">
                  <c:v>180.42438175514815</c:v>
                </c:pt>
                <c:pt idx="11">
                  <c:v>187.65543476514318</c:v>
                </c:pt>
                <c:pt idx="12">
                  <c:v>195.12970618504934</c:v>
                </c:pt>
                <c:pt idx="13">
                  <c:v>200.09445429494832</c:v>
                </c:pt>
                <c:pt idx="14">
                  <c:v>208.13533412640453</c:v>
                </c:pt>
                <c:pt idx="15">
                  <c:v>216.2336973654136</c:v>
                </c:pt>
                <c:pt idx="16">
                  <c:v>224.39278473181753</c:v>
                </c:pt>
                <c:pt idx="17">
                  <c:v>232.73069040813579</c:v>
                </c:pt>
                <c:pt idx="18">
                  <c:v>241.09272776734949</c:v>
                </c:pt>
                <c:pt idx="19">
                  <c:v>249.45172772682233</c:v>
                </c:pt>
                <c:pt idx="20">
                  <c:v>257.88796225381685</c:v>
                </c:pt>
                <c:pt idx="21">
                  <c:v>266.49081628754175</c:v>
                </c:pt>
                <c:pt idx="22">
                  <c:v>275.33219661547713</c:v>
                </c:pt>
                <c:pt idx="23">
                  <c:v>284.29685738100869</c:v>
                </c:pt>
                <c:pt idx="24">
                  <c:v>293.43647299868042</c:v>
                </c:pt>
                <c:pt idx="25">
                  <c:v>302.79691899233126</c:v>
                </c:pt>
                <c:pt idx="26">
                  <c:v>312.30544465284731</c:v>
                </c:pt>
                <c:pt idx="27">
                  <c:v>321.94825820297774</c:v>
                </c:pt>
                <c:pt idx="28">
                  <c:v>331.70222179966731</c:v>
                </c:pt>
                <c:pt idx="29">
                  <c:v>341.59929761629616</c:v>
                </c:pt>
                <c:pt idx="30">
                  <c:v>351.60857400870321</c:v>
                </c:pt>
              </c:numCache>
            </c:numRef>
          </c:val>
        </c:ser>
        <c:marker val="1"/>
        <c:axId val="175220608"/>
        <c:axId val="175222144"/>
      </c:lineChart>
      <c:catAx>
        <c:axId val="175220608"/>
        <c:scaling>
          <c:orientation val="minMax"/>
        </c:scaling>
        <c:axPos val="b"/>
        <c:numFmt formatCode="General" sourceLinked="1"/>
        <c:tickLblPos val="nextTo"/>
        <c:crossAx val="175222144"/>
        <c:crosses val="autoZero"/>
        <c:auto val="1"/>
        <c:lblAlgn val="l"/>
        <c:lblOffset val="100"/>
      </c:catAx>
      <c:valAx>
        <c:axId val="175222144"/>
        <c:scaling>
          <c:orientation val="minMax"/>
        </c:scaling>
        <c:axPos val="l"/>
        <c:majorGridlines/>
        <c:title>
          <c:tx>
            <c:rich>
              <a:bodyPr rot="-5400000" vert="horz"/>
              <a:lstStyle/>
              <a:p>
                <a:pPr>
                  <a:defRPr/>
                </a:pPr>
                <a:r>
                  <a:rPr lang="et-EE"/>
                  <a:t>mln EUR</a:t>
                </a:r>
              </a:p>
            </c:rich>
          </c:tx>
        </c:title>
        <c:numFmt formatCode="#,##0" sourceLinked="1"/>
        <c:tickLblPos val="nextTo"/>
        <c:crossAx val="175220608"/>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lineChart>
        <c:grouping val="standard"/>
        <c:ser>
          <c:idx val="0"/>
          <c:order val="0"/>
          <c:tx>
            <c:strRef>
              <c:f>'KOOND STS_S'!$B$74</c:f>
              <c:strCache>
                <c:ptCount val="1"/>
                <c:pt idx="0">
                  <c:v>Pessimistlik prognoos</c:v>
                </c:pt>
              </c:strCache>
            </c:strRef>
          </c:tx>
          <c:spPr>
            <a:ln>
              <a:prstDash val="dash"/>
            </a:ln>
          </c:spPr>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STS_S'!$C$74:$AG$74</c:f>
              <c:numCache>
                <c:formatCode>General</c:formatCode>
                <c:ptCount val="31"/>
                <c:pt idx="0">
                  <c:v>-41.309753661324294</c:v>
                </c:pt>
                <c:pt idx="1">
                  <c:v>-184.22574508443441</c:v>
                </c:pt>
                <c:pt idx="2">
                  <c:v>-274.36611513091265</c:v>
                </c:pt>
                <c:pt idx="3">
                  <c:v>-331.86709588484541</c:v>
                </c:pt>
                <c:pt idx="4">
                  <c:v>-355.31175854396059</c:v>
                </c:pt>
                <c:pt idx="5">
                  <c:v>-384.17098297015701</c:v>
                </c:pt>
                <c:pt idx="6">
                  <c:v>-429.11991193063056</c:v>
                </c:pt>
                <c:pt idx="7">
                  <c:v>-475.65135153984932</c:v>
                </c:pt>
                <c:pt idx="8">
                  <c:v>-523.78190651095304</c:v>
                </c:pt>
                <c:pt idx="9">
                  <c:v>-573.53954359224088</c:v>
                </c:pt>
                <c:pt idx="10">
                  <c:v>-624.95444272283044</c:v>
                </c:pt>
                <c:pt idx="11">
                  <c:v>-678.05886578839693</c:v>
                </c:pt>
                <c:pt idx="12">
                  <c:v>-732.88704396865853</c:v>
                </c:pt>
                <c:pt idx="13">
                  <c:v>-792.2075971852197</c:v>
                </c:pt>
                <c:pt idx="14">
                  <c:v>-864.86935847778079</c:v>
                </c:pt>
                <c:pt idx="15">
                  <c:v>-927.82504841042248</c:v>
                </c:pt>
                <c:pt idx="16">
                  <c:v>-992.59832782188755</c:v>
                </c:pt>
                <c:pt idx="17">
                  <c:v>-1059.2036280770874</c:v>
                </c:pt>
                <c:pt idx="18">
                  <c:v>-1127.6542699358308</c:v>
                </c:pt>
                <c:pt idx="19">
                  <c:v>-1198.0033247106408</c:v>
                </c:pt>
                <c:pt idx="20">
                  <c:v>-1270.1799538875377</c:v>
                </c:pt>
                <c:pt idx="21">
                  <c:v>-1389.8248023028198</c:v>
                </c:pt>
                <c:pt idx="22">
                  <c:v>-1465.8003014597066</c:v>
                </c:pt>
                <c:pt idx="23">
                  <c:v>-1547.9292586433003</c:v>
                </c:pt>
                <c:pt idx="24">
                  <c:v>-1627.788428245354</c:v>
                </c:pt>
                <c:pt idx="25">
                  <c:v>-1709.6449609259428</c:v>
                </c:pt>
                <c:pt idx="26">
                  <c:v>-1793.5427986727452</c:v>
                </c:pt>
                <c:pt idx="27">
                  <c:v>-1879.5268501972448</c:v>
                </c:pt>
                <c:pt idx="28">
                  <c:v>-1967.6430122024926</c:v>
                </c:pt>
                <c:pt idx="29">
                  <c:v>-2057.9381911191599</c:v>
                </c:pt>
                <c:pt idx="30">
                  <c:v>-2150.4603253192308</c:v>
                </c:pt>
              </c:numCache>
            </c:numRef>
          </c:val>
        </c:ser>
        <c:ser>
          <c:idx val="1"/>
          <c:order val="1"/>
          <c:tx>
            <c:strRef>
              <c:f>'KOOND STS_S'!$B$75</c:f>
              <c:strCache>
                <c:ptCount val="1"/>
                <c:pt idx="0">
                  <c:v>Keskmine prognoos</c:v>
                </c:pt>
              </c:strCache>
            </c:strRef>
          </c:tx>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STS_S'!$C$75:$AG$75</c:f>
              <c:numCache>
                <c:formatCode>General</c:formatCode>
                <c:ptCount val="31"/>
                <c:pt idx="0">
                  <c:v>-33.094390442177314</c:v>
                </c:pt>
                <c:pt idx="1">
                  <c:v>-165.70002972602072</c:v>
                </c:pt>
                <c:pt idx="2">
                  <c:v>-243.00926454667376</c:v>
                </c:pt>
                <c:pt idx="3">
                  <c:v>-285.06772245788193</c:v>
                </c:pt>
                <c:pt idx="4">
                  <c:v>-290.46721573355904</c:v>
                </c:pt>
                <c:pt idx="5">
                  <c:v>-298.52135459365354</c:v>
                </c:pt>
                <c:pt idx="6">
                  <c:v>-319.70435255412383</c:v>
                </c:pt>
                <c:pt idx="7">
                  <c:v>-339.28203990905155</c:v>
                </c:pt>
                <c:pt idx="8">
                  <c:v>-357.12107677755125</c:v>
                </c:pt>
                <c:pt idx="9">
                  <c:v>-373.08348451030986</c:v>
                </c:pt>
                <c:pt idx="10">
                  <c:v>-387.02065477442267</c:v>
                </c:pt>
                <c:pt idx="11">
                  <c:v>-398.77273441027728</c:v>
                </c:pt>
                <c:pt idx="12">
                  <c:v>-408.19874046114865</c:v>
                </c:pt>
                <c:pt idx="13">
                  <c:v>-417.91602691624678</c:v>
                </c:pt>
                <c:pt idx="14">
                  <c:v>-436.5050978140693</c:v>
                </c:pt>
                <c:pt idx="15">
                  <c:v>-440.93990548718074</c:v>
                </c:pt>
                <c:pt idx="16">
                  <c:v>-442.64407101785105</c:v>
                </c:pt>
                <c:pt idx="17">
                  <c:v>-441.48187706853713</c:v>
                </c:pt>
                <c:pt idx="18">
                  <c:v>-437.46897597574269</c:v>
                </c:pt>
                <c:pt idx="19">
                  <c:v>-430.68564733120871</c:v>
                </c:pt>
                <c:pt idx="20">
                  <c:v>-421.00561207235882</c:v>
                </c:pt>
                <c:pt idx="21">
                  <c:v>-453.92222996486174</c:v>
                </c:pt>
                <c:pt idx="22">
                  <c:v>-438.14373332531738</c:v>
                </c:pt>
                <c:pt idx="23">
                  <c:v>-423.38682264562294</c:v>
                </c:pt>
                <c:pt idx="24">
                  <c:v>-401.10308918887517</c:v>
                </c:pt>
                <c:pt idx="25">
                  <c:v>-375.42427000839899</c:v>
                </c:pt>
                <c:pt idx="26">
                  <c:v>-346.33352336327113</c:v>
                </c:pt>
                <c:pt idx="27">
                  <c:v>-313.83068652417984</c:v>
                </c:pt>
                <c:pt idx="28">
                  <c:v>-277.9416853584064</c:v>
                </c:pt>
                <c:pt idx="29">
                  <c:v>-238.66349922994732</c:v>
                </c:pt>
                <c:pt idx="30">
                  <c:v>-196.02710116181692</c:v>
                </c:pt>
              </c:numCache>
            </c:numRef>
          </c:val>
        </c:ser>
        <c:ser>
          <c:idx val="2"/>
          <c:order val="2"/>
          <c:tx>
            <c:strRef>
              <c:f>'KOOND STS_S'!$B$76</c:f>
              <c:strCache>
                <c:ptCount val="1"/>
                <c:pt idx="0">
                  <c:v>Optimistlik prognoos</c:v>
                </c:pt>
              </c:strCache>
            </c:strRef>
          </c:tx>
          <c:spPr>
            <a:ln>
              <a:prstDash val="sysDot"/>
            </a:ln>
          </c:spPr>
          <c:marker>
            <c:symbol val="none"/>
          </c:marker>
          <c:cat>
            <c:numRef>
              <c:f>'KOOND STS_S'!$C$73:$AG$73</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STS_S'!$C$76:$AG$76</c:f>
              <c:numCache>
                <c:formatCode>General</c:formatCode>
                <c:ptCount val="31"/>
                <c:pt idx="0">
                  <c:v>-24.879027223029436</c:v>
                </c:pt>
                <c:pt idx="1">
                  <c:v>-147.17431436760711</c:v>
                </c:pt>
                <c:pt idx="2">
                  <c:v>-211.65241396243738</c:v>
                </c:pt>
                <c:pt idx="3">
                  <c:v>-238.26834903092504</c:v>
                </c:pt>
                <c:pt idx="4">
                  <c:v>-225.62267292315545</c:v>
                </c:pt>
                <c:pt idx="5">
                  <c:v>-212.87172621715021</c:v>
                </c:pt>
                <c:pt idx="6">
                  <c:v>-210.28879317761709</c:v>
                </c:pt>
                <c:pt idx="7">
                  <c:v>-202.9127282782548</c:v>
                </c:pt>
                <c:pt idx="8">
                  <c:v>-190.460247044151</c:v>
                </c:pt>
                <c:pt idx="9">
                  <c:v>-172.62742542837879</c:v>
                </c:pt>
                <c:pt idx="10">
                  <c:v>-149.08686682601487</c:v>
                </c:pt>
                <c:pt idx="11">
                  <c:v>-119.48660303216792</c:v>
                </c:pt>
                <c:pt idx="12">
                  <c:v>-83.510436953640209</c:v>
                </c:pt>
                <c:pt idx="13">
                  <c:v>-43.624456647273597</c:v>
                </c:pt>
                <c:pt idx="14">
                  <c:v>-8.1408371503574219</c:v>
                </c:pt>
                <c:pt idx="15">
                  <c:v>45.945237436051912</c:v>
                </c:pt>
                <c:pt idx="16">
                  <c:v>107.31018578619376</c:v>
                </c:pt>
                <c:pt idx="17">
                  <c:v>176.23987394000432</c:v>
                </c:pt>
                <c:pt idx="18">
                  <c:v>252.71631798436078</c:v>
                </c:pt>
                <c:pt idx="19">
                  <c:v>336.63203004822111</c:v>
                </c:pt>
                <c:pt idx="20">
                  <c:v>428.16872974281893</c:v>
                </c:pt>
                <c:pt idx="21">
                  <c:v>481.98034237309895</c:v>
                </c:pt>
                <c:pt idx="22">
                  <c:v>589.51283480907625</c:v>
                </c:pt>
                <c:pt idx="23">
                  <c:v>701.15561335205086</c:v>
                </c:pt>
                <c:pt idx="24">
                  <c:v>825.58224986761934</c:v>
                </c:pt>
                <c:pt idx="25">
                  <c:v>958.79642090914854</c:v>
                </c:pt>
                <c:pt idx="26">
                  <c:v>1100.8757519462217</c:v>
                </c:pt>
                <c:pt idx="27">
                  <c:v>1251.8654771488705</c:v>
                </c:pt>
                <c:pt idx="28">
                  <c:v>1411.7596414857112</c:v>
                </c:pt>
                <c:pt idx="29">
                  <c:v>1580.6111926592598</c:v>
                </c:pt>
                <c:pt idx="30">
                  <c:v>1758.4061229955939</c:v>
                </c:pt>
              </c:numCache>
            </c:numRef>
          </c:val>
        </c:ser>
        <c:marker val="1"/>
        <c:axId val="175272704"/>
        <c:axId val="175274240"/>
      </c:lineChart>
      <c:catAx>
        <c:axId val="175272704"/>
        <c:scaling>
          <c:orientation val="minMax"/>
        </c:scaling>
        <c:axPos val="b"/>
        <c:numFmt formatCode="General" sourceLinked="1"/>
        <c:tickLblPos val="nextTo"/>
        <c:crossAx val="175274240"/>
        <c:crosses val="autoZero"/>
        <c:auto val="1"/>
        <c:lblAlgn val="ctr"/>
        <c:lblOffset val="100"/>
      </c:catAx>
      <c:valAx>
        <c:axId val="175274240"/>
        <c:scaling>
          <c:orientation val="minMax"/>
        </c:scaling>
        <c:axPos val="l"/>
        <c:majorGridlines/>
        <c:title>
          <c:tx>
            <c:rich>
              <a:bodyPr rot="-5400000" vert="horz"/>
              <a:lstStyle/>
              <a:p>
                <a:pPr>
                  <a:defRPr sz="1000"/>
                </a:pPr>
                <a:r>
                  <a:rPr lang="et-EE" sz="1000"/>
                  <a:t>mln EUR</a:t>
                </a:r>
              </a:p>
            </c:rich>
          </c:tx>
        </c:title>
        <c:numFmt formatCode="General" sourceLinked="1"/>
        <c:tickLblPos val="nextTo"/>
        <c:crossAx val="175272704"/>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'Koond STS1_2_3_4'!$C$49</c:f>
              <c:strCache>
                <c:ptCount val="1"/>
                <c:pt idx="0">
                  <c:v>Detsentraliseeritud</c:v>
                </c:pt>
              </c:strCache>
            </c:strRef>
          </c:tx>
          <c:cat>
            <c:strRef>
              <c:f>'Koond STS1_2_3_4'!$B$50:$B$52</c:f>
              <c:strCache>
                <c:ptCount val="3"/>
                <c:pt idx="0">
                  <c:v>Mittevajalik portfell</c:v>
                </c:pt>
                <c:pt idx="1">
                  <c:v>Riigi portfell</c:v>
                </c:pt>
                <c:pt idx="2">
                  <c:v>RKASi portfell</c:v>
                </c:pt>
              </c:strCache>
            </c:strRef>
          </c:cat>
          <c:val>
            <c:numRef>
              <c:f>'Koond STS1_2_3_4'!$C$50:$C$52</c:f>
              <c:numCache>
                <c:formatCode>#,##0</c:formatCode>
                <c:ptCount val="3"/>
                <c:pt idx="0">
                  <c:v>160.95640000000162</c:v>
                </c:pt>
                <c:pt idx="1">
                  <c:v>816.8725000000004</c:v>
                </c:pt>
                <c:pt idx="2">
                  <c:v>542.42939999999942</c:v>
                </c:pt>
              </c:numCache>
            </c:numRef>
          </c:val>
        </c:ser>
        <c:ser>
          <c:idx val="1"/>
          <c:order val="1"/>
          <c:tx>
            <c:strRef>
              <c:f>'Koond STS1_2_3_4'!$D$49</c:f>
              <c:strCache>
                <c:ptCount val="1"/>
                <c:pt idx="0">
                  <c:v>Tsentraliseeritud</c:v>
                </c:pt>
              </c:strCache>
            </c:strRef>
          </c:tx>
          <c:cat>
            <c:strRef>
              <c:f>'Koond STS1_2_3_4'!$B$50:$B$52</c:f>
              <c:strCache>
                <c:ptCount val="3"/>
                <c:pt idx="0">
                  <c:v>Mittevajalik portfell</c:v>
                </c:pt>
                <c:pt idx="1">
                  <c:v>Riigi portfell</c:v>
                </c:pt>
                <c:pt idx="2">
                  <c:v>RKASi portfell</c:v>
                </c:pt>
              </c:strCache>
            </c:strRef>
          </c:cat>
          <c:val>
            <c:numRef>
              <c:f>'Koond STS1_2_3_4'!$D$50:$D$52</c:f>
              <c:numCache>
                <c:formatCode>#,##0</c:formatCode>
                <c:ptCount val="3"/>
                <c:pt idx="0">
                  <c:v>160.95640000000162</c:v>
                </c:pt>
                <c:pt idx="1">
                  <c:v>27.092800000000004</c:v>
                </c:pt>
                <c:pt idx="2">
                  <c:v>1332.2091000000005</c:v>
                </c:pt>
              </c:numCache>
            </c:numRef>
          </c:val>
        </c:ser>
        <c:axId val="175286912"/>
        <c:axId val="175305088"/>
      </c:barChart>
      <c:catAx>
        <c:axId val="175286912"/>
        <c:scaling>
          <c:orientation val="minMax"/>
        </c:scaling>
        <c:axPos val="b"/>
        <c:tickLblPos val="nextTo"/>
        <c:crossAx val="175305088"/>
        <c:crosses val="autoZero"/>
        <c:auto val="1"/>
        <c:lblAlgn val="ctr"/>
        <c:lblOffset val="100"/>
      </c:catAx>
      <c:valAx>
        <c:axId val="175305088"/>
        <c:scaling>
          <c:orientation val="minMax"/>
        </c:scaling>
        <c:axPos val="l"/>
        <c:majorGridlines/>
        <c:title>
          <c:tx>
            <c:rich>
              <a:bodyPr rot="-5400000" vert="horz"/>
              <a:lstStyle/>
              <a:p>
                <a:pPr>
                  <a:defRPr/>
                </a:pPr>
                <a:r>
                  <a:rPr lang="et-EE"/>
                  <a:t>1000</a:t>
                </a:r>
                <a:r>
                  <a:rPr lang="et-EE" baseline="0"/>
                  <a:t> m2</a:t>
                </a:r>
                <a:endParaRPr lang="et-EE"/>
              </a:p>
            </c:rich>
          </c:tx>
        </c:title>
        <c:numFmt formatCode="#,##0" sourceLinked="1"/>
        <c:tickLblPos val="nextTo"/>
        <c:crossAx val="175286912"/>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t-EE"/>
  <c:chart>
    <c:title>
      <c:tx>
        <c:rich>
          <a:bodyPr/>
          <a:lstStyle/>
          <a:p>
            <a:pPr algn="ctr">
              <a:defRPr sz="1200">
                <a:latin typeface="Times New Roman" pitchFamily="18" charset="0"/>
                <a:cs typeface="Times New Roman" pitchFamily="18" charset="0"/>
              </a:defRPr>
            </a:pPr>
            <a:r>
              <a:rPr lang="et-EE" sz="1200" b="1" i="0" u="none" strike="noStrike" baseline="0">
                <a:latin typeface="Times New Roman" pitchFamily="18" charset="0"/>
                <a:cs typeface="Times New Roman" pitchFamily="18" charset="0"/>
              </a:rPr>
              <a:t>Analüüsitud portfelli maht sõltuvalt strateegilisest valikust</a:t>
            </a:r>
            <a:endParaRPr lang="et-EE" sz="1200" b="1" i="0" baseline="0">
              <a:latin typeface="Times New Roman" pitchFamily="18" charset="0"/>
              <a:cs typeface="Times New Roman" pitchFamily="18" charset="0"/>
            </a:endParaRPr>
          </a:p>
        </c:rich>
      </c:tx>
    </c:title>
    <c:plotArea>
      <c:layout/>
      <c:barChart>
        <c:barDir val="col"/>
        <c:grouping val="clustered"/>
        <c:ser>
          <c:idx val="0"/>
          <c:order val="0"/>
          <c:tx>
            <c:strRef>
              <c:f>'Koond STS1_2_3_4'!$C$49</c:f>
              <c:strCache>
                <c:ptCount val="1"/>
                <c:pt idx="0">
                  <c:v>Detsentraliseeritud</c:v>
                </c:pt>
              </c:strCache>
            </c:strRef>
          </c:tx>
          <c:cat>
            <c:strRef>
              <c:f>'Koond STS1_2_3_4'!$B$50:$B$52</c:f>
              <c:strCache>
                <c:ptCount val="3"/>
                <c:pt idx="0">
                  <c:v>Mittevajalik portfell</c:v>
                </c:pt>
                <c:pt idx="1">
                  <c:v>Riigi portfell</c:v>
                </c:pt>
                <c:pt idx="2">
                  <c:v>RKASi portfell</c:v>
                </c:pt>
              </c:strCache>
            </c:strRef>
          </c:cat>
          <c:val>
            <c:numRef>
              <c:f>'Koond STS1_2_3_4'!$C$50:$C$52</c:f>
              <c:numCache>
                <c:formatCode>#,##0</c:formatCode>
                <c:ptCount val="3"/>
                <c:pt idx="0">
                  <c:v>160.95640000000168</c:v>
                </c:pt>
                <c:pt idx="1">
                  <c:v>816.8725000000004</c:v>
                </c:pt>
                <c:pt idx="2">
                  <c:v>542.42939999999942</c:v>
                </c:pt>
              </c:numCache>
            </c:numRef>
          </c:val>
        </c:ser>
        <c:ser>
          <c:idx val="1"/>
          <c:order val="1"/>
          <c:tx>
            <c:strRef>
              <c:f>'Koond STS1_2_3_4'!$D$49</c:f>
              <c:strCache>
                <c:ptCount val="1"/>
                <c:pt idx="0">
                  <c:v>Tsentraliseeritud</c:v>
                </c:pt>
              </c:strCache>
            </c:strRef>
          </c:tx>
          <c:cat>
            <c:strRef>
              <c:f>'Koond STS1_2_3_4'!$B$50:$B$52</c:f>
              <c:strCache>
                <c:ptCount val="3"/>
                <c:pt idx="0">
                  <c:v>Mittevajalik portfell</c:v>
                </c:pt>
                <c:pt idx="1">
                  <c:v>Riigi portfell</c:v>
                </c:pt>
                <c:pt idx="2">
                  <c:v>RKASi portfell</c:v>
                </c:pt>
              </c:strCache>
            </c:strRef>
          </c:cat>
          <c:val>
            <c:numRef>
              <c:f>'Koond STS1_2_3_4'!$D$50:$D$52</c:f>
              <c:numCache>
                <c:formatCode>#,##0</c:formatCode>
                <c:ptCount val="3"/>
                <c:pt idx="0">
                  <c:v>160.95640000000168</c:v>
                </c:pt>
                <c:pt idx="1">
                  <c:v>27.092800000000004</c:v>
                </c:pt>
                <c:pt idx="2">
                  <c:v>1332.2091000000005</c:v>
                </c:pt>
              </c:numCache>
            </c:numRef>
          </c:val>
        </c:ser>
        <c:axId val="181262592"/>
        <c:axId val="181268480"/>
      </c:barChart>
      <c:catAx>
        <c:axId val="181262592"/>
        <c:scaling>
          <c:orientation val="minMax"/>
        </c:scaling>
        <c:axPos val="b"/>
        <c:tickLblPos val="nextTo"/>
        <c:crossAx val="181268480"/>
        <c:crosses val="autoZero"/>
        <c:auto val="1"/>
        <c:lblAlgn val="ctr"/>
        <c:lblOffset val="100"/>
      </c:catAx>
      <c:valAx>
        <c:axId val="181268480"/>
        <c:scaling>
          <c:orientation val="minMax"/>
        </c:scaling>
        <c:axPos val="l"/>
        <c:majorGridlines/>
        <c:title>
          <c:tx>
            <c:rich>
              <a:bodyPr rot="-5400000" vert="horz"/>
              <a:lstStyle/>
              <a:p>
                <a:pPr>
                  <a:defRPr/>
                </a:pPr>
                <a:r>
                  <a:rPr lang="et-EE"/>
                  <a:t>1000</a:t>
                </a:r>
                <a:r>
                  <a:rPr lang="et-EE" baseline="0"/>
                  <a:t> m2</a:t>
                </a:r>
                <a:endParaRPr lang="et-EE"/>
              </a:p>
            </c:rich>
          </c:tx>
        </c:title>
        <c:numFmt formatCode="#,##0" sourceLinked="1"/>
        <c:tickLblPos val="nextTo"/>
        <c:crossAx val="181262592"/>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barChart>
        <c:barDir val="col"/>
        <c:grouping val="clustered"/>
        <c:ser>
          <c:idx val="0"/>
          <c:order val="0"/>
          <c:tx>
            <c:strRef>
              <c:f>'Koond STS1_2_3_4'!$H$72</c:f>
              <c:strCache>
                <c:ptCount val="1"/>
                <c:pt idx="0">
                  <c:v>Detsentraliseeritud</c:v>
                </c:pt>
              </c:strCache>
            </c:strRef>
          </c:tx>
          <c:cat>
            <c:strRef>
              <c:f>'Koond STS1_2_3_4'!$F$73:$G$76</c:f>
              <c:strCache>
                <c:ptCount val="4"/>
                <c:pt idx="0">
                  <c:v>RKAS Kasutusrendi portfell</c:v>
                </c:pt>
                <c:pt idx="1">
                  <c:v>RKAS Investeeringu portfell</c:v>
                </c:pt>
                <c:pt idx="2">
                  <c:v>RKAS PPP portfell</c:v>
                </c:pt>
                <c:pt idx="3">
                  <c:v>RKAS Kapitalirendi portfell</c:v>
                </c:pt>
              </c:strCache>
            </c:strRef>
          </c:cat>
          <c:val>
            <c:numRef>
              <c:f>'Koond STS1_2_3_4'!$H$73:$H$76</c:f>
              <c:numCache>
                <c:formatCode>#,##0</c:formatCode>
                <c:ptCount val="4"/>
                <c:pt idx="0">
                  <c:v>138.9822000000018</c:v>
                </c:pt>
                <c:pt idx="1">
                  <c:v>394.70719999999869</c:v>
                </c:pt>
                <c:pt idx="2">
                  <c:v>0</c:v>
                </c:pt>
                <c:pt idx="3">
                  <c:v>8.74</c:v>
                </c:pt>
              </c:numCache>
            </c:numRef>
          </c:val>
        </c:ser>
        <c:ser>
          <c:idx val="1"/>
          <c:order val="1"/>
          <c:tx>
            <c:strRef>
              <c:f>'Koond STS1_2_3_4'!$I$72</c:f>
              <c:strCache>
                <c:ptCount val="1"/>
                <c:pt idx="0">
                  <c:v>Tsentraliseeritud</c:v>
                </c:pt>
              </c:strCache>
            </c:strRef>
          </c:tx>
          <c:cat>
            <c:strRef>
              <c:f>'Koond STS1_2_3_4'!$F$73:$G$76</c:f>
              <c:strCache>
                <c:ptCount val="4"/>
                <c:pt idx="0">
                  <c:v>RKAS Kasutusrendi portfell</c:v>
                </c:pt>
                <c:pt idx="1">
                  <c:v>RKAS Investeeringu portfell</c:v>
                </c:pt>
                <c:pt idx="2">
                  <c:v>RKAS PPP portfell</c:v>
                </c:pt>
                <c:pt idx="3">
                  <c:v>RKAS Kapitalirendi portfell</c:v>
                </c:pt>
              </c:strCache>
            </c:strRef>
          </c:cat>
          <c:val>
            <c:numRef>
              <c:f>'Koond STS1_2_3_4'!$I$73:$I$76</c:f>
              <c:numCache>
                <c:formatCode>#,##0</c:formatCode>
                <c:ptCount val="4"/>
                <c:pt idx="0">
                  <c:v>333.10150000000004</c:v>
                </c:pt>
                <c:pt idx="1">
                  <c:v>683.14110000000039</c:v>
                </c:pt>
                <c:pt idx="2">
                  <c:v>307.22649999999823</c:v>
                </c:pt>
                <c:pt idx="3">
                  <c:v>8.74</c:v>
                </c:pt>
              </c:numCache>
            </c:numRef>
          </c:val>
        </c:ser>
        <c:axId val="175526656"/>
        <c:axId val="175528192"/>
      </c:barChart>
      <c:catAx>
        <c:axId val="175526656"/>
        <c:scaling>
          <c:orientation val="minMax"/>
        </c:scaling>
        <c:axPos val="b"/>
        <c:tickLblPos val="nextTo"/>
        <c:crossAx val="175528192"/>
        <c:crosses val="autoZero"/>
        <c:auto val="1"/>
        <c:lblAlgn val="ctr"/>
        <c:lblOffset val="100"/>
      </c:catAx>
      <c:valAx>
        <c:axId val="175528192"/>
        <c:scaling>
          <c:orientation val="minMax"/>
        </c:scaling>
        <c:axPos val="l"/>
        <c:majorGridlines/>
        <c:title>
          <c:tx>
            <c:rich>
              <a:bodyPr rot="-5400000" vert="horz"/>
              <a:lstStyle/>
              <a:p>
                <a:pPr>
                  <a:defRPr/>
                </a:pPr>
                <a:r>
                  <a:rPr lang="et-EE"/>
                  <a:t>1000 m2</a:t>
                </a:r>
              </a:p>
            </c:rich>
          </c:tx>
        </c:title>
        <c:numFmt formatCode="#,##0" sourceLinked="1"/>
        <c:tickLblPos val="nextTo"/>
        <c:crossAx val="175526656"/>
        <c:crosses val="autoZero"/>
        <c:crossBetween val="between"/>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lineChart>
        <c:grouping val="standard"/>
        <c:ser>
          <c:idx val="0"/>
          <c:order val="0"/>
          <c:tx>
            <c:strRef>
              <c:f>Sheet1!#REF!</c:f>
              <c:strCache>
                <c:ptCount val="1"/>
                <c:pt idx="0">
                  <c:v>#REF!</c:v>
                </c:pt>
              </c:strCache>
            </c:strRef>
          </c:tx>
          <c:spPr>
            <a:ln>
              <a:prstDash val="dashDot"/>
            </a:ln>
          </c:spPr>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Sheet1!#REF!</c:f>
              <c:numCache>
                <c:formatCode>General</c:formatCode>
                <c:ptCount val="1"/>
                <c:pt idx="0">
                  <c:v>1</c:v>
                </c:pt>
              </c:numCache>
            </c:numRef>
          </c:val>
        </c:ser>
        <c:ser>
          <c:idx val="1"/>
          <c:order val="1"/>
          <c:tx>
            <c:strRef>
              <c:f>Sheet1!$L$2</c:f>
              <c:strCache>
                <c:ptCount val="1"/>
                <c:pt idx="0">
                  <c:v>STS 1</c:v>
                </c:pt>
              </c:strCache>
            </c:strRef>
          </c:tx>
          <c:spPr>
            <a:ln>
              <a:prstDash val="sysDot"/>
            </a:ln>
          </c:spPr>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Sheet1!$M$2:$AQ$2</c:f>
              <c:numCache>
                <c:formatCode>0%</c:formatCode>
                <c:ptCount val="31"/>
                <c:pt idx="0">
                  <c:v>0.76054193700459083</c:v>
                </c:pt>
                <c:pt idx="1">
                  <c:v>0.79065401144514724</c:v>
                </c:pt>
                <c:pt idx="2">
                  <c:v>0.79065401144514724</c:v>
                </c:pt>
                <c:pt idx="3">
                  <c:v>0.79065401144514724</c:v>
                </c:pt>
                <c:pt idx="4">
                  <c:v>0.53462943000374974</c:v>
                </c:pt>
                <c:pt idx="5">
                  <c:v>0.53462943000374974</c:v>
                </c:pt>
                <c:pt idx="6">
                  <c:v>0.53462943000374974</c:v>
                </c:pt>
                <c:pt idx="7">
                  <c:v>0.53462943000374974</c:v>
                </c:pt>
                <c:pt idx="8">
                  <c:v>0.53462943000374974</c:v>
                </c:pt>
                <c:pt idx="9">
                  <c:v>0.53462943000374974</c:v>
                </c:pt>
                <c:pt idx="10">
                  <c:v>0.53462943000374974</c:v>
                </c:pt>
                <c:pt idx="11">
                  <c:v>0.1086750485672114</c:v>
                </c:pt>
                <c:pt idx="12">
                  <c:v>0.1086750485672114</c:v>
                </c:pt>
                <c:pt idx="13">
                  <c:v>0.1086750485672114</c:v>
                </c:pt>
                <c:pt idx="14">
                  <c:v>0.1086750485672114</c:v>
                </c:pt>
                <c:pt idx="15">
                  <c:v>0.1086750485672114</c:v>
                </c:pt>
                <c:pt idx="16">
                  <c:v>0.1086750485672114</c:v>
                </c:pt>
                <c:pt idx="17">
                  <c:v>0.1086750485672114</c:v>
                </c:pt>
                <c:pt idx="18">
                  <c:v>0.1086750485672114</c:v>
                </c:pt>
                <c:pt idx="19">
                  <c:v>0.1086750485672114</c:v>
                </c:pt>
                <c:pt idx="20">
                  <c:v>0.1086750485672114</c:v>
                </c:pt>
                <c:pt idx="21">
                  <c:v>0.1086750485672114</c:v>
                </c:pt>
                <c:pt idx="22">
                  <c:v>0.1086750485672114</c:v>
                </c:pt>
                <c:pt idx="23">
                  <c:v>0.1086750485672114</c:v>
                </c:pt>
                <c:pt idx="24">
                  <c:v>0.1086750485672114</c:v>
                </c:pt>
                <c:pt idx="25">
                  <c:v>0.1086750485672114</c:v>
                </c:pt>
                <c:pt idx="26">
                  <c:v>0.1086750485672114</c:v>
                </c:pt>
                <c:pt idx="27">
                  <c:v>0.1086750485672114</c:v>
                </c:pt>
                <c:pt idx="28">
                  <c:v>0.1086750485672114</c:v>
                </c:pt>
                <c:pt idx="29">
                  <c:v>0.1086750485672114</c:v>
                </c:pt>
                <c:pt idx="30">
                  <c:v>0.1086750485672114</c:v>
                </c:pt>
              </c:numCache>
            </c:numRef>
          </c:val>
        </c:ser>
        <c:ser>
          <c:idx val="2"/>
          <c:order val="2"/>
          <c:tx>
            <c:strRef>
              <c:f>Sheet1!$L$3</c:f>
              <c:strCache>
                <c:ptCount val="1"/>
                <c:pt idx="0">
                  <c:v>STS 3</c:v>
                </c:pt>
              </c:strCache>
            </c:strRef>
          </c:tx>
          <c:spPr>
            <a:ln>
              <a:prstDash val="dash"/>
            </a:ln>
          </c:spPr>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Sheet1!$M$3:$AQ$3</c:f>
              <c:numCache>
                <c:formatCode>0%</c:formatCode>
                <c:ptCount val="31"/>
                <c:pt idx="0">
                  <c:v>0.76054193700459105</c:v>
                </c:pt>
                <c:pt idx="1">
                  <c:v>0.86292176888739724</c:v>
                </c:pt>
                <c:pt idx="2">
                  <c:v>0.86303175181319969</c:v>
                </c:pt>
                <c:pt idx="3">
                  <c:v>0.86303175181319969</c:v>
                </c:pt>
                <c:pt idx="4">
                  <c:v>0.68910136887177176</c:v>
                </c:pt>
                <c:pt idx="5">
                  <c:v>0.82606961705859527</c:v>
                </c:pt>
                <c:pt idx="6">
                  <c:v>0.82606961705859527</c:v>
                </c:pt>
                <c:pt idx="7">
                  <c:v>0.82606961705859527</c:v>
                </c:pt>
                <c:pt idx="8">
                  <c:v>0.82606961705859527</c:v>
                </c:pt>
                <c:pt idx="9">
                  <c:v>0.8156635402334097</c:v>
                </c:pt>
                <c:pt idx="10">
                  <c:v>0.8156635402334097</c:v>
                </c:pt>
                <c:pt idx="11">
                  <c:v>0.53601823112290226</c:v>
                </c:pt>
                <c:pt idx="12">
                  <c:v>0.53601823112290226</c:v>
                </c:pt>
                <c:pt idx="13">
                  <c:v>0.40336653689662338</c:v>
                </c:pt>
                <c:pt idx="14">
                  <c:v>0.57729691983804354</c:v>
                </c:pt>
                <c:pt idx="15">
                  <c:v>0.57729691983804354</c:v>
                </c:pt>
                <c:pt idx="16">
                  <c:v>0.57729691983804354</c:v>
                </c:pt>
                <c:pt idx="17">
                  <c:v>0.57729691983804354</c:v>
                </c:pt>
                <c:pt idx="18">
                  <c:v>0.57729691983804354</c:v>
                </c:pt>
                <c:pt idx="19">
                  <c:v>0.58770299666321379</c:v>
                </c:pt>
                <c:pt idx="20">
                  <c:v>0.58338644270267526</c:v>
                </c:pt>
                <c:pt idx="21">
                  <c:v>0.86303175181319969</c:v>
                </c:pt>
                <c:pt idx="22">
                  <c:v>0.69110180747926664</c:v>
                </c:pt>
                <c:pt idx="23">
                  <c:v>0.82375350170554451</c:v>
                </c:pt>
                <c:pt idx="24">
                  <c:v>0.82375350170554451</c:v>
                </c:pt>
                <c:pt idx="25">
                  <c:v>0.82375350170554451</c:v>
                </c:pt>
                <c:pt idx="26">
                  <c:v>0.82375350170554451</c:v>
                </c:pt>
                <c:pt idx="27">
                  <c:v>0.81334742488037415</c:v>
                </c:pt>
                <c:pt idx="28">
                  <c:v>0.8133474248803747</c:v>
                </c:pt>
                <c:pt idx="29">
                  <c:v>0.54401064252172393</c:v>
                </c:pt>
                <c:pt idx="30">
                  <c:v>0.54832719648225259</c:v>
                </c:pt>
              </c:numCache>
            </c:numRef>
          </c:val>
        </c:ser>
        <c:ser>
          <c:idx val="3"/>
          <c:order val="3"/>
          <c:tx>
            <c:strRef>
              <c:f>Sheet1!$L$4</c:f>
              <c:strCache>
                <c:ptCount val="1"/>
                <c:pt idx="0">
                  <c:v>STS 4</c:v>
                </c:pt>
              </c:strCache>
            </c:strRef>
          </c:tx>
          <c:spPr>
            <a:ln>
              <a:prstDash val="lgDashDot"/>
            </a:ln>
          </c:spPr>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Sheet1!$M$4:$AQ$4</c:f>
              <c:numCache>
                <c:formatCode>0%</c:formatCode>
                <c:ptCount val="31"/>
                <c:pt idx="0">
                  <c:v>0.76054193700459105</c:v>
                </c:pt>
                <c:pt idx="1">
                  <c:v>0.76071739471562549</c:v>
                </c:pt>
                <c:pt idx="2">
                  <c:v>0.77946540058541136</c:v>
                </c:pt>
                <c:pt idx="3">
                  <c:v>0.97931563253166964</c:v>
                </c:pt>
                <c:pt idx="4">
                  <c:v>0.99025146658001462</c:v>
                </c:pt>
                <c:pt idx="5">
                  <c:v>0.99554359484084476</c:v>
                </c:pt>
                <c:pt idx="6">
                  <c:v>0.99554359484084476</c:v>
                </c:pt>
                <c:pt idx="7">
                  <c:v>0.99554359484084476</c:v>
                </c:pt>
                <c:pt idx="8">
                  <c:v>0.99554359484084476</c:v>
                </c:pt>
                <c:pt idx="9">
                  <c:v>0.99552152468851862</c:v>
                </c:pt>
                <c:pt idx="10">
                  <c:v>0.99552152468851862</c:v>
                </c:pt>
                <c:pt idx="11">
                  <c:v>0.98180720559575452</c:v>
                </c:pt>
                <c:pt idx="12">
                  <c:v>0.98180720559575452</c:v>
                </c:pt>
                <c:pt idx="13">
                  <c:v>0.98006859256210854</c:v>
                </c:pt>
                <c:pt idx="14">
                  <c:v>0.98452499772124569</c:v>
                </c:pt>
                <c:pt idx="15">
                  <c:v>0.98452499772124569</c:v>
                </c:pt>
                <c:pt idx="16">
                  <c:v>0.98452499772124569</c:v>
                </c:pt>
                <c:pt idx="17">
                  <c:v>0.98452499772124569</c:v>
                </c:pt>
                <c:pt idx="18">
                  <c:v>0.98452499772124569</c:v>
                </c:pt>
                <c:pt idx="19">
                  <c:v>0.98454706787359014</c:v>
                </c:pt>
                <c:pt idx="20">
                  <c:v>0.98454706787359014</c:v>
                </c:pt>
                <c:pt idx="21">
                  <c:v>0.99826138696634448</c:v>
                </c:pt>
                <c:pt idx="22">
                  <c:v>0.99580542041470588</c:v>
                </c:pt>
                <c:pt idx="23">
                  <c:v>0.99754403344834663</c:v>
                </c:pt>
                <c:pt idx="24">
                  <c:v>0.99754403344834663</c:v>
                </c:pt>
                <c:pt idx="25">
                  <c:v>0.99754403344834663</c:v>
                </c:pt>
                <c:pt idx="26">
                  <c:v>0.99754403344834663</c:v>
                </c:pt>
                <c:pt idx="27">
                  <c:v>0.9975219632960125</c:v>
                </c:pt>
                <c:pt idx="28">
                  <c:v>0.9975219632960125</c:v>
                </c:pt>
                <c:pt idx="29">
                  <c:v>0.99195027977228556</c:v>
                </c:pt>
                <c:pt idx="30">
                  <c:v>0.99195027977228556</c:v>
                </c:pt>
              </c:numCache>
            </c:numRef>
          </c:val>
        </c:ser>
        <c:ser>
          <c:idx val="4"/>
          <c:order val="4"/>
          <c:tx>
            <c:strRef>
              <c:f>Sheet1!$L$5</c:f>
              <c:strCache>
                <c:ptCount val="1"/>
                <c:pt idx="0">
                  <c:v>STS 5</c:v>
                </c:pt>
              </c:strCache>
            </c:strRef>
          </c:tx>
          <c:spPr>
            <a:ln>
              <a:prstDash val="lgDash"/>
            </a:ln>
          </c:spPr>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Sheet1!$M$5:$AQ$5</c:f>
              <c:numCache>
                <c:formatCode>0%</c:formatCode>
                <c:ptCount val="31"/>
                <c:pt idx="0">
                  <c:v>0.76054193700459105</c:v>
                </c:pt>
                <c:pt idx="1">
                  <c:v>0.86101556983035965</c:v>
                </c:pt>
                <c:pt idx="2">
                  <c:v>0.86112555275616165</c:v>
                </c:pt>
                <c:pt idx="3">
                  <c:v>0.86112555275616165</c:v>
                </c:pt>
                <c:pt idx="4">
                  <c:v>0.68719516981474116</c:v>
                </c:pt>
                <c:pt idx="5">
                  <c:v>0.79525652101272537</c:v>
                </c:pt>
                <c:pt idx="6">
                  <c:v>0.79525652101272537</c:v>
                </c:pt>
                <c:pt idx="7">
                  <c:v>0.79525652101272537</c:v>
                </c:pt>
                <c:pt idx="8">
                  <c:v>0.79525652101272537</c:v>
                </c:pt>
                <c:pt idx="9">
                  <c:v>0.78675664324460004</c:v>
                </c:pt>
                <c:pt idx="10">
                  <c:v>0.78675664324460004</c:v>
                </c:pt>
                <c:pt idx="11">
                  <c:v>0.5071113341340876</c:v>
                </c:pt>
                <c:pt idx="12">
                  <c:v>0.5071113341340876</c:v>
                </c:pt>
                <c:pt idx="13">
                  <c:v>0.40336653689662338</c:v>
                </c:pt>
                <c:pt idx="14">
                  <c:v>0.53143161206499434</c:v>
                </c:pt>
                <c:pt idx="15">
                  <c:v>0.53143161206499434</c:v>
                </c:pt>
                <c:pt idx="16">
                  <c:v>0.53143161206499434</c:v>
                </c:pt>
                <c:pt idx="17">
                  <c:v>0.53143161206499434</c:v>
                </c:pt>
                <c:pt idx="18">
                  <c:v>0.53143161206499434</c:v>
                </c:pt>
                <c:pt idx="19">
                  <c:v>0.539931489833127</c:v>
                </c:pt>
                <c:pt idx="20">
                  <c:v>0.53561493587259768</c:v>
                </c:pt>
                <c:pt idx="21">
                  <c:v>0.75868289450636395</c:v>
                </c:pt>
                <c:pt idx="22">
                  <c:v>0.6326182579455053</c:v>
                </c:pt>
                <c:pt idx="23">
                  <c:v>0.73636305518295131</c:v>
                </c:pt>
                <c:pt idx="24">
                  <c:v>0.73636305518295131</c:v>
                </c:pt>
                <c:pt idx="25">
                  <c:v>0.73636305518295131</c:v>
                </c:pt>
                <c:pt idx="26">
                  <c:v>0.73636305518295131</c:v>
                </c:pt>
                <c:pt idx="27">
                  <c:v>0.72786317741481865</c:v>
                </c:pt>
                <c:pt idx="28">
                  <c:v>0.72786317741481865</c:v>
                </c:pt>
                <c:pt idx="29">
                  <c:v>0.51510374553290073</c:v>
                </c:pt>
                <c:pt idx="30">
                  <c:v>0.5194202994934386</c:v>
                </c:pt>
              </c:numCache>
            </c:numRef>
          </c:val>
        </c:ser>
        <c:ser>
          <c:idx val="5"/>
          <c:order val="5"/>
          <c:tx>
            <c:strRef>
              <c:f>Sheet1!$L$6</c:f>
              <c:strCache>
                <c:ptCount val="1"/>
                <c:pt idx="0">
                  <c:v>STS 6</c:v>
                </c:pt>
              </c:strCache>
            </c:strRef>
          </c:tx>
          <c:marker>
            <c:symbol val="none"/>
          </c:marker>
          <c:cat>
            <c:numRef>
              <c:f>Sheet1!$M$1:$AQ$1</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Sheet1!$M$6:$AQ$6</c:f>
              <c:numCache>
                <c:formatCode>0%</c:formatCode>
                <c:ptCount val="31"/>
                <c:pt idx="0">
                  <c:v>0.76054193700459105</c:v>
                </c:pt>
                <c:pt idx="1">
                  <c:v>0.76069532456330635</c:v>
                </c:pt>
                <c:pt idx="2">
                  <c:v>0.77944333043308411</c:v>
                </c:pt>
                <c:pt idx="3">
                  <c:v>0.97929356237933662</c:v>
                </c:pt>
                <c:pt idx="4">
                  <c:v>0.99307328269018835</c:v>
                </c:pt>
                <c:pt idx="5">
                  <c:v>0.99307328269018835</c:v>
                </c:pt>
                <c:pt idx="6">
                  <c:v>0.99307328269018835</c:v>
                </c:pt>
                <c:pt idx="7">
                  <c:v>0.99307328269018835</c:v>
                </c:pt>
                <c:pt idx="8">
                  <c:v>0.99307328269018835</c:v>
                </c:pt>
                <c:pt idx="9">
                  <c:v>0.99307328269018835</c:v>
                </c:pt>
                <c:pt idx="10">
                  <c:v>0.99307328269018835</c:v>
                </c:pt>
                <c:pt idx="11">
                  <c:v>0.97935896359741725</c:v>
                </c:pt>
                <c:pt idx="12">
                  <c:v>0.97935896359741725</c:v>
                </c:pt>
                <c:pt idx="13">
                  <c:v>0.96713173136888531</c:v>
                </c:pt>
                <c:pt idx="14">
                  <c:v>0.93707144821912702</c:v>
                </c:pt>
                <c:pt idx="15">
                  <c:v>0.93707144821912702</c:v>
                </c:pt>
                <c:pt idx="16">
                  <c:v>0.93707144821912702</c:v>
                </c:pt>
                <c:pt idx="17">
                  <c:v>0.93707144821912702</c:v>
                </c:pt>
                <c:pt idx="18">
                  <c:v>0.93707144821912702</c:v>
                </c:pt>
                <c:pt idx="19">
                  <c:v>0.93707144821912702</c:v>
                </c:pt>
                <c:pt idx="20">
                  <c:v>0.86012114012347995</c:v>
                </c:pt>
                <c:pt idx="21">
                  <c:v>0.83514574650415374</c:v>
                </c:pt>
                <c:pt idx="22">
                  <c:v>0.83514574650415374</c:v>
                </c:pt>
                <c:pt idx="23">
                  <c:v>0.83514574650415374</c:v>
                </c:pt>
                <c:pt idx="24">
                  <c:v>0.83514574650415374</c:v>
                </c:pt>
                <c:pt idx="25">
                  <c:v>0.83514574650415374</c:v>
                </c:pt>
                <c:pt idx="26">
                  <c:v>0.83514574650415374</c:v>
                </c:pt>
                <c:pt idx="27">
                  <c:v>0.83514574650415374</c:v>
                </c:pt>
                <c:pt idx="28">
                  <c:v>0.83514574650415374</c:v>
                </c:pt>
                <c:pt idx="29">
                  <c:v>0.83514574650415374</c:v>
                </c:pt>
                <c:pt idx="30">
                  <c:v>0.83514574650415374</c:v>
                </c:pt>
              </c:numCache>
            </c:numRef>
          </c:val>
        </c:ser>
        <c:marker val="1"/>
        <c:axId val="175576192"/>
        <c:axId val="175577728"/>
      </c:lineChart>
      <c:catAx>
        <c:axId val="175576192"/>
        <c:scaling>
          <c:orientation val="minMax"/>
        </c:scaling>
        <c:axPos val="b"/>
        <c:numFmt formatCode="General" sourceLinked="1"/>
        <c:tickLblPos val="nextTo"/>
        <c:crossAx val="175577728"/>
        <c:crosses val="autoZero"/>
        <c:auto val="1"/>
        <c:lblAlgn val="ctr"/>
        <c:lblOffset val="100"/>
      </c:catAx>
      <c:valAx>
        <c:axId val="175577728"/>
        <c:scaling>
          <c:orientation val="minMax"/>
        </c:scaling>
        <c:axPos val="l"/>
        <c:majorGridlines/>
        <c:numFmt formatCode="General" sourceLinked="1"/>
        <c:tickLblPos val="nextTo"/>
        <c:crossAx val="175576192"/>
        <c:crosses val="autoZero"/>
        <c:crossBetween val="between"/>
      </c:valAx>
    </c:plotArea>
    <c:legend>
      <c:legendPos val="b"/>
      <c:legendEntry>
        <c:idx val="0"/>
        <c:delete val="1"/>
      </c:legendEntry>
    </c:legend>
    <c:plotVisOnly val="1"/>
  </c:chart>
  <c:spPr>
    <a:ln>
      <a:noFill/>
    </a:ln>
  </c:spPr>
  <c:txPr>
    <a:bodyPr/>
    <a:lstStyle/>
    <a:p>
      <a:pPr>
        <a:defRPr sz="1100">
          <a:latin typeface="Georgia" pitchFamily="18" charset="0"/>
        </a:defRPr>
      </a:pPr>
      <a:endParaRPr lang="et-EE"/>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areaChart>
        <c:grouping val="stacked"/>
        <c:ser>
          <c:idx val="0"/>
          <c:order val="0"/>
          <c:tx>
            <c:strRef>
              <c:f>'KOOND STS_5'!$B$93</c:f>
              <c:strCache>
                <c:ptCount val="1"/>
                <c:pt idx="0">
                  <c:v>Rendikulud kokku</c:v>
                </c:pt>
              </c:strCache>
            </c:strRef>
          </c:tx>
          <c:cat>
            <c:numRef>
              <c:f>'KOOND STS_5'!$C$92:$AG$92</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STS_5'!$C$93:$AG$93</c:f>
              <c:numCache>
                <c:formatCode>#,##0</c:formatCode>
                <c:ptCount val="31"/>
                <c:pt idx="0">
                  <c:v>68.850656109136978</c:v>
                </c:pt>
                <c:pt idx="1">
                  <c:v>75.050503244126062</c:v>
                </c:pt>
                <c:pt idx="2">
                  <c:v>74.679595003822158</c:v>
                </c:pt>
                <c:pt idx="3">
                  <c:v>76.770800365846398</c:v>
                </c:pt>
                <c:pt idx="4">
                  <c:v>78.700045478107867</c:v>
                </c:pt>
                <c:pt idx="5">
                  <c:v>80.755581943487158</c:v>
                </c:pt>
                <c:pt idx="6">
                  <c:v>82.866617893432078</c:v>
                </c:pt>
                <c:pt idx="7">
                  <c:v>85.034651814025338</c:v>
                </c:pt>
                <c:pt idx="8">
                  <c:v>87.225434132147356</c:v>
                </c:pt>
                <c:pt idx="9">
                  <c:v>89.454530795271623</c:v>
                </c:pt>
                <c:pt idx="10">
                  <c:v>91.724973866884056</c:v>
                </c:pt>
                <c:pt idx="11">
                  <c:v>94.039615606319927</c:v>
                </c:pt>
                <c:pt idx="12">
                  <c:v>96.401153939359901</c:v>
                </c:pt>
                <c:pt idx="13">
                  <c:v>98.812155461388627</c:v>
                </c:pt>
                <c:pt idx="14">
                  <c:v>101.27507611910515</c:v>
                </c:pt>
                <c:pt idx="15">
                  <c:v>103.79227974218905</c:v>
                </c:pt>
                <c:pt idx="16">
                  <c:v>106.28237081798548</c:v>
                </c:pt>
                <c:pt idx="17">
                  <c:v>108.79223281203257</c:v>
                </c:pt>
                <c:pt idx="18">
                  <c:v>111.32034419932278</c:v>
                </c:pt>
                <c:pt idx="19">
                  <c:v>113.86512412606145</c:v>
                </c:pt>
                <c:pt idx="20">
                  <c:v>116.42493347954699</c:v>
                </c:pt>
                <c:pt idx="21">
                  <c:v>118.99807610088205</c:v>
                </c:pt>
                <c:pt idx="22">
                  <c:v>121.62937174545871</c:v>
                </c:pt>
                <c:pt idx="23">
                  <c:v>124.27251054901826</c:v>
                </c:pt>
                <c:pt idx="24">
                  <c:v>126.94998634496154</c:v>
                </c:pt>
                <c:pt idx="25">
                  <c:v>129.68636660841673</c:v>
                </c:pt>
                <c:pt idx="26">
                  <c:v>132.48294723766782</c:v>
                </c:pt>
                <c:pt idx="27">
                  <c:v>135.34105264075922</c:v>
                </c:pt>
                <c:pt idx="28">
                  <c:v>138.2620363627222</c:v>
                </c:pt>
                <c:pt idx="29">
                  <c:v>141.24728172656413</c:v>
                </c:pt>
                <c:pt idx="30">
                  <c:v>144.29820248841614</c:v>
                </c:pt>
              </c:numCache>
            </c:numRef>
          </c:val>
        </c:ser>
        <c:ser>
          <c:idx val="1"/>
          <c:order val="1"/>
          <c:tx>
            <c:strRef>
              <c:f>'KOOND STS_5'!$B$94</c:f>
              <c:strCache>
                <c:ptCount val="1"/>
                <c:pt idx="0">
                  <c:v>Isetegemise kulud kokku</c:v>
                </c:pt>
              </c:strCache>
            </c:strRef>
          </c:tx>
          <c:cat>
            <c:numRef>
              <c:f>'KOOND STS_5'!$C$92:$AG$92</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STS_5'!$C$94:$AG$94</c:f>
              <c:numCache>
                <c:formatCode>#,##0</c:formatCode>
                <c:ptCount val="31"/>
                <c:pt idx="0">
                  <c:v>51.121281064097744</c:v>
                </c:pt>
                <c:pt idx="1">
                  <c:v>116.6157711897955</c:v>
                </c:pt>
                <c:pt idx="2">
                  <c:v>46.801444765974047</c:v>
                </c:pt>
                <c:pt idx="3">
                  <c:v>47.680069698275055</c:v>
                </c:pt>
                <c:pt idx="4">
                  <c:v>48.233557863018881</c:v>
                </c:pt>
                <c:pt idx="5">
                  <c:v>201.72488851839842</c:v>
                </c:pt>
                <c:pt idx="6">
                  <c:v>51.655232592808112</c:v>
                </c:pt>
                <c:pt idx="7">
                  <c:v>53.049923872813928</c:v>
                </c:pt>
                <c:pt idx="8">
                  <c:v>54.459249145105176</c:v>
                </c:pt>
                <c:pt idx="9">
                  <c:v>55.893221948214141</c:v>
                </c:pt>
                <c:pt idx="10">
                  <c:v>57.353792801672945</c:v>
                </c:pt>
                <c:pt idx="11">
                  <c:v>58.842796557409294</c:v>
                </c:pt>
                <c:pt idx="12">
                  <c:v>60.361968784930902</c:v>
                </c:pt>
                <c:pt idx="13">
                  <c:v>61.912960569198894</c:v>
                </c:pt>
                <c:pt idx="14">
                  <c:v>295.02847522454755</c:v>
                </c:pt>
                <c:pt idx="15">
                  <c:v>66.639043730107417</c:v>
                </c:pt>
                <c:pt idx="16">
                  <c:v>68.278364205868115</c:v>
                </c:pt>
                <c:pt idx="17">
                  <c:v>69.930700619650111</c:v>
                </c:pt>
                <c:pt idx="18">
                  <c:v>71.595051294397805</c:v>
                </c:pt>
                <c:pt idx="19">
                  <c:v>88.016086917538658</c:v>
                </c:pt>
                <c:pt idx="20">
                  <c:v>74.955594131064458</c:v>
                </c:pt>
                <c:pt idx="21">
                  <c:v>579.77779528717463</c:v>
                </c:pt>
                <c:pt idx="22">
                  <c:v>80.699311543753396</c:v>
                </c:pt>
                <c:pt idx="23">
                  <c:v>318.19989732687452</c:v>
                </c:pt>
                <c:pt idx="24">
                  <c:v>84.305634657746154</c:v>
                </c:pt>
                <c:pt idx="25">
                  <c:v>86.160358620216655</c:v>
                </c:pt>
                <c:pt idx="26">
                  <c:v>88.05588650986067</c:v>
                </c:pt>
                <c:pt idx="27">
                  <c:v>89.993116013078364</c:v>
                </c:pt>
                <c:pt idx="28">
                  <c:v>91.972964565366127</c:v>
                </c:pt>
                <c:pt idx="29">
                  <c:v>93.996369785804731</c:v>
                </c:pt>
                <c:pt idx="30">
                  <c:v>114.86177256777938</c:v>
                </c:pt>
              </c:numCache>
            </c:numRef>
          </c:val>
        </c:ser>
        <c:axId val="175594496"/>
        <c:axId val="175608576"/>
      </c:areaChart>
      <c:catAx>
        <c:axId val="175594496"/>
        <c:scaling>
          <c:orientation val="minMax"/>
        </c:scaling>
        <c:axPos val="b"/>
        <c:numFmt formatCode="General" sourceLinked="1"/>
        <c:majorTickMark val="none"/>
        <c:tickLblPos val="nextTo"/>
        <c:crossAx val="175608576"/>
        <c:crosses val="autoZero"/>
        <c:auto val="1"/>
        <c:lblAlgn val="ctr"/>
        <c:lblOffset val="100"/>
      </c:catAx>
      <c:valAx>
        <c:axId val="175608576"/>
        <c:scaling>
          <c:orientation val="minMax"/>
        </c:scaling>
        <c:axPos val="l"/>
        <c:majorGridlines/>
        <c:title>
          <c:tx>
            <c:rich>
              <a:bodyPr rot="-5400000" vert="horz"/>
              <a:lstStyle/>
              <a:p>
                <a:pPr>
                  <a:defRPr/>
                </a:pPr>
                <a:r>
                  <a:rPr lang="et-EE"/>
                  <a:t>mln EUR</a:t>
                </a:r>
              </a:p>
            </c:rich>
          </c:tx>
        </c:title>
        <c:numFmt formatCode="#,##0" sourceLinked="1"/>
        <c:majorTickMark val="none"/>
        <c:tickLblPos val="nextTo"/>
        <c:crossAx val="175594496"/>
        <c:crosses val="autoZero"/>
        <c:crossBetween val="midCat"/>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areaChart>
        <c:grouping val="stacked"/>
        <c:ser>
          <c:idx val="0"/>
          <c:order val="0"/>
          <c:tx>
            <c:strRef>
              <c:f>'KOOND STS_6'!$B$100</c:f>
              <c:strCache>
                <c:ptCount val="1"/>
                <c:pt idx="0">
                  <c:v>Rendikulud kokku</c:v>
                </c:pt>
              </c:strCache>
            </c:strRef>
          </c:tx>
          <c:cat>
            <c:numRef>
              <c:f>'KOOND STS_6'!$C$99:$AG$99</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STS_6'!$C$100:$AG$100</c:f>
              <c:numCache>
                <c:formatCode>#,##0</c:formatCode>
                <c:ptCount val="31"/>
                <c:pt idx="0">
                  <c:v>57.623782709256275</c:v>
                </c:pt>
                <c:pt idx="1">
                  <c:v>96.387355993561158</c:v>
                </c:pt>
                <c:pt idx="2">
                  <c:v>119.74268423697522</c:v>
                </c:pt>
                <c:pt idx="3">
                  <c:v>145.95794657057905</c:v>
                </c:pt>
                <c:pt idx="4">
                  <c:v>167.82519377768159</c:v>
                </c:pt>
                <c:pt idx="5">
                  <c:v>178.8497322117465</c:v>
                </c:pt>
                <c:pt idx="6">
                  <c:v>186.34448983534799</c:v>
                </c:pt>
                <c:pt idx="7">
                  <c:v>191.02395435578521</c:v>
                </c:pt>
                <c:pt idx="8">
                  <c:v>195.75251880871184</c:v>
                </c:pt>
                <c:pt idx="9">
                  <c:v>191.85009044393087</c:v>
                </c:pt>
                <c:pt idx="10">
                  <c:v>192.09077910759387</c:v>
                </c:pt>
                <c:pt idx="11">
                  <c:v>196.73948125666988</c:v>
                </c:pt>
                <c:pt idx="12">
                  <c:v>201.4823700315907</c:v>
                </c:pt>
                <c:pt idx="13">
                  <c:v>206.32460015555665</c:v>
                </c:pt>
                <c:pt idx="14">
                  <c:v>211.27110412611452</c:v>
                </c:pt>
                <c:pt idx="15">
                  <c:v>216.32662943395425</c:v>
                </c:pt>
                <c:pt idx="16">
                  <c:v>221.32770218670001</c:v>
                </c:pt>
                <c:pt idx="17">
                  <c:v>226.36848264392108</c:v>
                </c:pt>
                <c:pt idx="18">
                  <c:v>231.44591499077782</c:v>
                </c:pt>
                <c:pt idx="19">
                  <c:v>236.55682425712814</c:v>
                </c:pt>
                <c:pt idx="20">
                  <c:v>241.69791846623849</c:v>
                </c:pt>
                <c:pt idx="21">
                  <c:v>246.86579107040347</c:v>
                </c:pt>
                <c:pt idx="22">
                  <c:v>252.15045759542224</c:v>
                </c:pt>
                <c:pt idx="23">
                  <c:v>257.92577048082569</c:v>
                </c:pt>
                <c:pt idx="24">
                  <c:v>264.53720298594101</c:v>
                </c:pt>
                <c:pt idx="25">
                  <c:v>270.07033969190655</c:v>
                </c:pt>
                <c:pt idx="26">
                  <c:v>275.72520540540324</c:v>
                </c:pt>
                <c:pt idx="27">
                  <c:v>281.50447816459706</c:v>
                </c:pt>
                <c:pt idx="28">
                  <c:v>287.41089492449305</c:v>
                </c:pt>
                <c:pt idx="29">
                  <c:v>293.4472528531067</c:v>
                </c:pt>
                <c:pt idx="30">
                  <c:v>303.50001298987064</c:v>
                </c:pt>
              </c:numCache>
            </c:numRef>
          </c:val>
        </c:ser>
        <c:ser>
          <c:idx val="1"/>
          <c:order val="1"/>
          <c:tx>
            <c:strRef>
              <c:f>'KOOND STS_6'!$B$101</c:f>
              <c:strCache>
                <c:ptCount val="1"/>
                <c:pt idx="0">
                  <c:v>Isetegemise kulud kokku</c:v>
                </c:pt>
              </c:strCache>
            </c:strRef>
          </c:tx>
          <c:cat>
            <c:numRef>
              <c:f>'KOOND STS_6'!$C$99:$AG$99</c:f>
              <c:numCache>
                <c:formatCode>General</c:formatCode>
                <c:ptCount val="31"/>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pt idx="18">
                  <c:v>2033</c:v>
                </c:pt>
                <c:pt idx="19">
                  <c:v>2034</c:v>
                </c:pt>
                <c:pt idx="20">
                  <c:v>2035</c:v>
                </c:pt>
                <c:pt idx="21">
                  <c:v>2036</c:v>
                </c:pt>
                <c:pt idx="22">
                  <c:v>2037</c:v>
                </c:pt>
                <c:pt idx="23">
                  <c:v>2038</c:v>
                </c:pt>
                <c:pt idx="24">
                  <c:v>2039</c:v>
                </c:pt>
                <c:pt idx="25">
                  <c:v>2040</c:v>
                </c:pt>
                <c:pt idx="26">
                  <c:v>2041</c:v>
                </c:pt>
                <c:pt idx="27">
                  <c:v>2042</c:v>
                </c:pt>
                <c:pt idx="28">
                  <c:v>2043</c:v>
                </c:pt>
                <c:pt idx="29">
                  <c:v>2044</c:v>
                </c:pt>
                <c:pt idx="30">
                  <c:v>2045</c:v>
                </c:pt>
              </c:numCache>
            </c:numRef>
          </c:cat>
          <c:val>
            <c:numRef>
              <c:f>'KOOND STS_6'!$C$101:$AG$101</c:f>
              <c:numCache>
                <c:formatCode>#,##0</c:formatCode>
                <c:ptCount val="31"/>
                <c:pt idx="0">
                  <c:v>82.695148505003388</c:v>
                </c:pt>
                <c:pt idx="1">
                  <c:v>65.224713878111601</c:v>
                </c:pt>
                <c:pt idx="2">
                  <c:v>71.601397381365302</c:v>
                </c:pt>
                <c:pt idx="3">
                  <c:v>42.822440246536011</c:v>
                </c:pt>
                <c:pt idx="4">
                  <c:v>31.621193157533785</c:v>
                </c:pt>
                <c:pt idx="5">
                  <c:v>4.6951935567631855</c:v>
                </c:pt>
                <c:pt idx="6">
                  <c:v>1.8043122237958393</c:v>
                </c:pt>
                <c:pt idx="7">
                  <c:v>1.8530286538383172</c:v>
                </c:pt>
                <c:pt idx="8">
                  <c:v>1.9022562478004732</c:v>
                </c:pt>
                <c:pt idx="9">
                  <c:v>1.9523447776041398</c:v>
                </c:pt>
                <c:pt idx="10">
                  <c:v>2.0033623747058638</c:v>
                </c:pt>
                <c:pt idx="11">
                  <c:v>2.0553731303040768</c:v>
                </c:pt>
                <c:pt idx="12">
                  <c:v>2.108437667671994</c:v>
                </c:pt>
                <c:pt idx="13">
                  <c:v>2.1626136590458027</c:v>
                </c:pt>
                <c:pt idx="14">
                  <c:v>2.3880676707986153</c:v>
                </c:pt>
                <c:pt idx="15">
                  <c:v>2.4489682435391247</c:v>
                </c:pt>
                <c:pt idx="16">
                  <c:v>2.5092128623301875</c:v>
                </c:pt>
                <c:pt idx="17">
                  <c:v>2.5699358135985784</c:v>
                </c:pt>
                <c:pt idx="18">
                  <c:v>2.631100285962225</c:v>
                </c:pt>
                <c:pt idx="19">
                  <c:v>2.6926680326537147</c:v>
                </c:pt>
                <c:pt idx="20">
                  <c:v>2.7545993974047782</c:v>
                </c:pt>
                <c:pt idx="21">
                  <c:v>3.4254065749638367</c:v>
                </c:pt>
                <c:pt idx="22">
                  <c:v>3.5028207635580229</c:v>
                </c:pt>
                <c:pt idx="23">
                  <c:v>3.5805833845090111</c:v>
                </c:pt>
                <c:pt idx="24">
                  <c:v>3.6593562189682087</c:v>
                </c:pt>
                <c:pt idx="25">
                  <c:v>3.7398620557855087</c:v>
                </c:pt>
                <c:pt idx="26">
                  <c:v>3.822139021012791</c:v>
                </c:pt>
                <c:pt idx="27">
                  <c:v>3.9062260794750725</c:v>
                </c:pt>
                <c:pt idx="28">
                  <c:v>3.9921630532235177</c:v>
                </c:pt>
                <c:pt idx="29">
                  <c:v>4.0799906403944419</c:v>
                </c:pt>
                <c:pt idx="30">
                  <c:v>4.1697504344831193</c:v>
                </c:pt>
              </c:numCache>
            </c:numRef>
          </c:val>
        </c:ser>
        <c:axId val="174462080"/>
        <c:axId val="174463616"/>
      </c:areaChart>
      <c:catAx>
        <c:axId val="174462080"/>
        <c:scaling>
          <c:orientation val="minMax"/>
        </c:scaling>
        <c:axPos val="b"/>
        <c:numFmt formatCode="General" sourceLinked="1"/>
        <c:majorTickMark val="none"/>
        <c:tickLblPos val="nextTo"/>
        <c:crossAx val="174463616"/>
        <c:crosses val="autoZero"/>
        <c:auto val="1"/>
        <c:lblAlgn val="ctr"/>
        <c:lblOffset val="100"/>
      </c:catAx>
      <c:valAx>
        <c:axId val="174463616"/>
        <c:scaling>
          <c:orientation val="minMax"/>
          <c:max val="800"/>
        </c:scaling>
        <c:axPos val="l"/>
        <c:majorGridlines/>
        <c:title>
          <c:tx>
            <c:rich>
              <a:bodyPr rot="-5400000" vert="horz"/>
              <a:lstStyle/>
              <a:p>
                <a:pPr>
                  <a:defRPr/>
                </a:pPr>
                <a:r>
                  <a:rPr lang="et-EE"/>
                  <a:t>mln</a:t>
                </a:r>
                <a:r>
                  <a:rPr lang="et-EE" baseline="0"/>
                  <a:t> EUR</a:t>
                </a:r>
                <a:endParaRPr lang="et-EE"/>
              </a:p>
            </c:rich>
          </c:tx>
        </c:title>
        <c:numFmt formatCode="#,##0" sourceLinked="1"/>
        <c:majorTickMark val="none"/>
        <c:tickLblPos val="nextTo"/>
        <c:crossAx val="174462080"/>
        <c:crosses val="autoZero"/>
        <c:crossBetween val="midCat"/>
      </c:valAx>
    </c:plotArea>
    <c:legend>
      <c:legendPos val="b"/>
    </c:legend>
    <c:plotVisOnly val="1"/>
  </c:chart>
  <c:spPr>
    <a:ln>
      <a:noFill/>
    </a:ln>
  </c:spPr>
  <c:txPr>
    <a:bodyPr/>
    <a:lstStyle/>
    <a:p>
      <a:pPr>
        <a:defRPr>
          <a:latin typeface="Georgia" pitchFamily="18" charset="0"/>
        </a:defRPr>
      </a:pPr>
      <a:endParaRPr lang="et-EE"/>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t-EE"/>
  <c:style val="1"/>
  <c:clrMapOvr bg1="lt1" tx1="dk1" bg2="lt2" tx2="dk2" accent1="accent1" accent2="accent2" accent3="accent3" accent4="accent4" accent5="accent5" accent6="accent6" hlink="hlink" folHlink="folHlink"/>
  <c:chart>
    <c:plotArea>
      <c:layout>
        <c:manualLayout>
          <c:layoutTarget val="inner"/>
          <c:xMode val="edge"/>
          <c:yMode val="edge"/>
          <c:x val="0.12021958522790289"/>
          <c:y val="4.5232371357737534E-2"/>
          <c:w val="0.87899698978305651"/>
          <c:h val="0.83906427229409153"/>
        </c:manualLayout>
      </c:layout>
      <c:lineChart>
        <c:grouping val="standard"/>
        <c:ser>
          <c:idx val="3"/>
          <c:order val="1"/>
          <c:tx>
            <c:strRef>
              <c:f>'pind töötaja kohta'!$A$8</c:f>
              <c:strCache>
                <c:ptCount val="1"/>
                <c:pt idx="0">
                  <c:v>Pind haldus- ja hooldusosakonna töötaja kohta</c:v>
                </c:pt>
              </c:strCache>
            </c:strRef>
          </c:tx>
          <c:spPr>
            <a:ln w="38100">
              <a:solidFill>
                <a:schemeClr val="bg1">
                  <a:lumMod val="75000"/>
                </a:schemeClr>
              </a:solidFill>
              <a:prstDash val="solid"/>
            </a:ln>
            <a:effectLst>
              <a:outerShdw blurRad="50800" dist="38100" dir="2700000" algn="tl" rotWithShape="0">
                <a:prstClr val="black">
                  <a:alpha val="40000"/>
                </a:prstClr>
              </a:outerShdw>
            </a:effectLst>
          </c:spPr>
          <c:marker>
            <c:symbol val="none"/>
          </c:marker>
          <c:dPt>
            <c:idx val="9"/>
            <c:spPr>
              <a:ln w="38100">
                <a:solidFill>
                  <a:schemeClr val="bg1">
                    <a:lumMod val="75000"/>
                  </a:schemeClr>
                </a:solidFill>
                <a:prstDash val="solid"/>
              </a:ln>
              <a:effectLst>
                <a:outerShdw blurRad="50800" dist="38100" dir="2700000" algn="tl" rotWithShape="0">
                  <a:prstClr val="black">
                    <a:alpha val="40000"/>
                  </a:prstClr>
                </a:outerShdw>
              </a:effectLst>
            </c:spPr>
          </c:dPt>
          <c:dPt>
            <c:idx val="10"/>
            <c:spPr>
              <a:ln w="38100">
                <a:solidFill>
                  <a:schemeClr val="bg1">
                    <a:lumMod val="75000"/>
                  </a:schemeClr>
                </a:solidFill>
                <a:prstDash val="solid"/>
              </a:ln>
              <a:effectLst>
                <a:outerShdw blurRad="50800" dist="38100" dir="2700000" algn="tl" rotWithShape="0">
                  <a:prstClr val="black">
                    <a:alpha val="40000"/>
                  </a:prstClr>
                </a:outerShdw>
              </a:effectLst>
            </c:spPr>
          </c:dPt>
          <c:dPt>
            <c:idx val="11"/>
            <c:spPr>
              <a:ln w="38100">
                <a:solidFill>
                  <a:schemeClr val="bg1">
                    <a:lumMod val="75000"/>
                  </a:schemeClr>
                </a:solidFill>
                <a:prstDash val="solid"/>
              </a:ln>
              <a:effectLst>
                <a:outerShdw blurRad="50800" dist="38100" dir="2700000" algn="tl" rotWithShape="0">
                  <a:prstClr val="black">
                    <a:alpha val="40000"/>
                  </a:prstClr>
                </a:outerShdw>
              </a:effectLst>
            </c:spPr>
          </c:dPt>
          <c:dPt>
            <c:idx val="12"/>
            <c:spPr>
              <a:ln w="38100">
                <a:solidFill>
                  <a:schemeClr val="bg1">
                    <a:lumMod val="75000"/>
                  </a:schemeClr>
                </a:solidFill>
                <a:prstDash val="solid"/>
              </a:ln>
              <a:effectLst>
                <a:outerShdw blurRad="50800" dist="38100" dir="2700000" algn="tl" rotWithShape="0">
                  <a:prstClr val="black">
                    <a:alpha val="40000"/>
                  </a:prstClr>
                </a:outerShdw>
              </a:effectLst>
            </c:spPr>
          </c:dPt>
          <c:dPt>
            <c:idx val="13"/>
            <c:spPr>
              <a:ln w="38100">
                <a:solidFill>
                  <a:schemeClr val="bg1">
                    <a:lumMod val="75000"/>
                  </a:schemeClr>
                </a:solidFill>
                <a:prstDash val="solid"/>
              </a:ln>
              <a:effectLst>
                <a:outerShdw blurRad="50800" dist="38100" dir="2700000" algn="tl" rotWithShape="0">
                  <a:prstClr val="black">
                    <a:alpha val="40000"/>
                  </a:prstClr>
                </a:outerShdw>
              </a:effectLst>
            </c:spPr>
          </c:dPt>
          <c:dPt>
            <c:idx val="14"/>
            <c:spPr>
              <a:ln w="38100">
                <a:solidFill>
                  <a:schemeClr val="bg1">
                    <a:lumMod val="75000"/>
                  </a:schemeClr>
                </a:solidFill>
                <a:prstDash val="solid"/>
              </a:ln>
              <a:effectLst>
                <a:outerShdw blurRad="50800" dist="38100" dir="2700000" algn="tl" rotWithShape="0">
                  <a:prstClr val="black">
                    <a:alpha val="40000"/>
                  </a:prstClr>
                </a:outerShdw>
              </a:effectLst>
            </c:spPr>
          </c:dPt>
          <c:dLbls>
            <c:dLbl>
              <c:idx val="11"/>
              <c:layout>
                <c:manualLayout>
                  <c:x val="-5.2931774832494123E-2"/>
                  <c:y val="5.8806655535268183E-2"/>
                </c:manualLayout>
              </c:layout>
              <c:dLblPos val="r"/>
              <c:showVal val="1"/>
              <c:extLst>
                <c:ext xmlns:c15="http://schemas.microsoft.com/office/drawing/2012/chart" uri="{CE6537A1-D6FC-4f65-9D91-7224C49458BB}"/>
              </c:extLst>
            </c:dLbl>
            <c:spPr>
              <a:ln>
                <a:solidFill>
                  <a:schemeClr val="bg1">
                    <a:lumMod val="50000"/>
                  </a:schemeClr>
                </a:solidFill>
              </a:ln>
            </c:spPr>
            <c:txPr>
              <a:bodyPr/>
              <a:lstStyle/>
              <a:p>
                <a:pPr>
                  <a:defRPr sz="800"/>
                </a:pPr>
                <a:endParaRPr lang="et-EE"/>
              </a:p>
            </c:txPr>
            <c:dLblPos val="b"/>
            <c:showVal val="1"/>
            <c:extLst>
              <c:ext xmlns:c15="http://schemas.microsoft.com/office/drawing/2012/chart" uri="{CE6537A1-D6FC-4f65-9D91-7224C49458BB}">
                <c15:showLeaderLines val="0"/>
              </c:ext>
            </c:extLst>
          </c:dLbls>
          <c:cat>
            <c:numRef>
              <c:f>'pind töötaja kohta'!$D$2:$AZ$2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'pind töötaja kohta'!$D$8:$AZ$8</c:f>
              <c:numCache>
                <c:formatCode>#,##0</c:formatCode>
                <c:ptCount val="15"/>
                <c:pt idx="0">
                  <c:v>15209.818181818182</c:v>
                </c:pt>
                <c:pt idx="1">
                  <c:v>22343.142857142859</c:v>
                </c:pt>
                <c:pt idx="2">
                  <c:v>28929.7</c:v>
                </c:pt>
                <c:pt idx="3">
                  <c:v>26049.666666666657</c:v>
                </c:pt>
                <c:pt idx="4">
                  <c:v>28312.933333333316</c:v>
                </c:pt>
                <c:pt idx="5">
                  <c:v>30631.857142857116</c:v>
                </c:pt>
                <c:pt idx="6">
                  <c:v>35169.083333333336</c:v>
                </c:pt>
                <c:pt idx="7">
                  <c:v>29194.25</c:v>
                </c:pt>
                <c:pt idx="8">
                  <c:v>21105.222222222321</c:v>
                </c:pt>
                <c:pt idx="9">
                  <c:v>24910.850833333316</c:v>
                </c:pt>
                <c:pt idx="10">
                  <c:v>22553.575348836799</c:v>
                </c:pt>
                <c:pt idx="11">
                  <c:v>22528.107647058816</c:v>
                </c:pt>
              </c:numCache>
            </c:numRef>
          </c:val>
        </c:ser>
        <c:ser>
          <c:idx val="0"/>
          <c:order val="0"/>
          <c:tx>
            <c:strRef>
              <c:f>'pind töötaja kohta'!$A$9</c:f>
              <c:strCache>
                <c:ptCount val="1"/>
                <c:pt idx="0">
                  <c:v>Pind haldus- ja hooldusosakonna töötaja kohta (eesmärk)</c:v>
                </c:pt>
              </c:strCache>
            </c:strRef>
          </c:tx>
          <c:spPr>
            <a:ln w="38100">
              <a:solidFill>
                <a:schemeClr val="accent2">
                  <a:lumMod val="60000"/>
                  <a:lumOff val="40000"/>
                </a:schemeClr>
              </a:solidFill>
              <a:prstDash val="dash"/>
            </a:ln>
            <a:effectLst>
              <a:outerShdw blurRad="50800" dist="38100" dir="2700000" algn="tl" rotWithShape="0">
                <a:prstClr val="black">
                  <a:alpha val="40000"/>
                </a:prstClr>
              </a:outerShdw>
            </a:effectLst>
          </c:spPr>
          <c:marker>
            <c:symbol val="none"/>
          </c:marker>
          <c:dLbls>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layout>
                <c:manualLayout>
                  <c:x val="-2.3184601924759406E-3"/>
                  <c:y val="-4.1802816328812234E-2"/>
                </c:manualLayout>
              </c:layout>
              <c:dLblPos val="r"/>
              <c:showVal val="1"/>
              <c:extLst>
                <c:ext xmlns:c15="http://schemas.microsoft.com/office/drawing/2012/chart" uri="{CE6537A1-D6FC-4f65-9D91-7224C49458BB}"/>
              </c:extLst>
            </c:dLbl>
            <c:spPr>
              <a:ln>
                <a:solidFill>
                  <a:schemeClr val="tx2">
                    <a:lumMod val="75000"/>
                  </a:schemeClr>
                </a:solidFill>
              </a:ln>
            </c:spPr>
            <c:dLblPos val="b"/>
            <c:showVal val="1"/>
            <c:extLst>
              <c:ext xmlns:c15="http://schemas.microsoft.com/office/drawing/2012/chart" uri="{CE6537A1-D6FC-4f65-9D91-7224C49458BB}">
                <c15:showLeaderLines val="0"/>
              </c:ext>
            </c:extLst>
          </c:dLbls>
          <c:cat>
            <c:numRef>
              <c:f>'pind töötaja kohta'!$D$2:$AZ$2</c:f>
              <c:numCache>
                <c:formatCode>General</c:formatCode>
                <c:ptCount val="15"/>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numCache>
            </c:numRef>
          </c:cat>
          <c:val>
            <c:numRef>
              <c:f>'pind töötaja kohta'!$D$9:$AZ$9</c:f>
              <c:numCache>
                <c:formatCode>General</c:formatCode>
                <c:ptCount val="15"/>
                <c:pt idx="11" formatCode="#,##0">
                  <c:v>22528.107647058816</c:v>
                </c:pt>
                <c:pt idx="12" formatCode="#,##0">
                  <c:v>24442.99679705892</c:v>
                </c:pt>
                <c:pt idx="13" formatCode="#,##0">
                  <c:v>26520.651524808476</c:v>
                </c:pt>
                <c:pt idx="14" formatCode="#,##0">
                  <c:v>30000</c:v>
                </c:pt>
              </c:numCache>
            </c:numRef>
          </c:val>
        </c:ser>
        <c:ser>
          <c:idx val="1"/>
          <c:order val="2"/>
          <c:tx>
            <c:strRef>
              <c:f>'pind töötaja kohta'!$A$10</c:f>
              <c:strCache>
                <c:ptCount val="1"/>
                <c:pt idx="0">
                  <c:v>Pind halduri kohta</c:v>
                </c:pt>
              </c:strCache>
            </c:strRef>
          </c:tx>
          <c:spPr>
            <a:ln w="38100">
              <a:solidFill>
                <a:schemeClr val="bg1">
                  <a:lumMod val="50000"/>
                </a:schemeClr>
              </a:solidFill>
            </a:ln>
            <a:effectLst>
              <a:outerShdw blurRad="50800" dist="38100" dir="2700000" algn="tl" rotWithShape="0">
                <a:prstClr val="black">
                  <a:alpha val="40000"/>
                </a:prstClr>
              </a:outerShdw>
            </a:effectLst>
          </c:spPr>
          <c:marker>
            <c:symbol val="none"/>
          </c:marker>
          <c:dLbls>
            <c:spPr>
              <a:ln>
                <a:solidFill>
                  <a:schemeClr val="bg1">
                    <a:lumMod val="50000"/>
                  </a:schemeClr>
                </a:solidFill>
              </a:ln>
            </c:spPr>
            <c:txPr>
              <a:bodyPr/>
              <a:lstStyle/>
              <a:p>
                <a:pPr>
                  <a:defRPr sz="800"/>
                </a:pPr>
                <a:endParaRPr lang="et-EE"/>
              </a:p>
            </c:txPr>
            <c:dLblPos val="t"/>
            <c:showVal val="1"/>
            <c:extLst>
              <c:ext xmlns:c15="http://schemas.microsoft.com/office/drawing/2012/chart" uri="{CE6537A1-D6FC-4f65-9D91-7224C49458BB}">
                <c15:showLeaderLines val="0"/>
              </c:ext>
            </c:extLst>
          </c:dLbls>
          <c:val>
            <c:numRef>
              <c:f>'pind töötaja kohta'!$D$10:$AZ$10</c:f>
              <c:numCache>
                <c:formatCode>#,##0</c:formatCode>
                <c:ptCount val="15"/>
                <c:pt idx="0">
                  <c:v>20913.5</c:v>
                </c:pt>
                <c:pt idx="1">
                  <c:v>22343.142857142859</c:v>
                </c:pt>
                <c:pt idx="2">
                  <c:v>32144.111111111106</c:v>
                </c:pt>
                <c:pt idx="3">
                  <c:v>44656.571428570984</c:v>
                </c:pt>
                <c:pt idx="4">
                  <c:v>60670.571428570984</c:v>
                </c:pt>
                <c:pt idx="5">
                  <c:v>53605.75</c:v>
                </c:pt>
                <c:pt idx="6">
                  <c:v>60289.857142857145</c:v>
                </c:pt>
                <c:pt idx="7">
                  <c:v>66729.714285712587</c:v>
                </c:pt>
                <c:pt idx="8">
                  <c:v>33520.058823529413</c:v>
                </c:pt>
                <c:pt idx="9">
                  <c:v>42704.315714285716</c:v>
                </c:pt>
                <c:pt idx="10">
                  <c:v>35918.657037037039</c:v>
                </c:pt>
                <c:pt idx="11">
                  <c:v>39618.396206896643</c:v>
                </c:pt>
              </c:numCache>
            </c:numRef>
          </c:val>
        </c:ser>
        <c:marker val="1"/>
        <c:axId val="174620672"/>
        <c:axId val="174622208"/>
      </c:lineChart>
      <c:catAx>
        <c:axId val="174620672"/>
        <c:scaling>
          <c:orientation val="minMax"/>
        </c:scaling>
        <c:axPos val="b"/>
        <c:numFmt formatCode="General" sourceLinked="1"/>
        <c:tickLblPos val="nextTo"/>
        <c:txPr>
          <a:bodyPr rot="-5400000" vert="horz"/>
          <a:lstStyle/>
          <a:p>
            <a:pPr>
              <a:defRPr/>
            </a:pPr>
            <a:endParaRPr lang="et-EE"/>
          </a:p>
        </c:txPr>
        <c:crossAx val="174622208"/>
        <c:crossesAt val="0"/>
        <c:auto val="1"/>
        <c:lblAlgn val="ctr"/>
        <c:lblOffset val="100"/>
      </c:catAx>
      <c:valAx>
        <c:axId val="174622208"/>
        <c:scaling>
          <c:orientation val="minMax"/>
          <c:max val="105000"/>
          <c:min val="0"/>
        </c:scaling>
        <c:axPos val="l"/>
        <c:majorGridlines/>
        <c:title>
          <c:tx>
            <c:rich>
              <a:bodyPr/>
              <a:lstStyle/>
              <a:p>
                <a:pPr>
                  <a:defRPr/>
                </a:pPr>
                <a:r>
                  <a:rPr lang="et-EE"/>
                  <a:t>m2</a:t>
                </a:r>
              </a:p>
            </c:rich>
          </c:tx>
          <c:layout>
            <c:manualLayout>
              <c:xMode val="edge"/>
              <c:yMode val="edge"/>
              <c:x val="1.5663250707389801E-3"/>
              <c:y val="0.85964773596213861"/>
            </c:manualLayout>
          </c:layout>
        </c:title>
        <c:numFmt formatCode="#,##0" sourceLinked="0"/>
        <c:tickLblPos val="nextTo"/>
        <c:txPr>
          <a:bodyPr rot="0" vert="horz"/>
          <a:lstStyle/>
          <a:p>
            <a:pPr>
              <a:defRPr/>
            </a:pPr>
            <a:endParaRPr lang="et-EE"/>
          </a:p>
        </c:txPr>
        <c:crossAx val="174620672"/>
        <c:crosses val="autoZero"/>
        <c:crossBetween val="between"/>
        <c:majorUnit val="10000"/>
      </c:valAx>
    </c:plotArea>
    <c:legend>
      <c:legendPos val="r"/>
      <c:layout>
        <c:manualLayout>
          <c:xMode val="edge"/>
          <c:yMode val="edge"/>
          <c:x val="0.60605269993864352"/>
          <c:y val="1.1413584531855201E-2"/>
          <c:w val="0.37521570770194707"/>
          <c:h val="0.37195568389919348"/>
        </c:manualLayout>
      </c:layout>
      <c:overlay val="1"/>
      <c:spPr>
        <a:solidFill>
          <a:schemeClr val="bg1"/>
        </a:solidFill>
      </c:spPr>
    </c:legend>
    <c:plotVisOnly val="1"/>
    <c:dispBlanksAs val="gap"/>
  </c:chart>
  <c:txPr>
    <a:bodyPr/>
    <a:lstStyle/>
    <a:p>
      <a:pPr>
        <a:defRPr sz="1000"/>
      </a:pPr>
      <a:endParaRPr lang="et-EE"/>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t-EE"/>
  <c:pivotSource>
    <c:name>[4-M2 kulud kulukohtade lõikes.xlsx]Ülalpidamiskulud (2)!Ülalpidamiskulud</c:name>
    <c:fmtId val="-1"/>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s>
    <c:plotArea>
      <c:layout>
        <c:manualLayout>
          <c:layoutTarget val="inner"/>
          <c:xMode val="edge"/>
          <c:yMode val="edge"/>
          <c:x val="6.9481708094729824E-2"/>
          <c:y val="0.17127921315452771"/>
          <c:w val="0.83161069247023101"/>
          <c:h val="0.63249511494179689"/>
        </c:manualLayout>
      </c:layout>
      <c:barChart>
        <c:barDir val="col"/>
        <c:grouping val="stacked"/>
        <c:ser>
          <c:idx val="0"/>
          <c:order val="0"/>
          <c:tx>
            <c:strRef>
              <c:f>'Ülalpidamiskulud (2)'!$B$9:$B$10</c:f>
              <c:strCache>
                <c:ptCount val="1"/>
                <c:pt idx="0">
                  <c:v>1000 Haldamine</c:v>
                </c:pt>
              </c:strCache>
            </c:strRef>
          </c:tx>
          <c:cat>
            <c:multiLvlStrRef>
              <c:f>'Ülalpidamiskulud (2)'!$A$11:$A$42</c:f>
              <c:multiLvlStrCache>
                <c:ptCount val="27"/>
                <c:lvl>
                  <c:pt idx="0">
                    <c:v>2007</c:v>
                  </c:pt>
                  <c:pt idx="1">
                    <c:v>2008</c:v>
                  </c:pt>
                  <c:pt idx="2">
                    <c:v>2009</c:v>
                  </c:pt>
                  <c:pt idx="3">
                    <c:v>2010</c:v>
                  </c:pt>
                  <c:pt idx="4">
                    <c:v>2011</c:v>
                  </c:pt>
                  <c:pt idx="5">
                    <c:v>2012</c:v>
                  </c:pt>
                  <c:pt idx="6">
                    <c:v>2013</c:v>
                  </c:pt>
                  <c:pt idx="7">
                    <c:v>2014</c:v>
                  </c:pt>
                  <c:pt idx="8">
                    <c:v>2007</c:v>
                  </c:pt>
                  <c:pt idx="9">
                    <c:v>2008</c:v>
                  </c:pt>
                  <c:pt idx="10">
                    <c:v>2009</c:v>
                  </c:pt>
                  <c:pt idx="11">
                    <c:v>2010</c:v>
                  </c:pt>
                  <c:pt idx="12">
                    <c:v>2011</c:v>
                  </c:pt>
                  <c:pt idx="13">
                    <c:v>2012</c:v>
                  </c:pt>
                  <c:pt idx="14">
                    <c:v>2013</c:v>
                  </c:pt>
                  <c:pt idx="15">
                    <c:v>2014</c:v>
                  </c:pt>
                  <c:pt idx="16">
                    <c:v>2012</c:v>
                  </c:pt>
                  <c:pt idx="17">
                    <c:v>2013</c:v>
                  </c:pt>
                  <c:pt idx="18">
                    <c:v>2014</c:v>
                  </c:pt>
                  <c:pt idx="19">
                    <c:v>2007</c:v>
                  </c:pt>
                  <c:pt idx="20">
                    <c:v>2008</c:v>
                  </c:pt>
                  <c:pt idx="21">
                    <c:v>2009</c:v>
                  </c:pt>
                  <c:pt idx="22">
                    <c:v>2010</c:v>
                  </c:pt>
                  <c:pt idx="23">
                    <c:v>2011</c:v>
                  </c:pt>
                  <c:pt idx="24">
                    <c:v>2012</c:v>
                  </c:pt>
                  <c:pt idx="25">
                    <c:v>2013</c:v>
                  </c:pt>
                  <c:pt idx="26">
                    <c:v>2014</c:v>
                  </c:pt>
                </c:lvl>
                <c:lvl>
                  <c:pt idx="0">
                    <c:v>Büroo</c:v>
                  </c:pt>
                  <c:pt idx="8">
                    <c:v>Haridus ja teadus</c:v>
                  </c:pt>
                  <c:pt idx="16">
                    <c:v>Kultuur</c:v>
                  </c:pt>
                  <c:pt idx="19">
                    <c:v>Sisejulgeolek</c:v>
                  </c:pt>
                </c:lvl>
              </c:multiLvlStrCache>
            </c:multiLvlStrRef>
          </c:cat>
          <c:val>
            <c:numRef>
              <c:f>'Ülalpidamiskulud (2)'!$B$11:$B$42</c:f>
              <c:numCache>
                <c:formatCode>#,###.00</c:formatCode>
                <c:ptCount val="27"/>
                <c:pt idx="0">
                  <c:v>-0.36433004093048632</c:v>
                </c:pt>
                <c:pt idx="1">
                  <c:v>-0.25071502888703129</c:v>
                </c:pt>
                <c:pt idx="2">
                  <c:v>-0.19330891621160382</c:v>
                </c:pt>
                <c:pt idx="3">
                  <c:v>-0.21069505105819544</c:v>
                </c:pt>
                <c:pt idx="4">
                  <c:v>-0.14044794153574783</c:v>
                </c:pt>
                <c:pt idx="5">
                  <c:v>-0.15105932946786613</c:v>
                </c:pt>
                <c:pt idx="6">
                  <c:v>-0.14841534393109615</c:v>
                </c:pt>
                <c:pt idx="7">
                  <c:v>-0.11573871195999852</c:v>
                </c:pt>
                <c:pt idx="8">
                  <c:v>-0.10311731317234085</c:v>
                </c:pt>
                <c:pt idx="9">
                  <c:v>-0.10787311914523426</c:v>
                </c:pt>
                <c:pt idx="10">
                  <c:v>-0.11546567225620767</c:v>
                </c:pt>
                <c:pt idx="11">
                  <c:v>-0.12211568134341166</c:v>
                </c:pt>
                <c:pt idx="12">
                  <c:v>-6.1973278306281437E-2</c:v>
                </c:pt>
                <c:pt idx="13">
                  <c:v>-5.5974888327324876E-2</c:v>
                </c:pt>
                <c:pt idx="14">
                  <c:v>-6.462200969070156E-2</c:v>
                </c:pt>
                <c:pt idx="15">
                  <c:v>-6.6246862699758657E-2</c:v>
                </c:pt>
                <c:pt idx="16">
                  <c:v>-6.2914013577087535E-2</c:v>
                </c:pt>
                <c:pt idx="17">
                  <c:v>-7.7510919640050482E-2</c:v>
                </c:pt>
                <c:pt idx="18">
                  <c:v>-8.6022245734791045E-2</c:v>
                </c:pt>
                <c:pt idx="19">
                  <c:v>-0.5694808401132565</c:v>
                </c:pt>
                <c:pt idx="20">
                  <c:v>-0.22228137287239544</c:v>
                </c:pt>
                <c:pt idx="21">
                  <c:v>-0.16229085699628495</c:v>
                </c:pt>
                <c:pt idx="22">
                  <c:v>-0.16449502242200909</c:v>
                </c:pt>
                <c:pt idx="23">
                  <c:v>-0.13354499061821851</c:v>
                </c:pt>
                <c:pt idx="24">
                  <c:v>-9.2106269750686767E-2</c:v>
                </c:pt>
                <c:pt idx="25">
                  <c:v>-0.10285883241858919</c:v>
                </c:pt>
                <c:pt idx="26">
                  <c:v>-8.4931575554420768E-2</c:v>
                </c:pt>
              </c:numCache>
            </c:numRef>
          </c:val>
        </c:ser>
        <c:ser>
          <c:idx val="1"/>
          <c:order val="1"/>
          <c:tx>
            <c:strRef>
              <c:f>'Ülalpidamiskulud (2)'!$C$9:$C$10</c:f>
              <c:strCache>
                <c:ptCount val="1"/>
                <c:pt idx="0">
                  <c:v>2000 Tehnohooldus</c:v>
                </c:pt>
              </c:strCache>
            </c:strRef>
          </c:tx>
          <c:cat>
            <c:multiLvlStrRef>
              <c:f>'Ülalpidamiskulud (2)'!$A$11:$A$42</c:f>
              <c:multiLvlStrCache>
                <c:ptCount val="27"/>
                <c:lvl>
                  <c:pt idx="0">
                    <c:v>2007</c:v>
                  </c:pt>
                  <c:pt idx="1">
                    <c:v>2008</c:v>
                  </c:pt>
                  <c:pt idx="2">
                    <c:v>2009</c:v>
                  </c:pt>
                  <c:pt idx="3">
                    <c:v>2010</c:v>
                  </c:pt>
                  <c:pt idx="4">
                    <c:v>2011</c:v>
                  </c:pt>
                  <c:pt idx="5">
                    <c:v>2012</c:v>
                  </c:pt>
                  <c:pt idx="6">
                    <c:v>2013</c:v>
                  </c:pt>
                  <c:pt idx="7">
                    <c:v>2014</c:v>
                  </c:pt>
                  <c:pt idx="8">
                    <c:v>2007</c:v>
                  </c:pt>
                  <c:pt idx="9">
                    <c:v>2008</c:v>
                  </c:pt>
                  <c:pt idx="10">
                    <c:v>2009</c:v>
                  </c:pt>
                  <c:pt idx="11">
                    <c:v>2010</c:v>
                  </c:pt>
                  <c:pt idx="12">
                    <c:v>2011</c:v>
                  </c:pt>
                  <c:pt idx="13">
                    <c:v>2012</c:v>
                  </c:pt>
                  <c:pt idx="14">
                    <c:v>2013</c:v>
                  </c:pt>
                  <c:pt idx="15">
                    <c:v>2014</c:v>
                  </c:pt>
                  <c:pt idx="16">
                    <c:v>2012</c:v>
                  </c:pt>
                  <c:pt idx="17">
                    <c:v>2013</c:v>
                  </c:pt>
                  <c:pt idx="18">
                    <c:v>2014</c:v>
                  </c:pt>
                  <c:pt idx="19">
                    <c:v>2007</c:v>
                  </c:pt>
                  <c:pt idx="20">
                    <c:v>2008</c:v>
                  </c:pt>
                  <c:pt idx="21">
                    <c:v>2009</c:v>
                  </c:pt>
                  <c:pt idx="22">
                    <c:v>2010</c:v>
                  </c:pt>
                  <c:pt idx="23">
                    <c:v>2011</c:v>
                  </c:pt>
                  <c:pt idx="24">
                    <c:v>2012</c:v>
                  </c:pt>
                  <c:pt idx="25">
                    <c:v>2013</c:v>
                  </c:pt>
                  <c:pt idx="26">
                    <c:v>2014</c:v>
                  </c:pt>
                </c:lvl>
                <c:lvl>
                  <c:pt idx="0">
                    <c:v>Büroo</c:v>
                  </c:pt>
                  <c:pt idx="8">
                    <c:v>Haridus ja teadus</c:v>
                  </c:pt>
                  <c:pt idx="16">
                    <c:v>Kultuur</c:v>
                  </c:pt>
                  <c:pt idx="19">
                    <c:v>Sisejulgeolek</c:v>
                  </c:pt>
                </c:lvl>
              </c:multiLvlStrCache>
            </c:multiLvlStrRef>
          </c:cat>
          <c:val>
            <c:numRef>
              <c:f>'Ülalpidamiskulud (2)'!$C$11:$C$42</c:f>
              <c:numCache>
                <c:formatCode>#,###.00</c:formatCode>
                <c:ptCount val="27"/>
                <c:pt idx="0">
                  <c:v>-0.27361292781986768</c:v>
                </c:pt>
                <c:pt idx="1">
                  <c:v>-0.55617393009618421</c:v>
                </c:pt>
                <c:pt idx="2">
                  <c:v>-0.51470460291908093</c:v>
                </c:pt>
                <c:pt idx="3">
                  <c:v>-0.52444402438960003</c:v>
                </c:pt>
                <c:pt idx="4">
                  <c:v>-0.49485353119848952</c:v>
                </c:pt>
                <c:pt idx="5">
                  <c:v>-0.42800435843816176</c:v>
                </c:pt>
                <c:pt idx="6">
                  <c:v>-0.42759806706886594</c:v>
                </c:pt>
                <c:pt idx="7">
                  <c:v>-0.39480178048550163</c:v>
                </c:pt>
                <c:pt idx="8">
                  <c:v>-0.11053114923609762</c:v>
                </c:pt>
                <c:pt idx="9">
                  <c:v>-0.1072928690772753</c:v>
                </c:pt>
                <c:pt idx="10">
                  <c:v>-0.10955710632260365</c:v>
                </c:pt>
                <c:pt idx="11">
                  <c:v>-9.5422778969154853E-2</c:v>
                </c:pt>
                <c:pt idx="12">
                  <c:v>-0.11473962647182304</c:v>
                </c:pt>
                <c:pt idx="13">
                  <c:v>-9.1569157566985734E-2</c:v>
                </c:pt>
                <c:pt idx="14">
                  <c:v>-0.13964688723884228</c:v>
                </c:pt>
                <c:pt idx="15">
                  <c:v>-0.1792012577139562</c:v>
                </c:pt>
                <c:pt idx="16">
                  <c:v>-0.11703986965329848</c:v>
                </c:pt>
                <c:pt idx="17">
                  <c:v>-0.22721287484541075</c:v>
                </c:pt>
                <c:pt idx="18">
                  <c:v>-0.34070966181897688</c:v>
                </c:pt>
                <c:pt idx="19">
                  <c:v>-0.28103596153934968</c:v>
                </c:pt>
                <c:pt idx="20">
                  <c:v>-0.50924206092989999</c:v>
                </c:pt>
                <c:pt idx="21">
                  <c:v>-0.70362323620109324</c:v>
                </c:pt>
                <c:pt idx="22">
                  <c:v>-0.59878981655721175</c:v>
                </c:pt>
                <c:pt idx="23">
                  <c:v>-0.73391592704108755</c:v>
                </c:pt>
                <c:pt idx="24">
                  <c:v>-0.5756116578500976</c:v>
                </c:pt>
                <c:pt idx="25">
                  <c:v>-0.7060017767850546</c:v>
                </c:pt>
                <c:pt idx="26">
                  <c:v>-0.67946309266113758</c:v>
                </c:pt>
              </c:numCache>
            </c:numRef>
          </c:val>
        </c:ser>
        <c:ser>
          <c:idx val="2"/>
          <c:order val="2"/>
          <c:tx>
            <c:strRef>
              <c:f>'Ülalpidamiskulud (2)'!$D$9:$D$10</c:f>
              <c:strCache>
                <c:ptCount val="1"/>
                <c:pt idx="0">
                  <c:v>3000 Heakorratööd</c:v>
                </c:pt>
              </c:strCache>
            </c:strRef>
          </c:tx>
          <c:cat>
            <c:multiLvlStrRef>
              <c:f>'Ülalpidamiskulud (2)'!$A$11:$A$42</c:f>
              <c:multiLvlStrCache>
                <c:ptCount val="27"/>
                <c:lvl>
                  <c:pt idx="0">
                    <c:v>2007</c:v>
                  </c:pt>
                  <c:pt idx="1">
                    <c:v>2008</c:v>
                  </c:pt>
                  <c:pt idx="2">
                    <c:v>2009</c:v>
                  </c:pt>
                  <c:pt idx="3">
                    <c:v>2010</c:v>
                  </c:pt>
                  <c:pt idx="4">
                    <c:v>2011</c:v>
                  </c:pt>
                  <c:pt idx="5">
                    <c:v>2012</c:v>
                  </c:pt>
                  <c:pt idx="6">
                    <c:v>2013</c:v>
                  </c:pt>
                  <c:pt idx="7">
                    <c:v>2014</c:v>
                  </c:pt>
                  <c:pt idx="8">
                    <c:v>2007</c:v>
                  </c:pt>
                  <c:pt idx="9">
                    <c:v>2008</c:v>
                  </c:pt>
                  <c:pt idx="10">
                    <c:v>2009</c:v>
                  </c:pt>
                  <c:pt idx="11">
                    <c:v>2010</c:v>
                  </c:pt>
                  <c:pt idx="12">
                    <c:v>2011</c:v>
                  </c:pt>
                  <c:pt idx="13">
                    <c:v>2012</c:v>
                  </c:pt>
                  <c:pt idx="14">
                    <c:v>2013</c:v>
                  </c:pt>
                  <c:pt idx="15">
                    <c:v>2014</c:v>
                  </c:pt>
                  <c:pt idx="16">
                    <c:v>2012</c:v>
                  </c:pt>
                  <c:pt idx="17">
                    <c:v>2013</c:v>
                  </c:pt>
                  <c:pt idx="18">
                    <c:v>2014</c:v>
                  </c:pt>
                  <c:pt idx="19">
                    <c:v>2007</c:v>
                  </c:pt>
                  <c:pt idx="20">
                    <c:v>2008</c:v>
                  </c:pt>
                  <c:pt idx="21">
                    <c:v>2009</c:v>
                  </c:pt>
                  <c:pt idx="22">
                    <c:v>2010</c:v>
                  </c:pt>
                  <c:pt idx="23">
                    <c:v>2011</c:v>
                  </c:pt>
                  <c:pt idx="24">
                    <c:v>2012</c:v>
                  </c:pt>
                  <c:pt idx="25">
                    <c:v>2013</c:v>
                  </c:pt>
                  <c:pt idx="26">
                    <c:v>2014</c:v>
                  </c:pt>
                </c:lvl>
                <c:lvl>
                  <c:pt idx="0">
                    <c:v>Büroo</c:v>
                  </c:pt>
                  <c:pt idx="8">
                    <c:v>Haridus ja teadus</c:v>
                  </c:pt>
                  <c:pt idx="16">
                    <c:v>Kultuur</c:v>
                  </c:pt>
                  <c:pt idx="19">
                    <c:v>Sisejulgeolek</c:v>
                  </c:pt>
                </c:lvl>
              </c:multiLvlStrCache>
            </c:multiLvlStrRef>
          </c:cat>
          <c:val>
            <c:numRef>
              <c:f>'Ülalpidamiskulud (2)'!$D$11:$D$42</c:f>
              <c:numCache>
                <c:formatCode>#,###.00</c:formatCode>
                <c:ptCount val="27"/>
                <c:pt idx="0">
                  <c:v>-0.87295842219075592</c:v>
                </c:pt>
                <c:pt idx="1">
                  <c:v>-1.0793167869481297</c:v>
                </c:pt>
                <c:pt idx="2">
                  <c:v>-0.85974956480269005</c:v>
                </c:pt>
                <c:pt idx="3">
                  <c:v>-0.67451409861279865</c:v>
                </c:pt>
                <c:pt idx="4">
                  <c:v>-0.54107782505577162</c:v>
                </c:pt>
                <c:pt idx="5">
                  <c:v>-0.64846496751918503</c:v>
                </c:pt>
                <c:pt idx="6">
                  <c:v>-0.68788446308919815</c:v>
                </c:pt>
                <c:pt idx="7">
                  <c:v>-0.73992813654663048</c:v>
                </c:pt>
                <c:pt idx="8">
                  <c:v>-4.4787733339631895E-2</c:v>
                </c:pt>
                <c:pt idx="9">
                  <c:v>-3.8078012184484616E-2</c:v>
                </c:pt>
                <c:pt idx="10">
                  <c:v>-4.7800764411958734E-2</c:v>
                </c:pt>
                <c:pt idx="11">
                  <c:v>-5.0783936933710527E-2</c:v>
                </c:pt>
                <c:pt idx="12">
                  <c:v>-4.0660546489038087E-2</c:v>
                </c:pt>
                <c:pt idx="13">
                  <c:v>-2.8640632280815412E-2</c:v>
                </c:pt>
                <c:pt idx="14">
                  <c:v>-0.10511443182625083</c:v>
                </c:pt>
                <c:pt idx="15">
                  <c:v>-0.26071743622109611</c:v>
                </c:pt>
                <c:pt idx="16">
                  <c:v>-0.23160507814650139</c:v>
                </c:pt>
                <c:pt idx="17">
                  <c:v>-0.34145949029551897</c:v>
                </c:pt>
                <c:pt idx="18">
                  <c:v>-0.47140390177372082</c:v>
                </c:pt>
                <c:pt idx="19">
                  <c:v>-0.47934235893854982</c:v>
                </c:pt>
                <c:pt idx="20">
                  <c:v>-0.21245712957690999</c:v>
                </c:pt>
                <c:pt idx="21">
                  <c:v>-0.18968578165254499</c:v>
                </c:pt>
                <c:pt idx="22">
                  <c:v>-0.17440968682636723</c:v>
                </c:pt>
                <c:pt idx="23">
                  <c:v>-0.11882303958990525</c:v>
                </c:pt>
                <c:pt idx="24">
                  <c:v>-0.44728074805958584</c:v>
                </c:pt>
                <c:pt idx="25">
                  <c:v>-0.48638330900552407</c:v>
                </c:pt>
                <c:pt idx="26">
                  <c:v>-0.47616045887913749</c:v>
                </c:pt>
              </c:numCache>
            </c:numRef>
          </c:val>
        </c:ser>
        <c:ser>
          <c:idx val="3"/>
          <c:order val="3"/>
          <c:tx>
            <c:strRef>
              <c:f>'Ülalpidamiskulud (2)'!$E$9:$E$10</c:f>
              <c:strCache>
                <c:ptCount val="1"/>
                <c:pt idx="0">
                  <c:v>5000 Omanikukohustused</c:v>
                </c:pt>
              </c:strCache>
            </c:strRef>
          </c:tx>
          <c:cat>
            <c:multiLvlStrRef>
              <c:f>'Ülalpidamiskulud (2)'!$A$11:$A$42</c:f>
              <c:multiLvlStrCache>
                <c:ptCount val="27"/>
                <c:lvl>
                  <c:pt idx="0">
                    <c:v>2007</c:v>
                  </c:pt>
                  <c:pt idx="1">
                    <c:v>2008</c:v>
                  </c:pt>
                  <c:pt idx="2">
                    <c:v>2009</c:v>
                  </c:pt>
                  <c:pt idx="3">
                    <c:v>2010</c:v>
                  </c:pt>
                  <c:pt idx="4">
                    <c:v>2011</c:v>
                  </c:pt>
                  <c:pt idx="5">
                    <c:v>2012</c:v>
                  </c:pt>
                  <c:pt idx="6">
                    <c:v>2013</c:v>
                  </c:pt>
                  <c:pt idx="7">
                    <c:v>2014</c:v>
                  </c:pt>
                  <c:pt idx="8">
                    <c:v>2007</c:v>
                  </c:pt>
                  <c:pt idx="9">
                    <c:v>2008</c:v>
                  </c:pt>
                  <c:pt idx="10">
                    <c:v>2009</c:v>
                  </c:pt>
                  <c:pt idx="11">
                    <c:v>2010</c:v>
                  </c:pt>
                  <c:pt idx="12">
                    <c:v>2011</c:v>
                  </c:pt>
                  <c:pt idx="13">
                    <c:v>2012</c:v>
                  </c:pt>
                  <c:pt idx="14">
                    <c:v>2013</c:v>
                  </c:pt>
                  <c:pt idx="15">
                    <c:v>2014</c:v>
                  </c:pt>
                  <c:pt idx="16">
                    <c:v>2012</c:v>
                  </c:pt>
                  <c:pt idx="17">
                    <c:v>2013</c:v>
                  </c:pt>
                  <c:pt idx="18">
                    <c:v>2014</c:v>
                  </c:pt>
                  <c:pt idx="19">
                    <c:v>2007</c:v>
                  </c:pt>
                  <c:pt idx="20">
                    <c:v>2008</c:v>
                  </c:pt>
                  <c:pt idx="21">
                    <c:v>2009</c:v>
                  </c:pt>
                  <c:pt idx="22">
                    <c:v>2010</c:v>
                  </c:pt>
                  <c:pt idx="23">
                    <c:v>2011</c:v>
                  </c:pt>
                  <c:pt idx="24">
                    <c:v>2012</c:v>
                  </c:pt>
                  <c:pt idx="25">
                    <c:v>2013</c:v>
                  </c:pt>
                  <c:pt idx="26">
                    <c:v>2014</c:v>
                  </c:pt>
                </c:lvl>
                <c:lvl>
                  <c:pt idx="0">
                    <c:v>Büroo</c:v>
                  </c:pt>
                  <c:pt idx="8">
                    <c:v>Haridus ja teadus</c:v>
                  </c:pt>
                  <c:pt idx="16">
                    <c:v>Kultuur</c:v>
                  </c:pt>
                  <c:pt idx="19">
                    <c:v>Sisejulgeolek</c:v>
                  </c:pt>
                </c:lvl>
              </c:multiLvlStrCache>
            </c:multiLvlStrRef>
          </c:cat>
          <c:val>
            <c:numRef>
              <c:f>'Ülalpidamiskulud (2)'!$E$11:$E$42</c:f>
              <c:numCache>
                <c:formatCode>#,###.00</c:formatCode>
                <c:ptCount val="27"/>
                <c:pt idx="0">
                  <c:v>-0.22805180374391357</c:v>
                </c:pt>
                <c:pt idx="1">
                  <c:v>-0.25900700656325465</c:v>
                </c:pt>
                <c:pt idx="2">
                  <c:v>-0.23331510839347491</c:v>
                </c:pt>
                <c:pt idx="3">
                  <c:v>-0.23796783060849847</c:v>
                </c:pt>
                <c:pt idx="4">
                  <c:v>-0.26691516452809383</c:v>
                </c:pt>
                <c:pt idx="5">
                  <c:v>-0.20380402902808017</c:v>
                </c:pt>
                <c:pt idx="6">
                  <c:v>-0.23290424343178451</c:v>
                </c:pt>
                <c:pt idx="7">
                  <c:v>-0.28530644596178295</c:v>
                </c:pt>
                <c:pt idx="8">
                  <c:v>-0.17580648422774744</c:v>
                </c:pt>
                <c:pt idx="9">
                  <c:v>-0.15793053605186474</c:v>
                </c:pt>
                <c:pt idx="10">
                  <c:v>-0.13953972587208921</c:v>
                </c:pt>
                <c:pt idx="11">
                  <c:v>-0.11801382815052851</c:v>
                </c:pt>
                <c:pt idx="12">
                  <c:v>-0.15168204642094843</c:v>
                </c:pt>
                <c:pt idx="13">
                  <c:v>-0.11706451853290419</c:v>
                </c:pt>
                <c:pt idx="14">
                  <c:v>-0.13761888384767873</c:v>
                </c:pt>
                <c:pt idx="15">
                  <c:v>-0.18924127624870404</c:v>
                </c:pt>
                <c:pt idx="16">
                  <c:v>-5.0401307256589284E-2</c:v>
                </c:pt>
                <c:pt idx="17">
                  <c:v>-0.15729699071417588</c:v>
                </c:pt>
                <c:pt idx="18">
                  <c:v>-0.30247201388500305</c:v>
                </c:pt>
                <c:pt idx="19">
                  <c:v>-0.21869176960971218</c:v>
                </c:pt>
                <c:pt idx="20">
                  <c:v>-0.25322869329202835</c:v>
                </c:pt>
                <c:pt idx="21">
                  <c:v>-0.2232739914706264</c:v>
                </c:pt>
                <c:pt idx="22">
                  <c:v>-0.19202463951183821</c:v>
                </c:pt>
                <c:pt idx="23">
                  <c:v>-0.25226219303105046</c:v>
                </c:pt>
                <c:pt idx="24">
                  <c:v>-0.17980071178364768</c:v>
                </c:pt>
                <c:pt idx="25">
                  <c:v>-0.23063806178715521</c:v>
                </c:pt>
                <c:pt idx="26">
                  <c:v>-0.27647466725688469</c:v>
                </c:pt>
              </c:numCache>
            </c:numRef>
          </c:val>
        </c:ser>
        <c:ser>
          <c:idx val="4"/>
          <c:order val="4"/>
          <c:tx>
            <c:strRef>
              <c:f>'Ülalpidamiskulud (2)'!$F$9:$F$10</c:f>
              <c:strCache>
                <c:ptCount val="1"/>
                <c:pt idx="0">
                  <c:v>6000 Tarbimisteenused</c:v>
                </c:pt>
              </c:strCache>
            </c:strRef>
          </c:tx>
          <c:cat>
            <c:multiLvlStrRef>
              <c:f>'Ülalpidamiskulud (2)'!$A$11:$A$42</c:f>
              <c:multiLvlStrCache>
                <c:ptCount val="27"/>
                <c:lvl>
                  <c:pt idx="0">
                    <c:v>2007</c:v>
                  </c:pt>
                  <c:pt idx="1">
                    <c:v>2008</c:v>
                  </c:pt>
                  <c:pt idx="2">
                    <c:v>2009</c:v>
                  </c:pt>
                  <c:pt idx="3">
                    <c:v>2010</c:v>
                  </c:pt>
                  <c:pt idx="4">
                    <c:v>2011</c:v>
                  </c:pt>
                  <c:pt idx="5">
                    <c:v>2012</c:v>
                  </c:pt>
                  <c:pt idx="6">
                    <c:v>2013</c:v>
                  </c:pt>
                  <c:pt idx="7">
                    <c:v>2014</c:v>
                  </c:pt>
                  <c:pt idx="8">
                    <c:v>2007</c:v>
                  </c:pt>
                  <c:pt idx="9">
                    <c:v>2008</c:v>
                  </c:pt>
                  <c:pt idx="10">
                    <c:v>2009</c:v>
                  </c:pt>
                  <c:pt idx="11">
                    <c:v>2010</c:v>
                  </c:pt>
                  <c:pt idx="12">
                    <c:v>2011</c:v>
                  </c:pt>
                  <c:pt idx="13">
                    <c:v>2012</c:v>
                  </c:pt>
                  <c:pt idx="14">
                    <c:v>2013</c:v>
                  </c:pt>
                  <c:pt idx="15">
                    <c:v>2014</c:v>
                  </c:pt>
                  <c:pt idx="16">
                    <c:v>2012</c:v>
                  </c:pt>
                  <c:pt idx="17">
                    <c:v>2013</c:v>
                  </c:pt>
                  <c:pt idx="18">
                    <c:v>2014</c:v>
                  </c:pt>
                  <c:pt idx="19">
                    <c:v>2007</c:v>
                  </c:pt>
                  <c:pt idx="20">
                    <c:v>2008</c:v>
                  </c:pt>
                  <c:pt idx="21">
                    <c:v>2009</c:v>
                  </c:pt>
                  <c:pt idx="22">
                    <c:v>2010</c:v>
                  </c:pt>
                  <c:pt idx="23">
                    <c:v>2011</c:v>
                  </c:pt>
                  <c:pt idx="24">
                    <c:v>2012</c:v>
                  </c:pt>
                  <c:pt idx="25">
                    <c:v>2013</c:v>
                  </c:pt>
                  <c:pt idx="26">
                    <c:v>2014</c:v>
                  </c:pt>
                </c:lvl>
                <c:lvl>
                  <c:pt idx="0">
                    <c:v>Büroo</c:v>
                  </c:pt>
                  <c:pt idx="8">
                    <c:v>Haridus ja teadus</c:v>
                  </c:pt>
                  <c:pt idx="16">
                    <c:v>Kultuur</c:v>
                  </c:pt>
                  <c:pt idx="19">
                    <c:v>Sisejulgeolek</c:v>
                  </c:pt>
                </c:lvl>
              </c:multiLvlStrCache>
            </c:multiLvlStrRef>
          </c:cat>
          <c:val>
            <c:numRef>
              <c:f>'Ülalpidamiskulud (2)'!$F$11:$F$42</c:f>
              <c:numCache>
                <c:formatCode>#,###.00</c:formatCode>
                <c:ptCount val="27"/>
                <c:pt idx="0">
                  <c:v>-1.0265048899584772</c:v>
                </c:pt>
                <c:pt idx="1">
                  <c:v>-1.2033504996811273</c:v>
                </c:pt>
                <c:pt idx="2">
                  <c:v>-1.2160714676437343</c:v>
                </c:pt>
                <c:pt idx="3">
                  <c:v>-1.3324749388756321</c:v>
                </c:pt>
                <c:pt idx="4">
                  <c:v>-1.2187886781752084</c:v>
                </c:pt>
                <c:pt idx="5">
                  <c:v>-1.3470862044292131</c:v>
                </c:pt>
                <c:pt idx="6">
                  <c:v>-1.3759296641182619</c:v>
                </c:pt>
                <c:pt idx="7">
                  <c:v>-1.3619496022755706</c:v>
                </c:pt>
                <c:pt idx="8">
                  <c:v>-1.9098669962430601E-3</c:v>
                </c:pt>
                <c:pt idx="9">
                  <c:v>-1.3800477798523567E-3</c:v>
                </c:pt>
                <c:pt idx="10">
                  <c:v>-1.1865609499749715E-2</c:v>
                </c:pt>
                <c:pt idx="11">
                  <c:v>-2.8970472571910252E-2</c:v>
                </c:pt>
                <c:pt idx="12">
                  <c:v>-3.5842076658983812E-2</c:v>
                </c:pt>
                <c:pt idx="13">
                  <c:v>-9.2386725306750211E-2</c:v>
                </c:pt>
                <c:pt idx="14">
                  <c:v>-0.28004024716193826</c:v>
                </c:pt>
                <c:pt idx="15">
                  <c:v>-0.41478001748225574</c:v>
                </c:pt>
                <c:pt idx="16">
                  <c:v>-0.42687664399773889</c:v>
                </c:pt>
                <c:pt idx="17">
                  <c:v>-0.80147568373104749</c:v>
                </c:pt>
                <c:pt idx="18">
                  <c:v>-0.93013470498840667</c:v>
                </c:pt>
                <c:pt idx="19">
                  <c:v>-2.3060029692311192</c:v>
                </c:pt>
                <c:pt idx="20">
                  <c:v>-2.0616446774141397</c:v>
                </c:pt>
                <c:pt idx="21">
                  <c:v>-2.2338673437174092</c:v>
                </c:pt>
                <c:pt idx="22">
                  <c:v>-2.6011140594448214</c:v>
                </c:pt>
                <c:pt idx="23">
                  <c:v>-2.5918552236461192</c:v>
                </c:pt>
                <c:pt idx="24">
                  <c:v>-2.1449146542040411</c:v>
                </c:pt>
                <c:pt idx="25">
                  <c:v>-2.2426445760389293</c:v>
                </c:pt>
                <c:pt idx="26">
                  <c:v>-2.2349709325273412</c:v>
                </c:pt>
              </c:numCache>
            </c:numRef>
          </c:val>
        </c:ser>
        <c:overlap val="100"/>
        <c:axId val="174530944"/>
        <c:axId val="174532480"/>
      </c:barChart>
      <c:catAx>
        <c:axId val="174530944"/>
        <c:scaling>
          <c:orientation val="minMax"/>
        </c:scaling>
        <c:axPos val="t"/>
        <c:numFmt formatCode="General" sourceLinked="0"/>
        <c:tickLblPos val="high"/>
        <c:crossAx val="174532480"/>
        <c:crosses val="autoZero"/>
        <c:auto val="1"/>
        <c:lblAlgn val="ctr"/>
        <c:lblOffset val="100"/>
      </c:catAx>
      <c:valAx>
        <c:axId val="174532480"/>
        <c:scaling>
          <c:orientation val="maxMin"/>
        </c:scaling>
        <c:axPos val="l"/>
        <c:majorGridlines/>
        <c:numFmt formatCode="#,##0.00" sourceLinked="0"/>
        <c:tickLblPos val="nextTo"/>
        <c:crossAx val="174530944"/>
        <c:crosses val="autoZero"/>
        <c:crossBetween val="between"/>
      </c:valAx>
    </c:plotArea>
    <c:legend>
      <c:legendPos val="r"/>
      <c:layout>
        <c:manualLayout>
          <c:xMode val="edge"/>
          <c:yMode val="edge"/>
          <c:x val="0.37179491774938428"/>
          <c:y val="7.1404746281714782E-2"/>
          <c:w val="0.25272013832305978"/>
          <c:h val="0.40749450126018538"/>
        </c:manualLayout>
      </c:layout>
      <c:txPr>
        <a:bodyPr/>
        <a:lstStyle/>
        <a:p>
          <a:pPr>
            <a:defRPr sz="800"/>
          </a:pPr>
          <a:endParaRPr lang="et-EE"/>
        </a:p>
      </c:txPr>
    </c:legend>
    <c:plotVisOnly val="1"/>
    <c:dispBlanksAs val="gap"/>
  </c:chart>
  <c:externalData r:id="rId1"/>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t-EE"/>
  <c:pivotSource>
    <c:name>[4-M2 kulud kulukohtade lõikes.xlsx]Ülalpidamiskulud (3)!Ülalpidamiskulud</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marker>
          <c:symbol val="none"/>
        </c:marker>
      </c:pivotFmt>
      <c:pivotFmt>
        <c:idx val="14"/>
        <c:marker>
          <c:symbol val="none"/>
        </c:marker>
      </c:pivotFmt>
      <c:pivotFmt>
        <c:idx val="15"/>
        <c:marker>
          <c:symbol val="none"/>
        </c:marker>
      </c:pivotFmt>
      <c:pivotFmt>
        <c:idx val="16"/>
      </c:pivotFmt>
      <c:pivotFmt>
        <c:idx val="17"/>
        <c:marker>
          <c:symbol val="none"/>
        </c:marker>
      </c:pivotFmt>
      <c:pivotFmt>
        <c:idx val="18"/>
        <c:marker>
          <c:symbol val="none"/>
        </c:marker>
      </c:pivotFmt>
      <c:pivotFmt>
        <c:idx val="19"/>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plotArea>
      <c:layout/>
      <c:barChart>
        <c:barDir val="col"/>
        <c:grouping val="stacked"/>
        <c:ser>
          <c:idx val="0"/>
          <c:order val="0"/>
          <c:tx>
            <c:strRef>
              <c:f>'Ülalpidamiskulud (3)'!$B$9:$B$10</c:f>
              <c:strCache>
                <c:ptCount val="1"/>
                <c:pt idx="0">
                  <c:v>1000 Haldamine</c:v>
                </c:pt>
              </c:strCache>
            </c:strRef>
          </c:tx>
          <c:cat>
            <c:strRef>
              <c:f>'Ülalpidamiskulud (3)'!$A$11:$A$19</c:f>
              <c:strCache>
                <c:ptCount val="8"/>
                <c:pt idx="0">
                  <c:v>2007</c:v>
                </c:pt>
                <c:pt idx="1">
                  <c:v>2008</c:v>
                </c:pt>
                <c:pt idx="2">
                  <c:v>2009</c:v>
                </c:pt>
                <c:pt idx="3">
                  <c:v>2010</c:v>
                </c:pt>
                <c:pt idx="4">
                  <c:v>2011</c:v>
                </c:pt>
                <c:pt idx="5">
                  <c:v>2012</c:v>
                </c:pt>
                <c:pt idx="6">
                  <c:v>2013</c:v>
                </c:pt>
                <c:pt idx="7">
                  <c:v>2014</c:v>
                </c:pt>
              </c:strCache>
            </c:strRef>
          </c:cat>
          <c:val>
            <c:numRef>
              <c:f>'Ülalpidamiskulud (3)'!$B$11:$B$19</c:f>
              <c:numCache>
                <c:formatCode>#,###.00</c:formatCode>
                <c:ptCount val="8"/>
                <c:pt idx="0">
                  <c:v>-0.28652773837596618</c:v>
                </c:pt>
                <c:pt idx="1">
                  <c:v>-0.18465348849014426</c:v>
                </c:pt>
                <c:pt idx="2">
                  <c:v>-0.15438775265615184</c:v>
                </c:pt>
                <c:pt idx="3">
                  <c:v>-0.16524130321221059</c:v>
                </c:pt>
                <c:pt idx="4">
                  <c:v>-0.11179634945765611</c:v>
                </c:pt>
                <c:pt idx="5">
                  <c:v>-0.10298854290398762</c:v>
                </c:pt>
                <c:pt idx="6">
                  <c:v>-0.11020958304385006</c:v>
                </c:pt>
                <c:pt idx="7">
                  <c:v>-0.10068246093025462</c:v>
                </c:pt>
              </c:numCache>
            </c:numRef>
          </c:val>
        </c:ser>
        <c:ser>
          <c:idx val="1"/>
          <c:order val="1"/>
          <c:tx>
            <c:strRef>
              <c:f>'Ülalpidamiskulud (3)'!$C$9:$C$10</c:f>
              <c:strCache>
                <c:ptCount val="1"/>
                <c:pt idx="0">
                  <c:v>2000 Tehnohooldus</c:v>
                </c:pt>
              </c:strCache>
            </c:strRef>
          </c:tx>
          <c:cat>
            <c:strRef>
              <c:f>'Ülalpidamiskulud (3)'!$A$11:$A$19</c:f>
              <c:strCache>
                <c:ptCount val="8"/>
                <c:pt idx="0">
                  <c:v>2007</c:v>
                </c:pt>
                <c:pt idx="1">
                  <c:v>2008</c:v>
                </c:pt>
                <c:pt idx="2">
                  <c:v>2009</c:v>
                </c:pt>
                <c:pt idx="3">
                  <c:v>2010</c:v>
                </c:pt>
                <c:pt idx="4">
                  <c:v>2011</c:v>
                </c:pt>
                <c:pt idx="5">
                  <c:v>2012</c:v>
                </c:pt>
                <c:pt idx="6">
                  <c:v>2013</c:v>
                </c:pt>
                <c:pt idx="7">
                  <c:v>2014</c:v>
                </c:pt>
              </c:strCache>
            </c:strRef>
          </c:cat>
          <c:val>
            <c:numRef>
              <c:f>'Ülalpidamiskulud (3)'!$C$11:$C$19</c:f>
              <c:numCache>
                <c:formatCode>#,###.00</c:formatCode>
                <c:ptCount val="8"/>
                <c:pt idx="0">
                  <c:v>-0.2204278395031099</c:v>
                </c:pt>
                <c:pt idx="1">
                  <c:v>-0.34353703209322523</c:v>
                </c:pt>
                <c:pt idx="2">
                  <c:v>-0.37569753036801534</c:v>
                </c:pt>
                <c:pt idx="3">
                  <c:v>-0.35986825692930435</c:v>
                </c:pt>
                <c:pt idx="4">
                  <c:v>-0.41099145289305222</c:v>
                </c:pt>
                <c:pt idx="5">
                  <c:v>-0.34715650738862813</c:v>
                </c:pt>
                <c:pt idx="6">
                  <c:v>-0.4010877745287148</c:v>
                </c:pt>
                <c:pt idx="7">
                  <c:v>-0.40338354968762036</c:v>
                </c:pt>
              </c:numCache>
            </c:numRef>
          </c:val>
        </c:ser>
        <c:ser>
          <c:idx val="2"/>
          <c:order val="2"/>
          <c:tx>
            <c:strRef>
              <c:f>'Ülalpidamiskulud (3)'!$D$9:$D$10</c:f>
              <c:strCache>
                <c:ptCount val="1"/>
                <c:pt idx="0">
                  <c:v>3000 Heakorratööd</c:v>
                </c:pt>
              </c:strCache>
            </c:strRef>
          </c:tx>
          <c:cat>
            <c:strRef>
              <c:f>'Ülalpidamiskulud (3)'!$A$11:$A$19</c:f>
              <c:strCache>
                <c:ptCount val="8"/>
                <c:pt idx="0">
                  <c:v>2007</c:v>
                </c:pt>
                <c:pt idx="1">
                  <c:v>2008</c:v>
                </c:pt>
                <c:pt idx="2">
                  <c:v>2009</c:v>
                </c:pt>
                <c:pt idx="3">
                  <c:v>2010</c:v>
                </c:pt>
                <c:pt idx="4">
                  <c:v>2011</c:v>
                </c:pt>
                <c:pt idx="5">
                  <c:v>2012</c:v>
                </c:pt>
                <c:pt idx="6">
                  <c:v>2013</c:v>
                </c:pt>
                <c:pt idx="7">
                  <c:v>2014</c:v>
                </c:pt>
              </c:strCache>
            </c:strRef>
          </c:cat>
          <c:val>
            <c:numRef>
              <c:f>'Ülalpidamiskulud (3)'!$D$11:$D$19</c:f>
              <c:numCache>
                <c:formatCode>#,###.00</c:formatCode>
                <c:ptCount val="8"/>
                <c:pt idx="0">
                  <c:v>-0.48544963393073381</c:v>
                </c:pt>
                <c:pt idx="1">
                  <c:v>-0.42744920087587573</c:v>
                </c:pt>
                <c:pt idx="2">
                  <c:v>-0.36582063673121396</c:v>
                </c:pt>
                <c:pt idx="3">
                  <c:v>-0.31317965699287414</c:v>
                </c:pt>
                <c:pt idx="4">
                  <c:v>-0.26250322946792454</c:v>
                </c:pt>
                <c:pt idx="5">
                  <c:v>-0.40146108381050538</c:v>
                </c:pt>
                <c:pt idx="6">
                  <c:v>-0.45696263178869034</c:v>
                </c:pt>
                <c:pt idx="7">
                  <c:v>-0.54176642558623656</c:v>
                </c:pt>
              </c:numCache>
            </c:numRef>
          </c:val>
        </c:ser>
        <c:ser>
          <c:idx val="3"/>
          <c:order val="3"/>
          <c:tx>
            <c:strRef>
              <c:f>'Ülalpidamiskulud (3)'!$E$9:$E$10</c:f>
              <c:strCache>
                <c:ptCount val="1"/>
                <c:pt idx="0">
                  <c:v>5000 Omanikukohustused</c:v>
                </c:pt>
              </c:strCache>
            </c:strRef>
          </c:tx>
          <c:cat>
            <c:strRef>
              <c:f>'Ülalpidamiskulud (3)'!$A$11:$A$19</c:f>
              <c:strCache>
                <c:ptCount val="8"/>
                <c:pt idx="0">
                  <c:v>2007</c:v>
                </c:pt>
                <c:pt idx="1">
                  <c:v>2008</c:v>
                </c:pt>
                <c:pt idx="2">
                  <c:v>2009</c:v>
                </c:pt>
                <c:pt idx="3">
                  <c:v>2010</c:v>
                </c:pt>
                <c:pt idx="4">
                  <c:v>2011</c:v>
                </c:pt>
                <c:pt idx="5">
                  <c:v>2012</c:v>
                </c:pt>
                <c:pt idx="6">
                  <c:v>2013</c:v>
                </c:pt>
                <c:pt idx="7">
                  <c:v>2014</c:v>
                </c:pt>
              </c:strCache>
            </c:strRef>
          </c:cat>
          <c:val>
            <c:numRef>
              <c:f>'Ülalpidamiskulud (3)'!$E$11:$E$19</c:f>
              <c:numCache>
                <c:formatCode>#,###.00</c:formatCode>
                <c:ptCount val="8"/>
                <c:pt idx="0">
                  <c:v>-0.20334808989468794</c:v>
                </c:pt>
                <c:pt idx="1">
                  <c:v>-0.21008482340295001</c:v>
                </c:pt>
                <c:pt idx="2">
                  <c:v>-0.19010273516555568</c:v>
                </c:pt>
                <c:pt idx="3">
                  <c:v>-0.17729261488869091</c:v>
                </c:pt>
                <c:pt idx="4">
                  <c:v>-0.22185444787023409</c:v>
                </c:pt>
                <c:pt idx="5">
                  <c:v>-0.16004418414015312</c:v>
                </c:pt>
                <c:pt idx="6">
                  <c:v>-0.20238446136369304</c:v>
                </c:pt>
                <c:pt idx="7">
                  <c:v>-0.26341055366118676</c:v>
                </c:pt>
              </c:numCache>
            </c:numRef>
          </c:val>
        </c:ser>
        <c:ser>
          <c:idx val="4"/>
          <c:order val="4"/>
          <c:tx>
            <c:strRef>
              <c:f>'Ülalpidamiskulud (3)'!$F$9:$F$10</c:f>
              <c:strCache>
                <c:ptCount val="1"/>
                <c:pt idx="0">
                  <c:v>6000 Tarbimisteenused</c:v>
                </c:pt>
              </c:strCache>
            </c:strRef>
          </c:tx>
          <c:cat>
            <c:strRef>
              <c:f>'Ülalpidamiskulud (3)'!$A$11:$A$19</c:f>
              <c:strCache>
                <c:ptCount val="8"/>
                <c:pt idx="0">
                  <c:v>2007</c:v>
                </c:pt>
                <c:pt idx="1">
                  <c:v>2008</c:v>
                </c:pt>
                <c:pt idx="2">
                  <c:v>2009</c:v>
                </c:pt>
                <c:pt idx="3">
                  <c:v>2010</c:v>
                </c:pt>
                <c:pt idx="4">
                  <c:v>2011</c:v>
                </c:pt>
                <c:pt idx="5">
                  <c:v>2012</c:v>
                </c:pt>
                <c:pt idx="6">
                  <c:v>2013</c:v>
                </c:pt>
                <c:pt idx="7">
                  <c:v>2014</c:v>
                </c:pt>
              </c:strCache>
            </c:strRef>
          </c:cat>
          <c:val>
            <c:numRef>
              <c:f>'Ülalpidamiskulud (3)'!$F$11:$F$19</c:f>
              <c:numCache>
                <c:formatCode>#,###.00</c:formatCode>
                <c:ptCount val="8"/>
                <c:pt idx="0">
                  <c:v>-0.76310842948833235</c:v>
                </c:pt>
                <c:pt idx="1">
                  <c:v>-0.82996247316088745</c:v>
                </c:pt>
                <c:pt idx="2">
                  <c:v>-0.91739719403275277</c:v>
                </c:pt>
                <c:pt idx="3">
                  <c:v>-1.0519960100343519</c:v>
                </c:pt>
                <c:pt idx="4">
                  <c:v>-1.1247315914395486</c:v>
                </c:pt>
                <c:pt idx="5">
                  <c:v>-1.1495364445058851</c:v>
                </c:pt>
                <c:pt idx="6">
                  <c:v>-1.249673072921333</c:v>
                </c:pt>
                <c:pt idx="7">
                  <c:v>-1.2966310729731472</c:v>
                </c:pt>
              </c:numCache>
            </c:numRef>
          </c:val>
        </c:ser>
        <c:gapWidth val="95"/>
        <c:overlap val="100"/>
        <c:axId val="174550016"/>
        <c:axId val="174568192"/>
      </c:barChart>
      <c:catAx>
        <c:axId val="174550016"/>
        <c:scaling>
          <c:orientation val="minMax"/>
        </c:scaling>
        <c:axPos val="t"/>
        <c:numFmt formatCode="General" sourceLinked="0"/>
        <c:majorTickMark val="none"/>
        <c:tickLblPos val="high"/>
        <c:crossAx val="174568192"/>
        <c:crosses val="autoZero"/>
        <c:auto val="1"/>
        <c:lblAlgn val="ctr"/>
        <c:lblOffset val="100"/>
      </c:catAx>
      <c:valAx>
        <c:axId val="174568192"/>
        <c:scaling>
          <c:orientation val="maxMin"/>
        </c:scaling>
        <c:axPos val="l"/>
        <c:majorGridlines/>
        <c:title>
          <c:tx>
            <c:rich>
              <a:bodyPr/>
              <a:lstStyle/>
              <a:p>
                <a:pPr>
                  <a:defRPr/>
                </a:pPr>
                <a:r>
                  <a:rPr lang="et-EE"/>
                  <a:t>eur/m</a:t>
                </a:r>
                <a:r>
                  <a:rPr lang="et-EE">
                    <a:latin typeface="Calibri"/>
                  </a:rPr>
                  <a:t>²</a:t>
                </a:r>
                <a:r>
                  <a:rPr lang="et-EE"/>
                  <a:t>/kuus</a:t>
                </a:r>
              </a:p>
            </c:rich>
          </c:tx>
          <c:layout>
            <c:manualLayout>
              <c:xMode val="edge"/>
              <c:yMode val="edge"/>
              <c:x val="0.15535751729620642"/>
              <c:y val="0.38986072686861029"/>
            </c:manualLayout>
          </c:layout>
        </c:title>
        <c:numFmt formatCode="#,###.00" sourceLinked="1"/>
        <c:majorTickMark val="none"/>
        <c:tickLblPos val="nextTo"/>
        <c:crossAx val="174550016"/>
        <c:crosses val="autoZero"/>
        <c:crossBetween val="between"/>
      </c:valAx>
      <c:dTable>
        <c:showHorzBorder val="1"/>
        <c:showVertBorder val="1"/>
        <c:showOutline val="1"/>
        <c:showKeys val="1"/>
      </c:dTable>
    </c:plotArea>
    <c:plotVisOnly val="1"/>
    <c:dispBlanksAs val="gap"/>
  </c:chart>
  <c:externalData r:id="rId1"/>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pieChart>
        <c:varyColors val="1"/>
        <c:ser>
          <c:idx val="0"/>
          <c:order val="0"/>
          <c:dLbls>
            <c:dLbl>
              <c:idx val="0"/>
              <c:tx>
                <c:rich>
                  <a:bodyPr/>
                  <a:lstStyle/>
                  <a:p>
                    <a:r>
                      <a:rPr lang="en-US" sz="900"/>
                      <a:t>R</a:t>
                    </a:r>
                    <a:r>
                      <a:rPr lang="en-US"/>
                      <a:t>MK
</a:t>
                    </a:r>
                    <a:r>
                      <a:rPr lang="et-EE"/>
                      <a:t>87 984 m</a:t>
                    </a:r>
                    <a:r>
                      <a:rPr lang="et-EE">
                        <a:latin typeface="Calibri"/>
                      </a:rPr>
                      <a:t>²</a:t>
                    </a:r>
                    <a:endParaRPr lang="et-EE"/>
                  </a:p>
                  <a:p>
                    <a:r>
                      <a:rPr lang="en-US"/>
                      <a:t>4%</a:t>
                    </a:r>
                  </a:p>
                </c:rich>
              </c:tx>
              <c:showCatName val="1"/>
              <c:showPercent val="1"/>
            </c:dLbl>
            <c:dLbl>
              <c:idx val="1"/>
              <c:tx>
                <c:rich>
                  <a:bodyPr/>
                  <a:lstStyle/>
                  <a:p>
                    <a:r>
                      <a:rPr lang="en-US" sz="900"/>
                      <a:t>R</a:t>
                    </a:r>
                    <a:r>
                      <a:rPr lang="en-US"/>
                      <a:t>iigi omandis (v.a RMK ja KaM)
</a:t>
                    </a:r>
                    <a:r>
                      <a:rPr lang="et-EE" sz="1000" b="0" i="0" u="none" strike="noStrike" baseline="0"/>
                      <a:t>1 058 832 m²</a:t>
                    </a:r>
                  </a:p>
                  <a:p>
                    <a:r>
                      <a:rPr lang="en-US"/>
                      <a:t>49%</a:t>
                    </a:r>
                  </a:p>
                </c:rich>
              </c:tx>
              <c:showCatName val="1"/>
              <c:showPercent val="1"/>
            </c:dLbl>
            <c:dLbl>
              <c:idx val="2"/>
              <c:layout>
                <c:manualLayout>
                  <c:x val="0.12844814415720349"/>
                  <c:y val="-0.12815824258187056"/>
                </c:manualLayout>
              </c:layout>
              <c:tx>
                <c:rich>
                  <a:bodyPr/>
                  <a:lstStyle/>
                  <a:p>
                    <a:r>
                      <a:rPr lang="en-US" sz="900"/>
                      <a:t>Ü</a:t>
                    </a:r>
                    <a:r>
                      <a:rPr lang="en-US"/>
                      <a:t>üritud RKAS-ilt
</a:t>
                    </a:r>
                    <a:r>
                      <a:rPr lang="et-EE" sz="1000" b="0" i="0" u="none" strike="noStrike" baseline="0"/>
                      <a:t>530 121 </a:t>
                    </a:r>
                    <a:r>
                      <a:rPr lang="et-EE" sz="900" b="0" i="0" u="none" strike="noStrike" baseline="0"/>
                      <a:t>m²</a:t>
                    </a:r>
                  </a:p>
                  <a:p>
                    <a:r>
                      <a:rPr lang="en-US"/>
                      <a:t>24%</a:t>
                    </a:r>
                  </a:p>
                </c:rich>
              </c:tx>
              <c:showCatName val="1"/>
              <c:showPercent val="1"/>
            </c:dLbl>
            <c:dLbl>
              <c:idx val="3"/>
              <c:tx>
                <c:rich>
                  <a:bodyPr/>
                  <a:lstStyle/>
                  <a:p>
                    <a:r>
                      <a:rPr lang="en-US" sz="900"/>
                      <a:t>Ü</a:t>
                    </a:r>
                    <a:r>
                      <a:rPr lang="en-US"/>
                      <a:t>üritud kolmandalt isikult
</a:t>
                    </a:r>
                    <a:r>
                      <a:rPr lang="et-EE" sz="1000" b="0" i="0" u="none" strike="noStrike" baseline="0"/>
                      <a:t>112 843 </a:t>
                    </a:r>
                    <a:r>
                      <a:rPr lang="et-EE" sz="900" b="0" i="0" u="none" strike="noStrike" baseline="0"/>
                      <a:t>m²</a:t>
                    </a:r>
                  </a:p>
                  <a:p>
                    <a:r>
                      <a:rPr lang="en-US"/>
                      <a:t>5%</a:t>
                    </a:r>
                  </a:p>
                </c:rich>
              </c:tx>
              <c:showCatName val="1"/>
              <c:showPercent val="1"/>
            </c:dLbl>
            <c:dLbl>
              <c:idx val="4"/>
              <c:tx>
                <c:rich>
                  <a:bodyPr/>
                  <a:lstStyle/>
                  <a:p>
                    <a:r>
                      <a:rPr lang="en-US" sz="900"/>
                      <a:t>K</a:t>
                    </a:r>
                    <a:r>
                      <a:rPr lang="en-US"/>
                      <a:t>aM
</a:t>
                    </a:r>
                    <a:r>
                      <a:rPr lang="et-EE" sz="1000" b="0" i="0" u="none" strike="noStrike" baseline="0"/>
                      <a:t>396 506 </a:t>
                    </a:r>
                    <a:r>
                      <a:rPr lang="et-EE" sz="900" b="0" i="0" u="none" strike="noStrike" baseline="0"/>
                      <a:t>m²</a:t>
                    </a:r>
                    <a:endParaRPr lang="et-EE" sz="900"/>
                  </a:p>
                  <a:p>
                    <a:r>
                      <a:rPr lang="en-US"/>
                      <a:t>18%</a:t>
                    </a:r>
                  </a:p>
                </c:rich>
              </c:tx>
              <c:showCatName val="1"/>
              <c:showPercent val="1"/>
            </c:dLbl>
            <c:txPr>
              <a:bodyPr/>
              <a:lstStyle/>
              <a:p>
                <a:pPr>
                  <a:defRPr sz="900"/>
                </a:pPr>
                <a:endParaRPr lang="et-EE"/>
              </a:p>
            </c:txPr>
            <c:showCatName val="1"/>
            <c:showPercent val="1"/>
            <c:showLeaderLines val="1"/>
          </c:dLbls>
          <c:cat>
            <c:strRef>
              <c:f>'Joonis-Riigi hooned'!$A$53:$A$57</c:f>
              <c:strCache>
                <c:ptCount val="5"/>
                <c:pt idx="0">
                  <c:v>RMK</c:v>
                </c:pt>
                <c:pt idx="1">
                  <c:v>Riigi omandis (v.a RMK ja KaM)</c:v>
                </c:pt>
                <c:pt idx="2">
                  <c:v>Üüritud RKAS-ilt</c:v>
                </c:pt>
                <c:pt idx="3">
                  <c:v>Üüritud kolmandalt isikult</c:v>
                </c:pt>
                <c:pt idx="4">
                  <c:v>KaM</c:v>
                </c:pt>
              </c:strCache>
            </c:strRef>
          </c:cat>
          <c:val>
            <c:numRef>
              <c:f>'Joonis-Riigi hooned'!$B$53:$B$57</c:f>
              <c:numCache>
                <c:formatCode>_-* #,##0\ _k_r_-;\-* #,##0\ _k_r_-;_-* "-"??\ _k_r_-;_-@_-</c:formatCode>
                <c:ptCount val="5"/>
                <c:pt idx="0">
                  <c:v>87984</c:v>
                </c:pt>
                <c:pt idx="1">
                  <c:v>1058832.2</c:v>
                </c:pt>
                <c:pt idx="2">
                  <c:v>530121</c:v>
                </c:pt>
                <c:pt idx="3">
                  <c:v>112843</c:v>
                </c:pt>
                <c:pt idx="4">
                  <c:v>396506</c:v>
                </c:pt>
              </c:numCache>
            </c:numRef>
          </c:val>
        </c:ser>
        <c:dLbls>
          <c:showCatName val="1"/>
          <c:showPercent val="1"/>
        </c:dLbls>
        <c:firstSliceAng val="338"/>
      </c:pieChart>
    </c:plotArea>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17197334682423801"/>
          <c:y val="3.3043213348331456E-2"/>
          <c:w val="0.70224770503359213"/>
          <c:h val="0.73218503937009671"/>
        </c:manualLayout>
      </c:layout>
      <c:barChart>
        <c:barDir val="col"/>
        <c:grouping val="stacked"/>
        <c:ser>
          <c:idx val="0"/>
          <c:order val="0"/>
          <c:tx>
            <c:strRef>
              <c:f>'Joonis-Riigi hooned'!$C$16</c:f>
              <c:strCache>
                <c:ptCount val="1"/>
                <c:pt idx="0">
                  <c:v>Omandis m²</c:v>
                </c:pt>
              </c:strCache>
            </c:strRef>
          </c:tx>
          <c:cat>
            <c:numRef>
              <c:f>'Joonis-Riigi hooned'!$B$17:$B$20</c:f>
              <c:numCache>
                <c:formatCode>General</c:formatCode>
                <c:ptCount val="4"/>
                <c:pt idx="0">
                  <c:v>2011</c:v>
                </c:pt>
                <c:pt idx="1">
                  <c:v>2012</c:v>
                </c:pt>
                <c:pt idx="2">
                  <c:v>2013</c:v>
                </c:pt>
                <c:pt idx="3">
                  <c:v>2014</c:v>
                </c:pt>
              </c:numCache>
            </c:numRef>
          </c:cat>
          <c:val>
            <c:numRef>
              <c:f>'Joonis-Riigi hooned'!$C$17:$C$20</c:f>
              <c:numCache>
                <c:formatCode>_-* #,##0\ _k_r_-;\-* #,##0\ _k_r_-;_-* "-"??\ _k_r_-;_-@_-</c:formatCode>
                <c:ptCount val="4"/>
                <c:pt idx="0">
                  <c:v>1915405</c:v>
                </c:pt>
                <c:pt idx="1">
                  <c:v>1660364</c:v>
                </c:pt>
                <c:pt idx="2">
                  <c:v>1593877.100000001</c:v>
                </c:pt>
                <c:pt idx="3">
                  <c:v>1543322</c:v>
                </c:pt>
              </c:numCache>
            </c:numRef>
          </c:val>
        </c:ser>
        <c:ser>
          <c:idx val="2"/>
          <c:order val="2"/>
          <c:tx>
            <c:strRef>
              <c:f>'Joonis-Riigi hooned'!$E$16</c:f>
              <c:strCache>
                <c:ptCount val="1"/>
                <c:pt idx="0">
                  <c:v>Kasutuslepingud m²</c:v>
                </c:pt>
              </c:strCache>
            </c:strRef>
          </c:tx>
          <c:cat>
            <c:numRef>
              <c:f>'Joonis-Riigi hooned'!$B$17:$B$20</c:f>
              <c:numCache>
                <c:formatCode>General</c:formatCode>
                <c:ptCount val="4"/>
                <c:pt idx="0">
                  <c:v>2011</c:v>
                </c:pt>
                <c:pt idx="1">
                  <c:v>2012</c:v>
                </c:pt>
                <c:pt idx="2">
                  <c:v>2013</c:v>
                </c:pt>
                <c:pt idx="3">
                  <c:v>2014</c:v>
                </c:pt>
              </c:numCache>
            </c:numRef>
          </c:cat>
          <c:val>
            <c:numRef>
              <c:f>'Joonis-Riigi hooned'!$E$17:$E$20</c:f>
              <c:numCache>
                <c:formatCode>_-* #,##0\ _k_r_-;\-* #,##0\ _k_r_-;_-* "-"??\ _k_r_-;_-@_-</c:formatCode>
                <c:ptCount val="4"/>
                <c:pt idx="0">
                  <c:v>51001</c:v>
                </c:pt>
                <c:pt idx="1">
                  <c:v>189766</c:v>
                </c:pt>
                <c:pt idx="2">
                  <c:v>463274</c:v>
                </c:pt>
                <c:pt idx="3">
                  <c:v>642964.60000000033</c:v>
                </c:pt>
              </c:numCache>
            </c:numRef>
          </c:val>
        </c:ser>
        <c:gapWidth val="217"/>
        <c:overlap val="100"/>
        <c:axId val="172581248"/>
        <c:axId val="172582784"/>
      </c:barChart>
      <c:lineChart>
        <c:grouping val="stacked"/>
        <c:ser>
          <c:idx val="4"/>
          <c:order val="4"/>
          <c:tx>
            <c:strRef>
              <c:f>'Joonis-Riigi hooned'!$G$16</c:f>
              <c:strCache>
                <c:ptCount val="1"/>
                <c:pt idx="0">
                  <c:v>Summa</c:v>
                </c:pt>
              </c:strCache>
            </c:strRef>
          </c:tx>
          <c:spPr>
            <a:ln>
              <a:noFill/>
            </a:ln>
          </c:spPr>
          <c:marker>
            <c:symbol val="none"/>
          </c:marker>
          <c:dLbls>
            <c:dLbl>
              <c:idx val="0"/>
              <c:layout>
                <c:manualLayout>
                  <c:x val="-5.9308072487644171E-2"/>
                  <c:y val="-2.0833333333333412E-2"/>
                </c:manualLayout>
              </c:layout>
              <c:showVal val="1"/>
            </c:dLbl>
            <c:dLbl>
              <c:idx val="1"/>
              <c:layout>
                <c:manualLayout>
                  <c:x val="-7.4684239428885413E-2"/>
                  <c:y val="-1.7857377202849644E-2"/>
                </c:manualLayout>
              </c:layout>
              <c:showVal val="1"/>
            </c:dLbl>
            <c:dLbl>
              <c:idx val="2"/>
              <c:layout>
                <c:manualLayout>
                  <c:x val="-6.589785831960461E-2"/>
                  <c:y val="-2.6785714285715089E-2"/>
                </c:manualLayout>
              </c:layout>
              <c:showVal val="1"/>
            </c:dLbl>
            <c:dLbl>
              <c:idx val="3"/>
              <c:layout>
                <c:manualLayout>
                  <c:x val="-5.4914881933005692E-2"/>
                  <c:y val="-1.7857142857142856E-2"/>
                </c:manualLayout>
              </c:layout>
              <c:showVal val="1"/>
            </c:dLbl>
            <c:showVal val="1"/>
          </c:dLbls>
          <c:cat>
            <c:numRef>
              <c:f>'Joonis-Riigi hooned'!$B$17:$B$20</c:f>
              <c:numCache>
                <c:formatCode>General</c:formatCode>
                <c:ptCount val="4"/>
                <c:pt idx="0">
                  <c:v>2011</c:v>
                </c:pt>
                <c:pt idx="1">
                  <c:v>2012</c:v>
                </c:pt>
                <c:pt idx="2">
                  <c:v>2013</c:v>
                </c:pt>
                <c:pt idx="3">
                  <c:v>2014</c:v>
                </c:pt>
              </c:numCache>
            </c:numRef>
          </c:cat>
          <c:val>
            <c:numRef>
              <c:f>'Joonis-Riigi hooned'!$G$17:$G$20</c:f>
              <c:numCache>
                <c:formatCode>_-* #,##0\ _k_r_-;\-* #,##0\ _k_r_-;_-* "-"??\ _k_r_-;_-@_-</c:formatCode>
                <c:ptCount val="4"/>
                <c:pt idx="0">
                  <c:v>1966406</c:v>
                </c:pt>
                <c:pt idx="1">
                  <c:v>1850130</c:v>
                </c:pt>
                <c:pt idx="2">
                  <c:v>2057151.100000001</c:v>
                </c:pt>
                <c:pt idx="3">
                  <c:v>2186286.6000000006</c:v>
                </c:pt>
              </c:numCache>
            </c:numRef>
          </c:val>
        </c:ser>
        <c:dLbls>
          <c:showVal val="1"/>
        </c:dLbls>
        <c:marker val="1"/>
        <c:axId val="172581248"/>
        <c:axId val="172582784"/>
      </c:lineChart>
      <c:lineChart>
        <c:grouping val="standard"/>
        <c:ser>
          <c:idx val="1"/>
          <c:order val="1"/>
          <c:tx>
            <c:strRef>
              <c:f>'Joonis-Riigi hooned'!$D$16</c:f>
              <c:strCache>
                <c:ptCount val="1"/>
                <c:pt idx="0">
                  <c:v>Omandis hoonete arv</c:v>
                </c:pt>
              </c:strCache>
            </c:strRef>
          </c:tx>
          <c:dLbls>
            <c:dLbl>
              <c:idx val="0"/>
              <c:layout>
                <c:manualLayout>
                  <c:x val="-4.3931905546403083E-2"/>
                  <c:y val="2.9761904761904791E-2"/>
                </c:manualLayout>
              </c:layout>
              <c:showVal val="1"/>
            </c:dLbl>
            <c:dLbl>
              <c:idx val="1"/>
              <c:layout>
                <c:manualLayout>
                  <c:x val="-1.5376166941241077E-2"/>
                  <c:y val="-2.9761904761904791E-2"/>
                </c:manualLayout>
              </c:layout>
              <c:showVal val="1"/>
            </c:dLbl>
            <c:dLbl>
              <c:idx val="2"/>
              <c:layout>
                <c:manualLayout>
                  <c:x val="-8.7863811092806204E-3"/>
                  <c:y val="-2.6785714285715089E-2"/>
                </c:manualLayout>
              </c:layout>
              <c:showVal val="1"/>
            </c:dLbl>
            <c:dLbl>
              <c:idx val="3"/>
              <c:layout>
                <c:manualLayout>
                  <c:x val="-4.3931905546403084E-3"/>
                  <c:y val="-3.273809523809524E-2"/>
                </c:manualLayout>
              </c:layout>
              <c:showVal val="1"/>
            </c:dLbl>
            <c:showVal val="1"/>
          </c:dLbls>
          <c:cat>
            <c:numRef>
              <c:f>'Joonis-Riigi hooned'!$B$17:$B$20</c:f>
              <c:numCache>
                <c:formatCode>General</c:formatCode>
                <c:ptCount val="4"/>
                <c:pt idx="0">
                  <c:v>2011</c:v>
                </c:pt>
                <c:pt idx="1">
                  <c:v>2012</c:v>
                </c:pt>
                <c:pt idx="2">
                  <c:v>2013</c:v>
                </c:pt>
                <c:pt idx="3">
                  <c:v>2014</c:v>
                </c:pt>
              </c:numCache>
            </c:numRef>
          </c:cat>
          <c:val>
            <c:numRef>
              <c:f>'Joonis-Riigi hooned'!$D$17:$D$20</c:f>
              <c:numCache>
                <c:formatCode>General</c:formatCode>
                <c:ptCount val="4"/>
                <c:pt idx="0">
                  <c:v>3719</c:v>
                </c:pt>
                <c:pt idx="1">
                  <c:v>3179</c:v>
                </c:pt>
                <c:pt idx="2">
                  <c:v>2803</c:v>
                </c:pt>
                <c:pt idx="3">
                  <c:v>2453</c:v>
                </c:pt>
              </c:numCache>
            </c:numRef>
          </c:val>
        </c:ser>
        <c:ser>
          <c:idx val="3"/>
          <c:order val="3"/>
          <c:tx>
            <c:strRef>
              <c:f>'Joonis-Riigi hooned'!$F$16</c:f>
              <c:strCache>
                <c:ptCount val="1"/>
                <c:pt idx="0">
                  <c:v>Kasutuslepingu alusel kasutatav hoonete arv</c:v>
                </c:pt>
              </c:strCache>
            </c:strRef>
          </c:tx>
          <c:dLbls>
            <c:dLbl>
              <c:idx val="0"/>
              <c:layout>
                <c:manualLayout>
                  <c:x val="-3.0752333882482181E-2"/>
                  <c:y val="-3.8690476190476081E-2"/>
                </c:manualLayout>
              </c:layout>
              <c:showVal val="1"/>
            </c:dLbl>
            <c:dLbl>
              <c:idx val="1"/>
              <c:layout>
                <c:manualLayout>
                  <c:x val="-3.2948929159802305E-2"/>
                  <c:y val="-4.7619047619047623E-2"/>
                </c:manualLayout>
              </c:layout>
              <c:showVal val="1"/>
            </c:dLbl>
            <c:dLbl>
              <c:idx val="2"/>
              <c:layout>
                <c:manualLayout>
                  <c:x val="-3.5145524437122461E-2"/>
                  <c:y val="-4.7619047619047623E-2"/>
                </c:manualLayout>
              </c:layout>
              <c:showVal val="1"/>
            </c:dLbl>
            <c:dLbl>
              <c:idx val="3"/>
              <c:layout>
                <c:manualLayout>
                  <c:x val="-4.1735310269082865E-2"/>
                  <c:y val="-3.8690476190476192E-2"/>
                </c:manualLayout>
              </c:layout>
              <c:showVal val="1"/>
            </c:dLbl>
            <c:showVal val="1"/>
          </c:dLbls>
          <c:cat>
            <c:numRef>
              <c:f>'Joonis-Riigi hooned'!$B$17:$B$20</c:f>
              <c:numCache>
                <c:formatCode>General</c:formatCode>
                <c:ptCount val="4"/>
                <c:pt idx="0">
                  <c:v>2011</c:v>
                </c:pt>
                <c:pt idx="1">
                  <c:v>2012</c:v>
                </c:pt>
                <c:pt idx="2">
                  <c:v>2013</c:v>
                </c:pt>
                <c:pt idx="3">
                  <c:v>2014</c:v>
                </c:pt>
              </c:numCache>
            </c:numRef>
          </c:cat>
          <c:val>
            <c:numRef>
              <c:f>'Joonis-Riigi hooned'!$F$17:$F$20</c:f>
              <c:numCache>
                <c:formatCode>General</c:formatCode>
                <c:ptCount val="4"/>
                <c:pt idx="0">
                  <c:v>64</c:v>
                </c:pt>
                <c:pt idx="1">
                  <c:v>264</c:v>
                </c:pt>
                <c:pt idx="2">
                  <c:v>488</c:v>
                </c:pt>
                <c:pt idx="3">
                  <c:v>702</c:v>
                </c:pt>
              </c:numCache>
            </c:numRef>
          </c:val>
        </c:ser>
        <c:dLbls>
          <c:showVal val="1"/>
        </c:dLbls>
        <c:marker val="1"/>
        <c:axId val="172599168"/>
        <c:axId val="172597248"/>
      </c:lineChart>
      <c:catAx>
        <c:axId val="172581248"/>
        <c:scaling>
          <c:orientation val="minMax"/>
        </c:scaling>
        <c:axPos val="b"/>
        <c:numFmt formatCode="General" sourceLinked="1"/>
        <c:majorTickMark val="none"/>
        <c:tickLblPos val="nextTo"/>
        <c:crossAx val="172582784"/>
        <c:crosses val="autoZero"/>
        <c:auto val="1"/>
        <c:lblAlgn val="ctr"/>
        <c:lblOffset val="100"/>
      </c:catAx>
      <c:valAx>
        <c:axId val="172582784"/>
        <c:scaling>
          <c:orientation val="minMax"/>
        </c:scaling>
        <c:axPos val="l"/>
        <c:title>
          <c:tx>
            <c:rich>
              <a:bodyPr rot="-5400000" vert="horz"/>
              <a:lstStyle/>
              <a:p>
                <a:pPr>
                  <a:defRPr/>
                </a:pPr>
                <a:r>
                  <a:rPr lang="et-EE"/>
                  <a:t>Pindala</a:t>
                </a:r>
                <a:r>
                  <a:rPr lang="et-EE" baseline="0"/>
                  <a:t> (m</a:t>
                </a:r>
                <a:r>
                  <a:rPr lang="et-EE" baseline="0">
                    <a:latin typeface="Times New Roman"/>
                    <a:cs typeface="Times New Roman"/>
                  </a:rPr>
                  <a:t>²)</a:t>
                </a:r>
                <a:endParaRPr lang="et-EE"/>
              </a:p>
            </c:rich>
          </c:tx>
        </c:title>
        <c:numFmt formatCode="_-* #,##0\ _k_r_-;\-* #,##0\ _k_r_-;_-* &quot;-&quot;??\ _k_r_-;_-@_-" sourceLinked="1"/>
        <c:majorTickMark val="none"/>
        <c:tickLblPos val="nextTo"/>
        <c:txPr>
          <a:bodyPr/>
          <a:lstStyle/>
          <a:p>
            <a:pPr>
              <a:defRPr>
                <a:solidFill>
                  <a:sysClr val="windowText" lastClr="000000"/>
                </a:solidFill>
              </a:defRPr>
            </a:pPr>
            <a:endParaRPr lang="et-EE"/>
          </a:p>
        </c:txPr>
        <c:crossAx val="172581248"/>
        <c:crosses val="autoZero"/>
        <c:crossBetween val="between"/>
      </c:valAx>
      <c:valAx>
        <c:axId val="172597248"/>
        <c:scaling>
          <c:orientation val="minMax"/>
          <c:max val="3800"/>
        </c:scaling>
        <c:axPos val="r"/>
        <c:title>
          <c:tx>
            <c:rich>
              <a:bodyPr rot="-5400000" vert="horz"/>
              <a:lstStyle/>
              <a:p>
                <a:pPr>
                  <a:defRPr/>
                </a:pPr>
                <a:r>
                  <a:rPr lang="et-EE"/>
                  <a:t>Hoonete</a:t>
                </a:r>
                <a:r>
                  <a:rPr lang="et-EE" baseline="0"/>
                  <a:t> arv</a:t>
                </a:r>
                <a:endParaRPr lang="et-EE"/>
              </a:p>
            </c:rich>
          </c:tx>
        </c:title>
        <c:numFmt formatCode="General" sourceLinked="1"/>
        <c:tickLblPos val="nextTo"/>
        <c:crossAx val="172599168"/>
        <c:crosses val="max"/>
        <c:crossBetween val="between"/>
        <c:majorUnit val="200"/>
      </c:valAx>
      <c:catAx>
        <c:axId val="172599168"/>
        <c:scaling>
          <c:orientation val="minMax"/>
        </c:scaling>
        <c:delete val="1"/>
        <c:axPos val="b"/>
        <c:numFmt formatCode="General" sourceLinked="1"/>
        <c:tickLblPos val="none"/>
        <c:crossAx val="172597248"/>
        <c:crosses val="autoZero"/>
        <c:auto val="1"/>
        <c:lblAlgn val="ctr"/>
        <c:lblOffset val="100"/>
      </c:catAx>
    </c:plotArea>
    <c:legend>
      <c:legendPos val="b"/>
      <c:legendEntry>
        <c:idx val="2"/>
        <c:delete val="1"/>
      </c:legendEntry>
      <c:layout>
        <c:manualLayout>
          <c:xMode val="edge"/>
          <c:yMode val="edge"/>
          <c:x val="0"/>
          <c:y val="0.85169150731160914"/>
          <c:w val="1"/>
          <c:h val="0.1304513498312763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manualLayout>
          <c:layoutTarget val="inner"/>
          <c:xMode val="edge"/>
          <c:yMode val="edge"/>
          <c:x val="0.20979706271390144"/>
          <c:y val="0.26406643198996255"/>
          <c:w val="0.50547491484510609"/>
          <c:h val="0.712849252364538"/>
        </c:manualLayout>
      </c:layout>
      <c:pieChart>
        <c:varyColors val="1"/>
        <c:ser>
          <c:idx val="0"/>
          <c:order val="0"/>
          <c:dLbls>
            <c:dLbl>
              <c:idx val="0"/>
              <c:tx>
                <c:rich>
                  <a:bodyPr/>
                  <a:lstStyle/>
                  <a:p>
                    <a:r>
                      <a:rPr lang="et-EE"/>
                      <a:t>EÕJI</a:t>
                    </a:r>
                    <a:r>
                      <a:rPr lang="en-US"/>
                      <a:t>
15%</a:t>
                    </a:r>
                  </a:p>
                </c:rich>
              </c:tx>
              <c:showCatName val="1"/>
              <c:showPercent val="1"/>
            </c:dLbl>
            <c:dLbl>
              <c:idx val="1"/>
              <c:layout>
                <c:manualLayout>
                  <c:x val="5.3528699813583533E-2"/>
                  <c:y val="-1.6919275334485978E-2"/>
                </c:manualLayout>
              </c:layout>
              <c:tx>
                <c:rich>
                  <a:bodyPr/>
                  <a:lstStyle/>
                  <a:p>
                    <a:r>
                      <a:rPr lang="et-EE"/>
                      <a:t>KOV</a:t>
                    </a:r>
                    <a:r>
                      <a:rPr lang="en-US"/>
                      <a:t>
2%</a:t>
                    </a:r>
                  </a:p>
                </c:rich>
              </c:tx>
              <c:showCatName val="1"/>
              <c:showPercent val="1"/>
            </c:dLbl>
            <c:dLbl>
              <c:idx val="2"/>
              <c:layout>
                <c:manualLayout>
                  <c:x val="8.8132676030618223E-2"/>
                  <c:y val="-0.21113363472039298"/>
                </c:manualLayout>
              </c:layout>
              <c:tx>
                <c:rich>
                  <a:bodyPr/>
                  <a:lstStyle/>
                  <a:p>
                    <a:r>
                      <a:rPr lang="et-EE"/>
                      <a:t>RKAS</a:t>
                    </a:r>
                    <a:r>
                      <a:rPr lang="en-US"/>
                      <a:t>
82%</a:t>
                    </a:r>
                  </a:p>
                </c:rich>
              </c:tx>
              <c:showCatName val="1"/>
              <c:showPercent val="1"/>
            </c:dLbl>
            <c:dLbl>
              <c:idx val="3"/>
              <c:layout>
                <c:manualLayout>
                  <c:x val="1.4461200300492473E-2"/>
                  <c:y val="-4.8500352090135077E-2"/>
                </c:manualLayout>
              </c:layout>
              <c:showCatName val="1"/>
              <c:showPercent val="1"/>
            </c:dLbl>
            <c:txPr>
              <a:bodyPr/>
              <a:lstStyle/>
              <a:p>
                <a:pPr>
                  <a:defRPr sz="900">
                    <a:latin typeface="Georgia" pitchFamily="18" charset="0"/>
                  </a:defRPr>
                </a:pPr>
                <a:endParaRPr lang="et-EE"/>
              </a:p>
            </c:txPr>
            <c:showCatName val="1"/>
            <c:showPercent val="1"/>
            <c:showLeaderLines val="1"/>
          </c:dLbls>
          <c:cat>
            <c:strRef>
              <c:f>'Kasutamiseks võtmine'!$F$49:$F$52</c:f>
              <c:strCache>
                <c:ptCount val="4"/>
                <c:pt idx="0">
                  <c:v>Eraõiguslik juriidiline isik</c:v>
                </c:pt>
                <c:pt idx="1">
                  <c:v>Kohalik omavalitsus</c:v>
                </c:pt>
                <c:pt idx="2">
                  <c:v>Riigi kinnisvara Aktsiaselts</c:v>
                </c:pt>
                <c:pt idx="3">
                  <c:v>Teised</c:v>
                </c:pt>
              </c:strCache>
            </c:strRef>
          </c:cat>
          <c:val>
            <c:numRef>
              <c:f>'Kasutamiseks võtmine'!$G$49:$G$52</c:f>
              <c:numCache>
                <c:formatCode>#,##0</c:formatCode>
                <c:ptCount val="4"/>
                <c:pt idx="0">
                  <c:v>97983.8</c:v>
                </c:pt>
                <c:pt idx="1">
                  <c:v>11001.700000000004</c:v>
                </c:pt>
                <c:pt idx="2">
                  <c:v>530121</c:v>
                </c:pt>
                <c:pt idx="3">
                  <c:v>3586.7</c:v>
                </c:pt>
              </c:numCache>
            </c:numRef>
          </c:val>
        </c:ser>
        <c:dLbls>
          <c:showCatName val="1"/>
          <c:showPercent val="1"/>
        </c:dLbls>
        <c:firstSliceAng val="0"/>
      </c:pieChart>
    </c:plotArea>
    <c:plotVisOnly val="1"/>
  </c:chart>
  <c:spPr>
    <a:ln w="0"/>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t-EE"/>
  <c:chart>
    <c:autoTitleDeleted val="1"/>
    <c:plotArea>
      <c:layout/>
      <c:areaChart>
        <c:grouping val="standard"/>
        <c:ser>
          <c:idx val="0"/>
          <c:order val="0"/>
          <c:tx>
            <c:strRef>
              <c:f>Omandamine!$A$137</c:f>
              <c:strCache>
                <c:ptCount val="1"/>
                <c:pt idx="0">
                  <c:v>Riigi omandis olev maa (ha)</c:v>
                </c:pt>
              </c:strCache>
            </c:strRef>
          </c:tx>
          <c:cat>
            <c:numRef>
              <c:f>Omandamine!$B$136:$E$136</c:f>
              <c:numCache>
                <c:formatCode>0</c:formatCode>
                <c:ptCount val="4"/>
                <c:pt idx="0" formatCode="General">
                  <c:v>2011</c:v>
                </c:pt>
                <c:pt idx="1">
                  <c:v>2012</c:v>
                </c:pt>
                <c:pt idx="2">
                  <c:v>2013</c:v>
                </c:pt>
                <c:pt idx="3">
                  <c:v>2014</c:v>
                </c:pt>
              </c:numCache>
            </c:numRef>
          </c:cat>
          <c:val>
            <c:numRef>
              <c:f>Omandamine!$B$137:$E$137</c:f>
              <c:numCache>
                <c:formatCode>#,##0</c:formatCode>
                <c:ptCount val="4"/>
                <c:pt idx="0">
                  <c:v>1450512</c:v>
                </c:pt>
                <c:pt idx="1">
                  <c:v>1505946.56</c:v>
                </c:pt>
                <c:pt idx="2">
                  <c:v>1565490.26</c:v>
                </c:pt>
                <c:pt idx="3">
                  <c:v>1608692</c:v>
                </c:pt>
              </c:numCache>
            </c:numRef>
          </c:val>
        </c:ser>
        <c:axId val="172070400"/>
        <c:axId val="172068864"/>
      </c:areaChart>
      <c:barChart>
        <c:barDir val="col"/>
        <c:grouping val="clustered"/>
        <c:ser>
          <c:idx val="1"/>
          <c:order val="1"/>
          <c:tx>
            <c:strRef>
              <c:f>Omandamine!$A$138</c:f>
              <c:strCache>
                <c:ptCount val="1"/>
                <c:pt idx="0">
                  <c:v>Omandamine (ha)</c:v>
                </c:pt>
              </c:strCache>
            </c:strRef>
          </c:tx>
          <c:cat>
            <c:numRef>
              <c:f>Omandamine!$B$136:$E$136</c:f>
              <c:numCache>
                <c:formatCode>0</c:formatCode>
                <c:ptCount val="4"/>
                <c:pt idx="0" formatCode="General">
                  <c:v>2011</c:v>
                </c:pt>
                <c:pt idx="1">
                  <c:v>2012</c:v>
                </c:pt>
                <c:pt idx="2">
                  <c:v>2013</c:v>
                </c:pt>
                <c:pt idx="3">
                  <c:v>2014</c:v>
                </c:pt>
              </c:numCache>
            </c:numRef>
          </c:cat>
          <c:val>
            <c:numRef>
              <c:f>Omandamine!$B$138:$E$138</c:f>
              <c:numCache>
                <c:formatCode>#,##0</c:formatCode>
                <c:ptCount val="4"/>
                <c:pt idx="0">
                  <c:v>63959</c:v>
                </c:pt>
                <c:pt idx="1">
                  <c:v>66259</c:v>
                </c:pt>
                <c:pt idx="2">
                  <c:v>75905</c:v>
                </c:pt>
                <c:pt idx="3">
                  <c:v>55205</c:v>
                </c:pt>
              </c:numCache>
            </c:numRef>
          </c:val>
        </c:ser>
        <c:ser>
          <c:idx val="2"/>
          <c:order val="2"/>
          <c:tx>
            <c:strRef>
              <c:f>Omandamine!$A$139</c:f>
              <c:strCache>
                <c:ptCount val="1"/>
                <c:pt idx="0">
                  <c:v>Võõrandamine (ha)</c:v>
                </c:pt>
              </c:strCache>
            </c:strRef>
          </c:tx>
          <c:cat>
            <c:numRef>
              <c:f>Omandamine!$B$136:$E$136</c:f>
              <c:numCache>
                <c:formatCode>0</c:formatCode>
                <c:ptCount val="4"/>
                <c:pt idx="0" formatCode="General">
                  <c:v>2011</c:v>
                </c:pt>
                <c:pt idx="1">
                  <c:v>2012</c:v>
                </c:pt>
                <c:pt idx="2">
                  <c:v>2013</c:v>
                </c:pt>
                <c:pt idx="3">
                  <c:v>2014</c:v>
                </c:pt>
              </c:numCache>
            </c:numRef>
          </c:cat>
          <c:val>
            <c:numRef>
              <c:f>Omandamine!$B$139:$E$139</c:f>
              <c:numCache>
                <c:formatCode>#,##0</c:formatCode>
                <c:ptCount val="4"/>
                <c:pt idx="0">
                  <c:v>19726</c:v>
                </c:pt>
                <c:pt idx="1">
                  <c:v>10054</c:v>
                </c:pt>
                <c:pt idx="2">
                  <c:v>15836</c:v>
                </c:pt>
                <c:pt idx="3">
                  <c:v>9881</c:v>
                </c:pt>
              </c:numCache>
            </c:numRef>
          </c:val>
        </c:ser>
        <c:axId val="172065536"/>
        <c:axId val="172067072"/>
      </c:barChart>
      <c:catAx>
        <c:axId val="172065536"/>
        <c:scaling>
          <c:orientation val="minMax"/>
        </c:scaling>
        <c:axPos val="b"/>
        <c:numFmt formatCode="General" sourceLinked="1"/>
        <c:majorTickMark val="none"/>
        <c:tickLblPos val="nextTo"/>
        <c:crossAx val="172067072"/>
        <c:crosses val="autoZero"/>
        <c:auto val="1"/>
        <c:lblAlgn val="ctr"/>
        <c:lblOffset val="100"/>
      </c:catAx>
      <c:valAx>
        <c:axId val="172067072"/>
        <c:scaling>
          <c:orientation val="minMax"/>
        </c:scaling>
        <c:axPos val="l"/>
        <c:majorGridlines/>
        <c:numFmt formatCode="#,##0" sourceLinked="1"/>
        <c:majorTickMark val="none"/>
        <c:tickLblPos val="nextTo"/>
        <c:crossAx val="172065536"/>
        <c:crosses val="autoZero"/>
        <c:crossBetween val="between"/>
      </c:valAx>
      <c:valAx>
        <c:axId val="172068864"/>
        <c:scaling>
          <c:orientation val="minMax"/>
        </c:scaling>
        <c:axPos val="r"/>
        <c:numFmt formatCode="#,##0" sourceLinked="1"/>
        <c:tickLblPos val="nextTo"/>
        <c:crossAx val="172070400"/>
        <c:crosses val="max"/>
        <c:crossBetween val="between"/>
      </c:valAx>
      <c:catAx>
        <c:axId val="172070400"/>
        <c:scaling>
          <c:orientation val="minMax"/>
        </c:scaling>
        <c:delete val="1"/>
        <c:axPos val="b"/>
        <c:numFmt formatCode="General" sourceLinked="1"/>
        <c:tickLblPos val="none"/>
        <c:crossAx val="172068864"/>
        <c:crosses val="autoZero"/>
        <c:auto val="1"/>
        <c:lblAlgn val="ctr"/>
        <c:lblOffset val="100"/>
      </c:catAx>
      <c:dTable>
        <c:showHorzBorder val="1"/>
        <c:showVertBorder val="1"/>
        <c:showOutline val="1"/>
        <c:showKeys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t-EE"/>
  <c:chart>
    <c:plotArea>
      <c:layout/>
      <c:barChart>
        <c:barDir val="col"/>
        <c:grouping val="percentStacked"/>
        <c:ser>
          <c:idx val="4"/>
          <c:order val="0"/>
          <c:tx>
            <c:strRef>
              <c:f>Tabelid!$H$69</c:f>
              <c:strCache>
                <c:ptCount val="1"/>
                <c:pt idx="0">
                  <c:v>riigikaitsemaa 1%</c:v>
                </c:pt>
              </c:strCache>
            </c:strRef>
          </c:tx>
          <c:val>
            <c:numRef>
              <c:f>Tabelid!$I$69</c:f>
              <c:numCache>
                <c:formatCode>General</c:formatCode>
                <c:ptCount val="1"/>
                <c:pt idx="0">
                  <c:v>1</c:v>
                </c:pt>
              </c:numCache>
            </c:numRef>
          </c:val>
        </c:ser>
        <c:ser>
          <c:idx val="5"/>
          <c:order val="1"/>
          <c:tx>
            <c:strRef>
              <c:f>Tabelid!$H$68</c:f>
              <c:strCache>
                <c:ptCount val="1"/>
                <c:pt idx="0">
                  <c:v>muud sihtotstarbed 2%</c:v>
                </c:pt>
              </c:strCache>
            </c:strRef>
          </c:tx>
          <c:val>
            <c:numRef>
              <c:f>Tabelid!$I$68</c:f>
              <c:numCache>
                <c:formatCode>General</c:formatCode>
                <c:ptCount val="1"/>
                <c:pt idx="0">
                  <c:v>2</c:v>
                </c:pt>
              </c:numCache>
            </c:numRef>
          </c:val>
        </c:ser>
        <c:ser>
          <c:idx val="3"/>
          <c:order val="2"/>
          <c:tx>
            <c:strRef>
              <c:f>Tabelid!$H$67</c:f>
              <c:strCache>
                <c:ptCount val="1"/>
                <c:pt idx="0">
                  <c:v>turbatööstusmaa 2%</c:v>
                </c:pt>
              </c:strCache>
            </c:strRef>
          </c:tx>
          <c:val>
            <c:numRef>
              <c:f>Tabelid!$I$67</c:f>
              <c:numCache>
                <c:formatCode>General</c:formatCode>
                <c:ptCount val="1"/>
                <c:pt idx="0">
                  <c:v>2</c:v>
                </c:pt>
              </c:numCache>
            </c:numRef>
          </c:val>
        </c:ser>
        <c:ser>
          <c:idx val="2"/>
          <c:order val="3"/>
          <c:tx>
            <c:strRef>
              <c:f>Tabelid!$H$66</c:f>
              <c:strCache>
                <c:ptCount val="1"/>
                <c:pt idx="0">
                  <c:v>transpordimaa 2%</c:v>
                </c:pt>
              </c:strCache>
            </c:strRef>
          </c:tx>
          <c:val>
            <c:numRef>
              <c:f>Tabelid!$I$66</c:f>
              <c:numCache>
                <c:formatCode>General</c:formatCode>
                <c:ptCount val="1"/>
                <c:pt idx="0">
                  <c:v>2</c:v>
                </c:pt>
              </c:numCache>
            </c:numRef>
          </c:val>
        </c:ser>
        <c:ser>
          <c:idx val="1"/>
          <c:order val="4"/>
          <c:tx>
            <c:strRef>
              <c:f>Tabelid!$H$65</c:f>
              <c:strCache>
                <c:ptCount val="1"/>
                <c:pt idx="0">
                  <c:v>kaitsealune maa 11%</c:v>
                </c:pt>
              </c:strCache>
            </c:strRef>
          </c:tx>
          <c:val>
            <c:numRef>
              <c:f>Tabelid!$I$65</c:f>
              <c:numCache>
                <c:formatCode>General</c:formatCode>
                <c:ptCount val="1"/>
                <c:pt idx="0">
                  <c:v>11</c:v>
                </c:pt>
              </c:numCache>
            </c:numRef>
          </c:val>
        </c:ser>
        <c:ser>
          <c:idx val="0"/>
          <c:order val="5"/>
          <c:tx>
            <c:strRef>
              <c:f>Tabelid!$H$64</c:f>
              <c:strCache>
                <c:ptCount val="1"/>
                <c:pt idx="0">
                  <c:v>maatulundusmaa 82%</c:v>
                </c:pt>
              </c:strCache>
            </c:strRef>
          </c:tx>
          <c:val>
            <c:numRef>
              <c:f>Tabelid!$I$64</c:f>
              <c:numCache>
                <c:formatCode>General</c:formatCode>
                <c:ptCount val="1"/>
                <c:pt idx="0">
                  <c:v>82</c:v>
                </c:pt>
              </c:numCache>
            </c:numRef>
          </c:val>
        </c:ser>
        <c:overlap val="100"/>
        <c:axId val="172096512"/>
        <c:axId val="172765952"/>
      </c:barChart>
      <c:catAx>
        <c:axId val="172096512"/>
        <c:scaling>
          <c:orientation val="minMax"/>
        </c:scaling>
        <c:delete val="1"/>
        <c:axPos val="b"/>
        <c:tickLblPos val="none"/>
        <c:crossAx val="172765952"/>
        <c:crosses val="autoZero"/>
        <c:auto val="1"/>
        <c:lblAlgn val="ctr"/>
        <c:lblOffset val="100"/>
      </c:catAx>
      <c:valAx>
        <c:axId val="172765952"/>
        <c:scaling>
          <c:orientation val="minMax"/>
        </c:scaling>
        <c:axPos val="l"/>
        <c:majorGridlines/>
        <c:numFmt formatCode="0%" sourceLinked="1"/>
        <c:tickLblPos val="nextTo"/>
        <c:crossAx val="172096512"/>
        <c:crosses val="autoZero"/>
        <c:crossBetween val="between"/>
      </c:valAx>
    </c:plotArea>
    <c:legend>
      <c:legendPos val="r"/>
      <c:layout>
        <c:manualLayout>
          <c:xMode val="edge"/>
          <c:yMode val="edge"/>
          <c:x val="0.59060350701606656"/>
          <c:y val="0.12593994577728213"/>
          <c:w val="0.38219814744287961"/>
          <c:h val="0.74812010844544474"/>
        </c:manualLayout>
      </c:layout>
      <c:txPr>
        <a:bodyPr/>
        <a:lstStyle/>
        <a:p>
          <a:pPr>
            <a:defRPr sz="800"/>
          </a:pPr>
          <a:endParaRPr lang="et-EE"/>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t-EE"/>
  <c:chart>
    <c:plotArea>
      <c:layout/>
      <c:barChart>
        <c:barDir val="col"/>
        <c:grouping val="percentStacked"/>
        <c:ser>
          <c:idx val="0"/>
          <c:order val="0"/>
          <c:tx>
            <c:strRef>
              <c:f>Tabelid!$A$41</c:f>
              <c:strCache>
                <c:ptCount val="1"/>
                <c:pt idx="0">
                  <c:v>Maavalitsused 4%</c:v>
                </c:pt>
              </c:strCache>
            </c:strRef>
          </c:tx>
          <c:val>
            <c:numRef>
              <c:f>Tabelid!$B$41</c:f>
              <c:numCache>
                <c:formatCode>0</c:formatCode>
                <c:ptCount val="1"/>
                <c:pt idx="0">
                  <c:v>4</c:v>
                </c:pt>
              </c:numCache>
            </c:numRef>
          </c:val>
        </c:ser>
        <c:ser>
          <c:idx val="3"/>
          <c:order val="1"/>
          <c:tx>
            <c:strRef>
              <c:f>Tabelid!$A$44</c:f>
              <c:strCache>
                <c:ptCount val="1"/>
                <c:pt idx="0">
                  <c:v>Teised valitsejad 5%</c:v>
                </c:pt>
              </c:strCache>
            </c:strRef>
          </c:tx>
          <c:val>
            <c:numRef>
              <c:f>Tabelid!$B$44</c:f>
              <c:numCache>
                <c:formatCode>0</c:formatCode>
                <c:ptCount val="1"/>
                <c:pt idx="0">
                  <c:v>5</c:v>
                </c:pt>
              </c:numCache>
            </c:numRef>
          </c:val>
        </c:ser>
        <c:ser>
          <c:idx val="2"/>
          <c:order val="2"/>
          <c:tx>
            <c:strRef>
              <c:f>Tabelid!$A$43</c:f>
              <c:strCache>
                <c:ptCount val="1"/>
                <c:pt idx="0">
                  <c:v>Maa-amet 7%</c:v>
                </c:pt>
              </c:strCache>
            </c:strRef>
          </c:tx>
          <c:val>
            <c:numRef>
              <c:f>Tabelid!$B$43</c:f>
              <c:numCache>
                <c:formatCode>0</c:formatCode>
                <c:ptCount val="1"/>
                <c:pt idx="0">
                  <c:v>7</c:v>
                </c:pt>
              </c:numCache>
            </c:numRef>
          </c:val>
        </c:ser>
        <c:ser>
          <c:idx val="1"/>
          <c:order val="3"/>
          <c:tx>
            <c:strRef>
              <c:f>Tabelid!$A$42</c:f>
              <c:strCache>
                <c:ptCount val="1"/>
                <c:pt idx="0">
                  <c:v>RMK 84%</c:v>
                </c:pt>
              </c:strCache>
            </c:strRef>
          </c:tx>
          <c:val>
            <c:numRef>
              <c:f>Tabelid!$B$42</c:f>
              <c:numCache>
                <c:formatCode>0</c:formatCode>
                <c:ptCount val="1"/>
                <c:pt idx="0">
                  <c:v>84</c:v>
                </c:pt>
              </c:numCache>
            </c:numRef>
          </c:val>
        </c:ser>
        <c:overlap val="100"/>
        <c:axId val="172792064"/>
        <c:axId val="172802048"/>
      </c:barChart>
      <c:catAx>
        <c:axId val="172792064"/>
        <c:scaling>
          <c:orientation val="minMax"/>
        </c:scaling>
        <c:delete val="1"/>
        <c:axPos val="b"/>
        <c:tickLblPos val="none"/>
        <c:crossAx val="172802048"/>
        <c:crosses val="autoZero"/>
        <c:auto val="1"/>
        <c:lblAlgn val="ctr"/>
        <c:lblOffset val="100"/>
      </c:catAx>
      <c:valAx>
        <c:axId val="172802048"/>
        <c:scaling>
          <c:orientation val="minMax"/>
        </c:scaling>
        <c:axPos val="l"/>
        <c:majorGridlines/>
        <c:numFmt formatCode="0%" sourceLinked="1"/>
        <c:tickLblPos val="nextTo"/>
        <c:crossAx val="172792064"/>
        <c:crosses val="autoZero"/>
        <c:crossBetween val="between"/>
      </c:valAx>
    </c:plotArea>
    <c:legend>
      <c:legendPos val="r"/>
      <c:layout>
        <c:manualLayout>
          <c:xMode val="edge"/>
          <c:yMode val="edge"/>
          <c:x val="0.57069670505218284"/>
          <c:y val="0.26541994750656167"/>
          <c:w val="0.40051226867998091"/>
          <c:h val="0.46916010498687682"/>
        </c:manualLayout>
      </c:layout>
      <c:txPr>
        <a:bodyPr/>
        <a:lstStyle/>
        <a:p>
          <a:pPr>
            <a:defRPr sz="800" baseline="0"/>
          </a:pPr>
          <a:endParaRPr lang="et-EE"/>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8C7AB-F707-419B-8A11-434A2230933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t-EE"/>
        </a:p>
      </dgm:t>
    </dgm:pt>
    <dgm:pt modelId="{0E9ABE94-33DC-46D1-9549-D8E6001B216B}">
      <dgm:prSet phldrT="[Text]" custT="1"/>
      <dgm:spPr>
        <a:solidFill>
          <a:schemeClr val="tx2">
            <a:lumMod val="40000"/>
            <a:lumOff val="60000"/>
          </a:schemeClr>
        </a:solidFill>
        <a:ln>
          <a:solidFill>
            <a:schemeClr val="accent1"/>
          </a:solidFill>
        </a:ln>
      </dgm:spPr>
      <dgm:t>
        <a:bodyPr/>
        <a:lstStyle/>
        <a:p>
          <a:r>
            <a:rPr lang="et-EE" sz="1100" dirty="0">
              <a:solidFill>
                <a:schemeClr val="tx1"/>
              </a:solidFill>
              <a:latin typeface="Georgia" pitchFamily="18" charset="0"/>
            </a:rPr>
            <a:t>Keskvalitsus</a:t>
          </a:r>
        </a:p>
      </dgm:t>
    </dgm:pt>
    <dgm:pt modelId="{859350D8-437A-4833-9C93-E715015E5EE0}" type="parTrans" cxnId="{4EE4D237-EC9C-4D7D-A4E3-FA620D15A6AC}">
      <dgm:prSet/>
      <dgm:spPr/>
      <dgm:t>
        <a:bodyPr/>
        <a:lstStyle/>
        <a:p>
          <a:endParaRPr lang="et-EE" sz="1100"/>
        </a:p>
      </dgm:t>
    </dgm:pt>
    <dgm:pt modelId="{BCDDA53B-D2F7-47BA-9D1B-0037B6156C91}" type="sibTrans" cxnId="{4EE4D237-EC9C-4D7D-A4E3-FA620D15A6AC}">
      <dgm:prSet/>
      <dgm:spPr/>
      <dgm:t>
        <a:bodyPr/>
        <a:lstStyle/>
        <a:p>
          <a:endParaRPr lang="et-EE" sz="1100"/>
        </a:p>
      </dgm:t>
    </dgm:pt>
    <dgm:pt modelId="{4E3A5CAD-F601-4F19-8E61-6C4B48323439}">
      <dgm:prSet phldrT="[Text]" custT="1"/>
      <dgm:spPr>
        <a:solidFill>
          <a:schemeClr val="tx2">
            <a:lumMod val="40000"/>
            <a:lumOff val="60000"/>
          </a:schemeClr>
        </a:solidFill>
        <a:ln>
          <a:solidFill>
            <a:schemeClr val="accent1"/>
          </a:solidFill>
        </a:ln>
      </dgm:spPr>
      <dgm:t>
        <a:bodyPr/>
        <a:lstStyle/>
        <a:p>
          <a:r>
            <a:rPr lang="et-EE" sz="1000" dirty="0" smtClean="0">
              <a:solidFill>
                <a:schemeClr val="tx1"/>
              </a:solidFill>
              <a:latin typeface="Georgia" pitchFamily="18" charset="0"/>
            </a:rPr>
            <a:t>Sotsiaalkindlustus-fondid</a:t>
          </a:r>
          <a:endParaRPr lang="et-EE" sz="1000" dirty="0">
            <a:solidFill>
              <a:schemeClr val="tx1"/>
            </a:solidFill>
            <a:latin typeface="Georgia" pitchFamily="18" charset="0"/>
          </a:endParaRPr>
        </a:p>
      </dgm:t>
    </dgm:pt>
    <dgm:pt modelId="{589DEEFE-8633-4983-BAA0-21BE8BF2F3BE}" type="parTrans" cxnId="{AFAF065B-A0EF-4DAE-84B7-ACED076195D4}">
      <dgm:prSet/>
      <dgm:spPr/>
      <dgm:t>
        <a:bodyPr/>
        <a:lstStyle/>
        <a:p>
          <a:endParaRPr lang="et-EE" sz="1100"/>
        </a:p>
      </dgm:t>
    </dgm:pt>
    <dgm:pt modelId="{C524F217-6D09-4547-A5B2-9485F80259C4}" type="sibTrans" cxnId="{AFAF065B-A0EF-4DAE-84B7-ACED076195D4}">
      <dgm:prSet/>
      <dgm:spPr/>
      <dgm:t>
        <a:bodyPr/>
        <a:lstStyle/>
        <a:p>
          <a:endParaRPr lang="et-EE" sz="1100"/>
        </a:p>
      </dgm:t>
    </dgm:pt>
    <dgm:pt modelId="{B3213A48-2693-4FFD-A191-80BBD3298004}">
      <dgm:prSet phldrT="[Text]" custT="1"/>
      <dgm:spPr>
        <a:solidFill>
          <a:schemeClr val="tx1"/>
        </a:solidFill>
      </dgm:spPr>
      <dgm:t>
        <a:bodyPr/>
        <a:lstStyle/>
        <a:p>
          <a:r>
            <a:rPr lang="et-EE" sz="1000" b="1" dirty="0" smtClean="0">
              <a:latin typeface="Georgia" pitchFamily="18" charset="0"/>
            </a:rPr>
            <a:t>Riigiasutused (r</a:t>
          </a:r>
          <a:r>
            <a:rPr lang="et-EE" sz="1000" dirty="0" smtClean="0">
              <a:latin typeface="Georgia" pitchFamily="18" charset="0"/>
            </a:rPr>
            <a:t>iigieelarvelised asutused)</a:t>
          </a:r>
          <a:endParaRPr lang="et-EE" sz="1000" dirty="0">
            <a:latin typeface="Georgia" pitchFamily="18" charset="0"/>
          </a:endParaRPr>
        </a:p>
      </dgm:t>
    </dgm:pt>
    <dgm:pt modelId="{9FC31D05-4946-454C-BDED-045F8755BA6F}" type="parTrans" cxnId="{716066C5-99BE-469F-B410-FDE499D41001}">
      <dgm:prSet/>
      <dgm:spPr/>
      <dgm:t>
        <a:bodyPr/>
        <a:lstStyle/>
        <a:p>
          <a:endParaRPr lang="et-EE" sz="1100"/>
        </a:p>
      </dgm:t>
    </dgm:pt>
    <dgm:pt modelId="{E779174E-1E38-4164-A14C-AB538EE905A2}" type="sibTrans" cxnId="{716066C5-99BE-469F-B410-FDE499D41001}">
      <dgm:prSet/>
      <dgm:spPr/>
      <dgm:t>
        <a:bodyPr/>
        <a:lstStyle/>
        <a:p>
          <a:endParaRPr lang="et-EE" sz="1100"/>
        </a:p>
      </dgm:t>
    </dgm:pt>
    <dgm:pt modelId="{09D8E6FD-4EC3-4EC1-A657-178D9F6B9129}">
      <dgm:prSet phldrT="[Text]" custT="1"/>
      <dgm:spPr>
        <a:solidFill>
          <a:schemeClr val="bg1">
            <a:lumMod val="75000"/>
          </a:schemeClr>
        </a:solidFill>
        <a:ln>
          <a:solidFill>
            <a:schemeClr val="tx2"/>
          </a:solidFill>
        </a:ln>
      </dgm:spPr>
      <dgm:t>
        <a:bodyPr/>
        <a:lstStyle/>
        <a:p>
          <a:r>
            <a:rPr lang="et-EE" sz="1050" dirty="0" smtClean="0">
              <a:solidFill>
                <a:schemeClr val="tx1"/>
              </a:solidFill>
              <a:latin typeface="Georgia" pitchFamily="18" charset="0"/>
            </a:rPr>
            <a:t>Riigi SA, </a:t>
          </a:r>
        </a:p>
        <a:p>
          <a:r>
            <a:rPr lang="et-EE" sz="1050" dirty="0" smtClean="0">
              <a:solidFill>
                <a:schemeClr val="tx1"/>
              </a:solidFill>
              <a:latin typeface="Georgia" pitchFamily="18" charset="0"/>
            </a:rPr>
            <a:t>MTÜ, ÄÜ</a:t>
          </a:r>
          <a:r>
            <a:rPr lang="et-EE" sz="1050" b="1" dirty="0" smtClean="0">
              <a:solidFill>
                <a:schemeClr val="tx1"/>
              </a:solidFill>
              <a:latin typeface="Georgia" pitchFamily="18" charset="0"/>
            </a:rPr>
            <a:t> </a:t>
          </a:r>
        </a:p>
        <a:p>
          <a:r>
            <a:rPr lang="et-EE" sz="1050" b="1" dirty="0" smtClean="0">
              <a:solidFill>
                <a:schemeClr val="tx1"/>
              </a:solidFill>
              <a:latin typeface="Georgia" pitchFamily="18" charset="0"/>
            </a:rPr>
            <a:t>(sh RKAS)</a:t>
          </a:r>
          <a:endParaRPr lang="et-EE" sz="1050" b="1" dirty="0">
            <a:solidFill>
              <a:schemeClr val="tx1"/>
            </a:solidFill>
            <a:latin typeface="Georgia" pitchFamily="18" charset="0"/>
          </a:endParaRPr>
        </a:p>
      </dgm:t>
    </dgm:pt>
    <dgm:pt modelId="{4A7F4F9C-7FA2-40EE-9D3F-77FB46E0F346}" type="parTrans" cxnId="{B8BBB76F-F089-46C9-9EB1-D8D4520EAB29}">
      <dgm:prSet/>
      <dgm:spPr/>
      <dgm:t>
        <a:bodyPr/>
        <a:lstStyle/>
        <a:p>
          <a:endParaRPr lang="et-EE" sz="1100"/>
        </a:p>
      </dgm:t>
    </dgm:pt>
    <dgm:pt modelId="{BD1FE388-0E71-4E0B-A146-AFDF1B639DF4}" type="sibTrans" cxnId="{B8BBB76F-F089-46C9-9EB1-D8D4520EAB29}">
      <dgm:prSet/>
      <dgm:spPr/>
      <dgm:t>
        <a:bodyPr/>
        <a:lstStyle/>
        <a:p>
          <a:endParaRPr lang="et-EE" sz="1100"/>
        </a:p>
      </dgm:t>
    </dgm:pt>
    <dgm:pt modelId="{CA237D8A-585E-4947-B3A5-761A436A8EEA}">
      <dgm:prSet phldrT="[Text]" custT="1"/>
      <dgm:spPr>
        <a:solidFill>
          <a:schemeClr val="bg1">
            <a:lumMod val="95000"/>
          </a:schemeClr>
        </a:solidFill>
        <a:ln>
          <a:solidFill>
            <a:schemeClr val="tx2"/>
          </a:solidFill>
        </a:ln>
      </dgm:spPr>
      <dgm:t>
        <a:bodyPr/>
        <a:lstStyle/>
        <a:p>
          <a:r>
            <a:rPr lang="et-EE" sz="1000" dirty="0" smtClean="0">
              <a:solidFill>
                <a:schemeClr val="tx1"/>
              </a:solidFill>
              <a:latin typeface="Georgia" pitchFamily="18" charset="0"/>
            </a:rPr>
            <a:t>AÕJI</a:t>
          </a:r>
          <a:endParaRPr lang="et-EE" sz="1000" dirty="0">
            <a:solidFill>
              <a:schemeClr val="tx1"/>
            </a:solidFill>
            <a:latin typeface="Georgia" pitchFamily="18" charset="0"/>
          </a:endParaRPr>
        </a:p>
      </dgm:t>
    </dgm:pt>
    <dgm:pt modelId="{CB3313EC-FD93-447C-89B9-F3D0DF65043F}" type="parTrans" cxnId="{19FD97B4-4ED0-47BA-8DCA-F52112AEB568}">
      <dgm:prSet/>
      <dgm:spPr/>
      <dgm:t>
        <a:bodyPr/>
        <a:lstStyle/>
        <a:p>
          <a:endParaRPr lang="et-EE" sz="1100"/>
        </a:p>
      </dgm:t>
    </dgm:pt>
    <dgm:pt modelId="{CC4247CE-6C8B-40A0-A773-849D4AE44A7E}" type="sibTrans" cxnId="{19FD97B4-4ED0-47BA-8DCA-F52112AEB568}">
      <dgm:prSet/>
      <dgm:spPr/>
      <dgm:t>
        <a:bodyPr/>
        <a:lstStyle/>
        <a:p>
          <a:endParaRPr lang="et-EE" sz="1100"/>
        </a:p>
      </dgm:t>
    </dgm:pt>
    <dgm:pt modelId="{CAF7375E-394F-4A6A-B7C5-A2FA647726F6}">
      <dgm:prSet phldrT="[Text]" custT="1"/>
      <dgm:spPr>
        <a:solidFill>
          <a:schemeClr val="bg1">
            <a:lumMod val="95000"/>
          </a:schemeClr>
        </a:solidFill>
        <a:ln>
          <a:solidFill>
            <a:schemeClr val="tx2"/>
          </a:solidFill>
        </a:ln>
      </dgm:spPr>
      <dgm:t>
        <a:bodyPr/>
        <a:lstStyle/>
        <a:p>
          <a:r>
            <a:rPr lang="et-EE" sz="1100" dirty="0">
              <a:solidFill>
                <a:schemeClr val="tx1"/>
              </a:solidFill>
              <a:latin typeface="Georgia" pitchFamily="18" charset="0"/>
            </a:rPr>
            <a:t>Linna- ja vallaasutused</a:t>
          </a:r>
        </a:p>
      </dgm:t>
    </dgm:pt>
    <dgm:pt modelId="{73A508B9-8826-41F3-B6F9-D24CBB83BEDC}" type="parTrans" cxnId="{AA0EA025-A482-487D-BAB6-B0EE3021E043}">
      <dgm:prSet/>
      <dgm:spPr/>
      <dgm:t>
        <a:bodyPr/>
        <a:lstStyle/>
        <a:p>
          <a:endParaRPr lang="et-EE" sz="1100"/>
        </a:p>
      </dgm:t>
    </dgm:pt>
    <dgm:pt modelId="{690F8C1B-786C-4DF9-8439-871974E9A312}" type="sibTrans" cxnId="{AA0EA025-A482-487D-BAB6-B0EE3021E043}">
      <dgm:prSet/>
      <dgm:spPr/>
      <dgm:t>
        <a:bodyPr/>
        <a:lstStyle/>
        <a:p>
          <a:endParaRPr lang="et-EE" sz="1100"/>
        </a:p>
      </dgm:t>
    </dgm:pt>
    <dgm:pt modelId="{3C870794-DD65-4C6B-A6BF-B39FD0195CA1}">
      <dgm:prSet phldrT="[Text]" custT="1"/>
      <dgm:spPr>
        <a:solidFill>
          <a:schemeClr val="bg1">
            <a:lumMod val="95000"/>
          </a:schemeClr>
        </a:solidFill>
        <a:ln>
          <a:solidFill>
            <a:schemeClr val="tx2"/>
          </a:solidFill>
        </a:ln>
      </dgm:spPr>
      <dgm:t>
        <a:bodyPr/>
        <a:lstStyle/>
        <a:p>
          <a:r>
            <a:rPr lang="et-EE" sz="1100" dirty="0">
              <a:solidFill>
                <a:schemeClr val="tx1"/>
              </a:solidFill>
              <a:latin typeface="Georgia" pitchFamily="18" charset="0"/>
            </a:rPr>
            <a:t>KOV-ide </a:t>
          </a:r>
          <a:r>
            <a:rPr lang="et-EE" sz="1100" dirty="0" smtClean="0">
              <a:solidFill>
                <a:schemeClr val="tx1"/>
              </a:solidFill>
              <a:latin typeface="Georgia" pitchFamily="18" charset="0"/>
            </a:rPr>
            <a:t>SA,  </a:t>
          </a:r>
        </a:p>
        <a:p>
          <a:r>
            <a:rPr lang="et-EE" sz="1100" dirty="0" smtClean="0">
              <a:solidFill>
                <a:schemeClr val="tx1"/>
              </a:solidFill>
              <a:latin typeface="Georgia" pitchFamily="18" charset="0"/>
            </a:rPr>
            <a:t>MTÜ,  ÄÜ</a:t>
          </a:r>
          <a:endParaRPr lang="et-EE" sz="1100" dirty="0">
            <a:solidFill>
              <a:schemeClr val="tx1"/>
            </a:solidFill>
            <a:latin typeface="Georgia" pitchFamily="18" charset="0"/>
          </a:endParaRPr>
        </a:p>
      </dgm:t>
    </dgm:pt>
    <dgm:pt modelId="{9C779DD7-755A-4356-9018-D62B2A8EBC35}" type="parTrans" cxnId="{9D7AFC0D-7373-4147-9B50-DAD14775D188}">
      <dgm:prSet/>
      <dgm:spPr/>
      <dgm:t>
        <a:bodyPr/>
        <a:lstStyle/>
        <a:p>
          <a:endParaRPr lang="et-EE" sz="1100"/>
        </a:p>
      </dgm:t>
    </dgm:pt>
    <dgm:pt modelId="{2E7E8DCE-66EE-4454-8056-FCC6CBFF58A2}" type="sibTrans" cxnId="{9D7AFC0D-7373-4147-9B50-DAD14775D188}">
      <dgm:prSet/>
      <dgm:spPr/>
      <dgm:t>
        <a:bodyPr/>
        <a:lstStyle/>
        <a:p>
          <a:endParaRPr lang="et-EE" sz="1100"/>
        </a:p>
      </dgm:t>
    </dgm:pt>
    <dgm:pt modelId="{9CF23E05-00AA-4110-9DFE-6425AA69B690}">
      <dgm:prSet phldrT="[Text]" custT="1"/>
      <dgm:spPr>
        <a:solidFill>
          <a:schemeClr val="bg1">
            <a:lumMod val="95000"/>
          </a:schemeClr>
        </a:solidFill>
        <a:ln>
          <a:solidFill>
            <a:schemeClr val="tx2"/>
          </a:solidFill>
        </a:ln>
      </dgm:spPr>
      <dgm:t>
        <a:bodyPr/>
        <a:lstStyle/>
        <a:p>
          <a:r>
            <a:rPr lang="et-EE" sz="1100" dirty="0">
              <a:solidFill>
                <a:schemeClr val="tx1"/>
              </a:solidFill>
              <a:latin typeface="Georgia" pitchFamily="18" charset="0"/>
            </a:rPr>
            <a:t>Haigekassa</a:t>
          </a:r>
        </a:p>
      </dgm:t>
    </dgm:pt>
    <dgm:pt modelId="{E8A281DB-E673-4863-B42C-238DC6FBABEF}" type="parTrans" cxnId="{EDBC53A3-B770-4A82-8C50-1F56E1320F19}">
      <dgm:prSet/>
      <dgm:spPr/>
      <dgm:t>
        <a:bodyPr/>
        <a:lstStyle/>
        <a:p>
          <a:endParaRPr lang="et-EE" sz="1100"/>
        </a:p>
      </dgm:t>
    </dgm:pt>
    <dgm:pt modelId="{E50E20CA-7AC4-4464-8D75-0449E48E8B48}" type="sibTrans" cxnId="{EDBC53A3-B770-4A82-8C50-1F56E1320F19}">
      <dgm:prSet/>
      <dgm:spPr/>
      <dgm:t>
        <a:bodyPr/>
        <a:lstStyle/>
        <a:p>
          <a:endParaRPr lang="et-EE" sz="1100"/>
        </a:p>
      </dgm:t>
    </dgm:pt>
    <dgm:pt modelId="{7BAE4E7F-C28D-4525-887A-D6B17F4054A2}">
      <dgm:prSet phldrT="[Text]" custT="1"/>
      <dgm:spPr>
        <a:solidFill>
          <a:schemeClr val="bg1">
            <a:lumMod val="95000"/>
          </a:schemeClr>
        </a:solidFill>
        <a:ln>
          <a:solidFill>
            <a:schemeClr val="tx2"/>
          </a:solidFill>
        </a:ln>
      </dgm:spPr>
      <dgm:t>
        <a:bodyPr/>
        <a:lstStyle/>
        <a:p>
          <a:r>
            <a:rPr lang="et-EE" sz="1100" dirty="0">
              <a:solidFill>
                <a:schemeClr val="tx1"/>
              </a:solidFill>
              <a:latin typeface="Georgia" pitchFamily="18" charset="0"/>
            </a:rPr>
            <a:t>Töötukassa</a:t>
          </a:r>
        </a:p>
      </dgm:t>
    </dgm:pt>
    <dgm:pt modelId="{15B9CF71-AB98-4D96-9ABE-155B267AA791}" type="parTrans" cxnId="{4F9E1A2D-E73D-4E38-8079-0763C21F2E20}">
      <dgm:prSet/>
      <dgm:spPr/>
      <dgm:t>
        <a:bodyPr/>
        <a:lstStyle/>
        <a:p>
          <a:endParaRPr lang="et-EE" sz="1100"/>
        </a:p>
      </dgm:t>
    </dgm:pt>
    <dgm:pt modelId="{88485B5F-F3C5-4122-A2F8-1DC4A5634D77}" type="sibTrans" cxnId="{4F9E1A2D-E73D-4E38-8079-0763C21F2E20}">
      <dgm:prSet/>
      <dgm:spPr/>
      <dgm:t>
        <a:bodyPr/>
        <a:lstStyle/>
        <a:p>
          <a:endParaRPr lang="et-EE" sz="1100"/>
        </a:p>
      </dgm:t>
    </dgm:pt>
    <dgm:pt modelId="{CDCD57B7-ED6D-4F1C-B1A6-1EFA4D8804C2}">
      <dgm:prSet phldrT="[Text]" custT="1"/>
      <dgm:spPr>
        <a:solidFill>
          <a:schemeClr val="tx2">
            <a:lumMod val="40000"/>
            <a:lumOff val="60000"/>
          </a:schemeClr>
        </a:solidFill>
        <a:ln>
          <a:solidFill>
            <a:schemeClr val="tx2"/>
          </a:solidFill>
        </a:ln>
      </dgm:spPr>
      <dgm:t>
        <a:bodyPr/>
        <a:lstStyle/>
        <a:p>
          <a:r>
            <a:rPr lang="et-EE" sz="1400" dirty="0">
              <a:solidFill>
                <a:schemeClr val="tx1"/>
              </a:solidFill>
              <a:latin typeface="Georgia" pitchFamily="18" charset="0"/>
            </a:rPr>
            <a:t>Valitsus-sektor</a:t>
          </a:r>
        </a:p>
      </dgm:t>
    </dgm:pt>
    <dgm:pt modelId="{8F48D926-53CA-4E3A-9FDB-C7706C1806E0}" type="sibTrans" cxnId="{50ACDC84-A6D6-49E8-B274-7943EC0455E0}">
      <dgm:prSet/>
      <dgm:spPr/>
      <dgm:t>
        <a:bodyPr/>
        <a:lstStyle/>
        <a:p>
          <a:endParaRPr lang="et-EE" sz="1100"/>
        </a:p>
      </dgm:t>
    </dgm:pt>
    <dgm:pt modelId="{AFA52834-0CE8-4DB2-95E6-E1BAD657970D}" type="parTrans" cxnId="{50ACDC84-A6D6-49E8-B274-7943EC0455E0}">
      <dgm:prSet/>
      <dgm:spPr/>
      <dgm:t>
        <a:bodyPr/>
        <a:lstStyle/>
        <a:p>
          <a:endParaRPr lang="et-EE" sz="1100"/>
        </a:p>
      </dgm:t>
    </dgm:pt>
    <dgm:pt modelId="{B8B27158-116F-4DFD-A86A-D593519F3D64}">
      <dgm:prSet phldrT="[Text]" custT="1"/>
      <dgm:spPr>
        <a:solidFill>
          <a:schemeClr val="tx2">
            <a:lumMod val="40000"/>
            <a:lumOff val="60000"/>
          </a:schemeClr>
        </a:solidFill>
        <a:ln>
          <a:solidFill>
            <a:schemeClr val="tx2"/>
          </a:solidFill>
        </a:ln>
      </dgm:spPr>
      <dgm:t>
        <a:bodyPr/>
        <a:lstStyle/>
        <a:p>
          <a:r>
            <a:rPr lang="et-EE" sz="1400" dirty="0">
              <a:solidFill>
                <a:schemeClr val="tx1"/>
              </a:solidFill>
              <a:latin typeface="Georgia" pitchFamily="18" charset="0"/>
            </a:rPr>
            <a:t>Muu avalik sektor</a:t>
          </a:r>
        </a:p>
      </dgm:t>
    </dgm:pt>
    <dgm:pt modelId="{FC91158F-9BD8-493D-BA5C-64BFFFDEB693}" type="sibTrans" cxnId="{9CF62F70-BAF8-4C64-AA3E-0D9D33524ED7}">
      <dgm:prSet/>
      <dgm:spPr/>
      <dgm:t>
        <a:bodyPr/>
        <a:lstStyle/>
        <a:p>
          <a:endParaRPr lang="et-EE" sz="1100"/>
        </a:p>
      </dgm:t>
    </dgm:pt>
    <dgm:pt modelId="{8AF6B268-A313-4542-A03F-EE63273106D1}" type="parTrans" cxnId="{9CF62F70-BAF8-4C64-AA3E-0D9D33524ED7}">
      <dgm:prSet/>
      <dgm:spPr/>
      <dgm:t>
        <a:bodyPr/>
        <a:lstStyle/>
        <a:p>
          <a:endParaRPr lang="et-EE" sz="1100"/>
        </a:p>
      </dgm:t>
    </dgm:pt>
    <dgm:pt modelId="{1D10DBC4-7F89-4A29-A0F4-BABE9281FAB7}">
      <dgm:prSet phldrT="[Text]" custT="1"/>
      <dgm:spPr>
        <a:solidFill>
          <a:schemeClr val="bg1">
            <a:lumMod val="75000"/>
          </a:schemeClr>
        </a:solidFill>
        <a:ln>
          <a:solidFill>
            <a:schemeClr val="tx2"/>
          </a:solidFill>
        </a:ln>
      </dgm:spPr>
      <dgm:t>
        <a:bodyPr/>
        <a:lstStyle/>
        <a:p>
          <a:r>
            <a:rPr lang="et-EE" sz="1100" dirty="0" smtClean="0">
              <a:solidFill>
                <a:schemeClr val="tx1"/>
              </a:solidFill>
              <a:latin typeface="Georgia" pitchFamily="18" charset="0"/>
            </a:rPr>
            <a:t>Enamik SA, MTÜ, ÄÜ </a:t>
          </a:r>
        </a:p>
        <a:p>
          <a:r>
            <a:rPr lang="et-EE" sz="1100" b="1" dirty="0" smtClean="0">
              <a:solidFill>
                <a:schemeClr val="tx1"/>
              </a:solidFill>
              <a:latin typeface="Georgia" pitchFamily="18" charset="0"/>
            </a:rPr>
            <a:t>(sh RMK)</a:t>
          </a:r>
          <a:endParaRPr lang="et-EE" sz="1100" b="1" dirty="0">
            <a:solidFill>
              <a:schemeClr val="tx1"/>
            </a:solidFill>
            <a:latin typeface="Georgia" pitchFamily="18" charset="0"/>
          </a:endParaRPr>
        </a:p>
      </dgm:t>
    </dgm:pt>
    <dgm:pt modelId="{906A2F9E-7E79-4DD2-A03F-3F58AC3C879B}" type="sibTrans" cxnId="{CEDD921B-829D-405F-86B6-201ED97719BE}">
      <dgm:prSet/>
      <dgm:spPr/>
      <dgm:t>
        <a:bodyPr/>
        <a:lstStyle/>
        <a:p>
          <a:endParaRPr lang="et-EE" sz="1100"/>
        </a:p>
      </dgm:t>
    </dgm:pt>
    <dgm:pt modelId="{EEFB06EF-ADDB-4F1C-9689-1A23A5C79588}" type="parTrans" cxnId="{CEDD921B-829D-405F-86B6-201ED97719BE}">
      <dgm:prSet/>
      <dgm:spPr/>
      <dgm:t>
        <a:bodyPr/>
        <a:lstStyle/>
        <a:p>
          <a:endParaRPr lang="et-EE" sz="1100"/>
        </a:p>
      </dgm:t>
    </dgm:pt>
    <dgm:pt modelId="{5D493023-999B-4B45-8631-53FF8EC6B5D0}">
      <dgm:prSet phldrT="[Text]" custT="1"/>
      <dgm:spPr>
        <a:solidFill>
          <a:schemeClr val="bg1">
            <a:lumMod val="95000"/>
          </a:schemeClr>
        </a:solidFill>
        <a:ln>
          <a:solidFill>
            <a:schemeClr val="tx2"/>
          </a:solidFill>
        </a:ln>
      </dgm:spPr>
      <dgm:t>
        <a:bodyPr/>
        <a:lstStyle/>
        <a:p>
          <a:r>
            <a:rPr lang="et-EE" sz="1100" dirty="0" smtClean="0">
              <a:solidFill>
                <a:schemeClr val="tx1"/>
              </a:solidFill>
              <a:latin typeface="Georgia" pitchFamily="18" charset="0"/>
            </a:rPr>
            <a:t>AÕJI</a:t>
          </a:r>
          <a:endParaRPr lang="et-EE" sz="1100" dirty="0">
            <a:solidFill>
              <a:schemeClr val="tx1"/>
            </a:solidFill>
            <a:latin typeface="Georgia" pitchFamily="18" charset="0"/>
          </a:endParaRPr>
        </a:p>
      </dgm:t>
    </dgm:pt>
    <dgm:pt modelId="{E6BC5560-E78A-4B30-810A-9EED6C707866}" type="sibTrans" cxnId="{C2577EA4-572B-401F-8355-9B80A0367A08}">
      <dgm:prSet/>
      <dgm:spPr/>
      <dgm:t>
        <a:bodyPr/>
        <a:lstStyle/>
        <a:p>
          <a:endParaRPr lang="et-EE" sz="1100"/>
        </a:p>
      </dgm:t>
    </dgm:pt>
    <dgm:pt modelId="{4BF07CC7-627A-4C81-92A7-B7753520550E}" type="parTrans" cxnId="{C2577EA4-572B-401F-8355-9B80A0367A08}">
      <dgm:prSet/>
      <dgm:spPr/>
      <dgm:t>
        <a:bodyPr/>
        <a:lstStyle/>
        <a:p>
          <a:endParaRPr lang="et-EE" sz="1100"/>
        </a:p>
      </dgm:t>
    </dgm:pt>
    <dgm:pt modelId="{A1369C02-4CBD-477F-BEC3-3FAE9B2613E2}">
      <dgm:prSet phldrT="[Text]" custT="1"/>
      <dgm:spPr>
        <a:solidFill>
          <a:schemeClr val="tx2">
            <a:lumMod val="40000"/>
            <a:lumOff val="60000"/>
          </a:schemeClr>
        </a:solidFill>
        <a:ln>
          <a:solidFill>
            <a:schemeClr val="accent1"/>
          </a:solidFill>
        </a:ln>
      </dgm:spPr>
      <dgm:t>
        <a:bodyPr/>
        <a:lstStyle/>
        <a:p>
          <a:r>
            <a:rPr lang="et-EE" sz="1100" dirty="0">
              <a:solidFill>
                <a:schemeClr val="tx1"/>
              </a:solidFill>
              <a:latin typeface="Georgia" pitchFamily="18" charset="0"/>
            </a:rPr>
            <a:t>KOV</a:t>
          </a:r>
        </a:p>
      </dgm:t>
    </dgm:pt>
    <dgm:pt modelId="{97A291AA-4E57-42C2-A37A-32C6607456ED}" type="sibTrans" cxnId="{ADE6591E-ACFA-4CEE-AB29-3CD6EBEA5500}">
      <dgm:prSet/>
      <dgm:spPr/>
      <dgm:t>
        <a:bodyPr/>
        <a:lstStyle/>
        <a:p>
          <a:endParaRPr lang="et-EE" sz="1100"/>
        </a:p>
      </dgm:t>
    </dgm:pt>
    <dgm:pt modelId="{CA60308C-5A24-4404-90BD-00F55AC711D7}" type="parTrans" cxnId="{ADE6591E-ACFA-4CEE-AB29-3CD6EBEA5500}">
      <dgm:prSet/>
      <dgm:spPr/>
      <dgm:t>
        <a:bodyPr/>
        <a:lstStyle/>
        <a:p>
          <a:endParaRPr lang="et-EE" sz="1100"/>
        </a:p>
      </dgm:t>
    </dgm:pt>
    <dgm:pt modelId="{37E8A205-DBEF-4F55-BE11-F283E699D61D}" type="pres">
      <dgm:prSet presAssocID="{DC88C7AB-F707-419B-8A11-434A2230933D}" presName="hierChild1" presStyleCnt="0">
        <dgm:presLayoutVars>
          <dgm:orgChart val="1"/>
          <dgm:chPref val="1"/>
          <dgm:dir/>
          <dgm:animOne val="branch"/>
          <dgm:animLvl val="lvl"/>
          <dgm:resizeHandles/>
        </dgm:presLayoutVars>
      </dgm:prSet>
      <dgm:spPr/>
      <dgm:t>
        <a:bodyPr/>
        <a:lstStyle/>
        <a:p>
          <a:endParaRPr lang="et-EE"/>
        </a:p>
      </dgm:t>
    </dgm:pt>
    <dgm:pt modelId="{2B797ED5-0570-47DA-8DCA-20AC7B4B8D30}" type="pres">
      <dgm:prSet presAssocID="{B8B27158-116F-4DFD-A86A-D593519F3D64}" presName="hierRoot1" presStyleCnt="0">
        <dgm:presLayoutVars>
          <dgm:hierBranch val="init"/>
        </dgm:presLayoutVars>
      </dgm:prSet>
      <dgm:spPr/>
    </dgm:pt>
    <dgm:pt modelId="{FCFDD44E-B0D5-43C8-BAA6-F99B69F30F1A}" type="pres">
      <dgm:prSet presAssocID="{B8B27158-116F-4DFD-A86A-D593519F3D64}" presName="rootComposite1" presStyleCnt="0"/>
      <dgm:spPr/>
    </dgm:pt>
    <dgm:pt modelId="{FC8E971C-D575-4A19-8CD9-22419C2247B9}" type="pres">
      <dgm:prSet presAssocID="{B8B27158-116F-4DFD-A86A-D593519F3D64}" presName="rootText1" presStyleLbl="node0" presStyleIdx="0" presStyleCnt="2" custLinFactX="122811" custLinFactNeighborX="200000" custLinFactNeighborY="-21921">
        <dgm:presLayoutVars>
          <dgm:chPref val="3"/>
        </dgm:presLayoutVars>
      </dgm:prSet>
      <dgm:spPr/>
      <dgm:t>
        <a:bodyPr/>
        <a:lstStyle/>
        <a:p>
          <a:endParaRPr lang="et-EE"/>
        </a:p>
      </dgm:t>
    </dgm:pt>
    <dgm:pt modelId="{2485F005-E11D-4FB6-9439-3506781FB42B}" type="pres">
      <dgm:prSet presAssocID="{B8B27158-116F-4DFD-A86A-D593519F3D64}" presName="rootConnector1" presStyleLbl="node1" presStyleIdx="0" presStyleCnt="0"/>
      <dgm:spPr/>
      <dgm:t>
        <a:bodyPr/>
        <a:lstStyle/>
        <a:p>
          <a:endParaRPr lang="et-EE"/>
        </a:p>
      </dgm:t>
    </dgm:pt>
    <dgm:pt modelId="{6A471ECF-1C03-4757-A754-DFE3CBB7FA6B}" type="pres">
      <dgm:prSet presAssocID="{B8B27158-116F-4DFD-A86A-D593519F3D64}" presName="hierChild2" presStyleCnt="0"/>
      <dgm:spPr/>
    </dgm:pt>
    <dgm:pt modelId="{E5C91B7D-575D-426C-9E35-46835D61A535}" type="pres">
      <dgm:prSet presAssocID="{EEFB06EF-ADDB-4F1C-9689-1A23A5C79588}" presName="Name37" presStyleLbl="parChTrans1D2" presStyleIdx="0" presStyleCnt="5"/>
      <dgm:spPr/>
      <dgm:t>
        <a:bodyPr/>
        <a:lstStyle/>
        <a:p>
          <a:endParaRPr lang="et-EE"/>
        </a:p>
      </dgm:t>
    </dgm:pt>
    <dgm:pt modelId="{FC05763B-5406-4B33-89A7-46F125D0ED6A}" type="pres">
      <dgm:prSet presAssocID="{1D10DBC4-7F89-4A29-A0F4-BABE9281FAB7}" presName="hierRoot2" presStyleCnt="0">
        <dgm:presLayoutVars>
          <dgm:hierBranch val="init"/>
        </dgm:presLayoutVars>
      </dgm:prSet>
      <dgm:spPr/>
    </dgm:pt>
    <dgm:pt modelId="{AC59E9F2-C385-4515-8182-30FFD8F25431}" type="pres">
      <dgm:prSet presAssocID="{1D10DBC4-7F89-4A29-A0F4-BABE9281FAB7}" presName="rootComposite" presStyleCnt="0"/>
      <dgm:spPr/>
    </dgm:pt>
    <dgm:pt modelId="{689D60D1-E989-4B60-BF18-A2887A3D99F8}" type="pres">
      <dgm:prSet presAssocID="{1D10DBC4-7F89-4A29-A0F4-BABE9281FAB7}" presName="rootText" presStyleLbl="node2" presStyleIdx="0" presStyleCnt="5" custScaleX="99547" custScaleY="114154" custLinFactX="200000" custLinFactY="20905" custLinFactNeighborX="244803" custLinFactNeighborY="100000">
        <dgm:presLayoutVars>
          <dgm:chPref val="3"/>
        </dgm:presLayoutVars>
      </dgm:prSet>
      <dgm:spPr/>
      <dgm:t>
        <a:bodyPr/>
        <a:lstStyle/>
        <a:p>
          <a:endParaRPr lang="et-EE"/>
        </a:p>
      </dgm:t>
    </dgm:pt>
    <dgm:pt modelId="{99072499-98B1-40DA-B48C-35207CD16001}" type="pres">
      <dgm:prSet presAssocID="{1D10DBC4-7F89-4A29-A0F4-BABE9281FAB7}" presName="rootConnector" presStyleLbl="node2" presStyleIdx="0" presStyleCnt="5"/>
      <dgm:spPr/>
      <dgm:t>
        <a:bodyPr/>
        <a:lstStyle/>
        <a:p>
          <a:endParaRPr lang="et-EE"/>
        </a:p>
      </dgm:t>
    </dgm:pt>
    <dgm:pt modelId="{CE9FEEAD-C50B-4AC5-B374-C4C7E5924883}" type="pres">
      <dgm:prSet presAssocID="{1D10DBC4-7F89-4A29-A0F4-BABE9281FAB7}" presName="hierChild4" presStyleCnt="0"/>
      <dgm:spPr/>
    </dgm:pt>
    <dgm:pt modelId="{CAEB0366-C651-425A-AC57-8B05BC7439AE}" type="pres">
      <dgm:prSet presAssocID="{1D10DBC4-7F89-4A29-A0F4-BABE9281FAB7}" presName="hierChild5" presStyleCnt="0"/>
      <dgm:spPr/>
    </dgm:pt>
    <dgm:pt modelId="{516D0C7D-8BCF-4AED-9811-290BE7B24C60}" type="pres">
      <dgm:prSet presAssocID="{4BF07CC7-627A-4C81-92A7-B7753520550E}" presName="Name37" presStyleLbl="parChTrans1D2" presStyleIdx="1" presStyleCnt="5"/>
      <dgm:spPr/>
      <dgm:t>
        <a:bodyPr/>
        <a:lstStyle/>
        <a:p>
          <a:endParaRPr lang="et-EE"/>
        </a:p>
      </dgm:t>
    </dgm:pt>
    <dgm:pt modelId="{B1DC3CEF-841C-4A7E-8292-989CB8D4D53D}" type="pres">
      <dgm:prSet presAssocID="{5D493023-999B-4B45-8631-53FF8EC6B5D0}" presName="hierRoot2" presStyleCnt="0">
        <dgm:presLayoutVars>
          <dgm:hierBranch val="init"/>
        </dgm:presLayoutVars>
      </dgm:prSet>
      <dgm:spPr/>
    </dgm:pt>
    <dgm:pt modelId="{D0D6B13B-9423-425A-8EA2-13A398805485}" type="pres">
      <dgm:prSet presAssocID="{5D493023-999B-4B45-8631-53FF8EC6B5D0}" presName="rootComposite" presStyleCnt="0"/>
      <dgm:spPr/>
    </dgm:pt>
    <dgm:pt modelId="{40C1C365-DBD6-406D-9007-077A98267B94}" type="pres">
      <dgm:prSet presAssocID="{5D493023-999B-4B45-8631-53FF8EC6B5D0}" presName="rootText" presStyleLbl="node2" presStyleIdx="1" presStyleCnt="5" custLinFactX="126826" custLinFactY="100000" custLinFactNeighborX="200000" custLinFactNeighborY="167507">
        <dgm:presLayoutVars>
          <dgm:chPref val="3"/>
        </dgm:presLayoutVars>
      </dgm:prSet>
      <dgm:spPr/>
      <dgm:t>
        <a:bodyPr/>
        <a:lstStyle/>
        <a:p>
          <a:endParaRPr lang="et-EE"/>
        </a:p>
      </dgm:t>
    </dgm:pt>
    <dgm:pt modelId="{B9BFCC37-5676-4BF4-9E88-8C7B3C404422}" type="pres">
      <dgm:prSet presAssocID="{5D493023-999B-4B45-8631-53FF8EC6B5D0}" presName="rootConnector" presStyleLbl="node2" presStyleIdx="1" presStyleCnt="5"/>
      <dgm:spPr/>
      <dgm:t>
        <a:bodyPr/>
        <a:lstStyle/>
        <a:p>
          <a:endParaRPr lang="et-EE"/>
        </a:p>
      </dgm:t>
    </dgm:pt>
    <dgm:pt modelId="{C79334EC-E675-4CD4-8E7A-4F1D2F161E2B}" type="pres">
      <dgm:prSet presAssocID="{5D493023-999B-4B45-8631-53FF8EC6B5D0}" presName="hierChild4" presStyleCnt="0"/>
      <dgm:spPr/>
    </dgm:pt>
    <dgm:pt modelId="{328CA2D0-546F-4E7C-95CA-71A2DE1F3736}" type="pres">
      <dgm:prSet presAssocID="{5D493023-999B-4B45-8631-53FF8EC6B5D0}" presName="hierChild5" presStyleCnt="0"/>
      <dgm:spPr/>
    </dgm:pt>
    <dgm:pt modelId="{D6D611AB-AC72-4338-995F-581A013D65FF}" type="pres">
      <dgm:prSet presAssocID="{B8B27158-116F-4DFD-A86A-D593519F3D64}" presName="hierChild3" presStyleCnt="0"/>
      <dgm:spPr/>
    </dgm:pt>
    <dgm:pt modelId="{FB650E88-6730-45D8-8665-66F71824FB82}" type="pres">
      <dgm:prSet presAssocID="{CDCD57B7-ED6D-4F1C-B1A6-1EFA4D8804C2}" presName="hierRoot1" presStyleCnt="0">
        <dgm:presLayoutVars>
          <dgm:hierBranch val="init"/>
        </dgm:presLayoutVars>
      </dgm:prSet>
      <dgm:spPr/>
    </dgm:pt>
    <dgm:pt modelId="{E1E3A22F-0E45-46D1-9EA4-1CEBA8E27A84}" type="pres">
      <dgm:prSet presAssocID="{CDCD57B7-ED6D-4F1C-B1A6-1EFA4D8804C2}" presName="rootComposite1" presStyleCnt="0"/>
      <dgm:spPr/>
    </dgm:pt>
    <dgm:pt modelId="{ED54B31F-65FE-47C4-9FAE-5F9507AB95C3}" type="pres">
      <dgm:prSet presAssocID="{CDCD57B7-ED6D-4F1C-B1A6-1EFA4D8804C2}" presName="rootText1" presStyleLbl="node0" presStyleIdx="1" presStyleCnt="2" custLinFactX="-100000" custLinFactNeighborX="-136414" custLinFactNeighborY="-21921">
        <dgm:presLayoutVars>
          <dgm:chPref val="3"/>
        </dgm:presLayoutVars>
      </dgm:prSet>
      <dgm:spPr/>
      <dgm:t>
        <a:bodyPr/>
        <a:lstStyle/>
        <a:p>
          <a:endParaRPr lang="et-EE"/>
        </a:p>
      </dgm:t>
    </dgm:pt>
    <dgm:pt modelId="{8517351C-63FA-431A-903E-DC55CCF91DC1}" type="pres">
      <dgm:prSet presAssocID="{CDCD57B7-ED6D-4F1C-B1A6-1EFA4D8804C2}" presName="rootConnector1" presStyleLbl="node1" presStyleIdx="0" presStyleCnt="0"/>
      <dgm:spPr/>
      <dgm:t>
        <a:bodyPr/>
        <a:lstStyle/>
        <a:p>
          <a:endParaRPr lang="et-EE"/>
        </a:p>
      </dgm:t>
    </dgm:pt>
    <dgm:pt modelId="{9BDC74A2-2DB0-4740-A0F7-FC002B2D68CE}" type="pres">
      <dgm:prSet presAssocID="{CDCD57B7-ED6D-4F1C-B1A6-1EFA4D8804C2}" presName="hierChild2" presStyleCnt="0"/>
      <dgm:spPr/>
    </dgm:pt>
    <dgm:pt modelId="{4F39FB87-E954-4168-AFA0-C7B200EE7E4F}" type="pres">
      <dgm:prSet presAssocID="{859350D8-437A-4833-9C93-E715015E5EE0}" presName="Name37" presStyleLbl="parChTrans1D2" presStyleIdx="2" presStyleCnt="5"/>
      <dgm:spPr/>
      <dgm:t>
        <a:bodyPr/>
        <a:lstStyle/>
        <a:p>
          <a:endParaRPr lang="et-EE"/>
        </a:p>
      </dgm:t>
    </dgm:pt>
    <dgm:pt modelId="{D9741CA3-BB07-4680-91B4-D1BFD75D41DC}" type="pres">
      <dgm:prSet presAssocID="{0E9ABE94-33DC-46D1-9549-D8E6001B216B}" presName="hierRoot2" presStyleCnt="0">
        <dgm:presLayoutVars>
          <dgm:hierBranch val="init"/>
        </dgm:presLayoutVars>
      </dgm:prSet>
      <dgm:spPr/>
    </dgm:pt>
    <dgm:pt modelId="{E66CCCCB-14B8-4FE4-8E41-C3039621D884}" type="pres">
      <dgm:prSet presAssocID="{0E9ABE94-33DC-46D1-9549-D8E6001B216B}" presName="rootComposite" presStyleCnt="0"/>
      <dgm:spPr/>
    </dgm:pt>
    <dgm:pt modelId="{F9B87371-086C-478E-A620-32ACAEAF88C0}" type="pres">
      <dgm:prSet presAssocID="{0E9ABE94-33DC-46D1-9549-D8E6001B216B}" presName="rootText" presStyleLbl="node2" presStyleIdx="2" presStyleCnt="5" custLinFactX="-100000" custLinFactNeighborX="-136414" custLinFactNeighborY="-21921">
        <dgm:presLayoutVars>
          <dgm:chPref val="3"/>
        </dgm:presLayoutVars>
      </dgm:prSet>
      <dgm:spPr/>
      <dgm:t>
        <a:bodyPr/>
        <a:lstStyle/>
        <a:p>
          <a:endParaRPr lang="et-EE"/>
        </a:p>
      </dgm:t>
    </dgm:pt>
    <dgm:pt modelId="{E940F03C-26F0-48CF-9543-173A2178FB36}" type="pres">
      <dgm:prSet presAssocID="{0E9ABE94-33DC-46D1-9549-D8E6001B216B}" presName="rootConnector" presStyleLbl="node2" presStyleIdx="2" presStyleCnt="5"/>
      <dgm:spPr/>
      <dgm:t>
        <a:bodyPr/>
        <a:lstStyle/>
        <a:p>
          <a:endParaRPr lang="et-EE"/>
        </a:p>
      </dgm:t>
    </dgm:pt>
    <dgm:pt modelId="{489BCE9D-383B-42F9-97F0-F93DCAFBD16B}" type="pres">
      <dgm:prSet presAssocID="{0E9ABE94-33DC-46D1-9549-D8E6001B216B}" presName="hierChild4" presStyleCnt="0"/>
      <dgm:spPr/>
    </dgm:pt>
    <dgm:pt modelId="{AE379464-28DB-437A-A923-B1C298E0885A}" type="pres">
      <dgm:prSet presAssocID="{9FC31D05-4946-454C-BDED-045F8755BA6F}" presName="Name37" presStyleLbl="parChTrans1D3" presStyleIdx="0" presStyleCnt="7"/>
      <dgm:spPr/>
      <dgm:t>
        <a:bodyPr/>
        <a:lstStyle/>
        <a:p>
          <a:endParaRPr lang="et-EE"/>
        </a:p>
      </dgm:t>
    </dgm:pt>
    <dgm:pt modelId="{729C3E9B-14E5-48A7-9B5D-278FEC807A16}" type="pres">
      <dgm:prSet presAssocID="{B3213A48-2693-4FFD-A191-80BBD3298004}" presName="hierRoot2" presStyleCnt="0">
        <dgm:presLayoutVars>
          <dgm:hierBranch val="init"/>
        </dgm:presLayoutVars>
      </dgm:prSet>
      <dgm:spPr/>
    </dgm:pt>
    <dgm:pt modelId="{F80FA14A-CF03-4832-80E8-93C38CBAC3D3}" type="pres">
      <dgm:prSet presAssocID="{B3213A48-2693-4FFD-A191-80BBD3298004}" presName="rootComposite" presStyleCnt="0"/>
      <dgm:spPr/>
    </dgm:pt>
    <dgm:pt modelId="{D4F63E67-43DC-4DEC-9306-C410CFC6ED9B}" type="pres">
      <dgm:prSet presAssocID="{B3213A48-2693-4FFD-A191-80BBD3298004}" presName="rootText" presStyleLbl="node3" presStyleIdx="0" presStyleCnt="7" custScaleX="98691" custScaleY="120213" custLinFactX="-100000" custLinFactNeighborX="-136414" custLinFactNeighborY="-21921">
        <dgm:presLayoutVars>
          <dgm:chPref val="3"/>
        </dgm:presLayoutVars>
      </dgm:prSet>
      <dgm:spPr/>
      <dgm:t>
        <a:bodyPr/>
        <a:lstStyle/>
        <a:p>
          <a:endParaRPr lang="et-EE"/>
        </a:p>
      </dgm:t>
    </dgm:pt>
    <dgm:pt modelId="{8DB1CC5A-A483-49A6-8E14-8CF1323CB8F2}" type="pres">
      <dgm:prSet presAssocID="{B3213A48-2693-4FFD-A191-80BBD3298004}" presName="rootConnector" presStyleLbl="node3" presStyleIdx="0" presStyleCnt="7"/>
      <dgm:spPr/>
      <dgm:t>
        <a:bodyPr/>
        <a:lstStyle/>
        <a:p>
          <a:endParaRPr lang="et-EE"/>
        </a:p>
      </dgm:t>
    </dgm:pt>
    <dgm:pt modelId="{8A07C7F8-513C-4D0B-A9B8-74B83AFA60A9}" type="pres">
      <dgm:prSet presAssocID="{B3213A48-2693-4FFD-A191-80BBD3298004}" presName="hierChild4" presStyleCnt="0"/>
      <dgm:spPr/>
    </dgm:pt>
    <dgm:pt modelId="{31F0CAFC-EB2B-4AE1-8B87-205BE7DC2E93}" type="pres">
      <dgm:prSet presAssocID="{B3213A48-2693-4FFD-A191-80BBD3298004}" presName="hierChild5" presStyleCnt="0"/>
      <dgm:spPr/>
    </dgm:pt>
    <dgm:pt modelId="{7F40344C-6162-4A88-8578-235CF3CAA5C0}" type="pres">
      <dgm:prSet presAssocID="{4A7F4F9C-7FA2-40EE-9D3F-77FB46E0F346}" presName="Name37" presStyleLbl="parChTrans1D3" presStyleIdx="1" presStyleCnt="7"/>
      <dgm:spPr/>
      <dgm:t>
        <a:bodyPr/>
        <a:lstStyle/>
        <a:p>
          <a:endParaRPr lang="et-EE"/>
        </a:p>
      </dgm:t>
    </dgm:pt>
    <dgm:pt modelId="{21F7A94D-F43D-40F8-B1E5-CAA1D0B1525C}" type="pres">
      <dgm:prSet presAssocID="{09D8E6FD-4EC3-4EC1-A657-178D9F6B9129}" presName="hierRoot2" presStyleCnt="0">
        <dgm:presLayoutVars>
          <dgm:hierBranch val="init"/>
        </dgm:presLayoutVars>
      </dgm:prSet>
      <dgm:spPr/>
    </dgm:pt>
    <dgm:pt modelId="{28DEC8B3-B33F-4AB1-A5F0-7872FB7A31B1}" type="pres">
      <dgm:prSet presAssocID="{09D8E6FD-4EC3-4EC1-A657-178D9F6B9129}" presName="rootComposite" presStyleCnt="0"/>
      <dgm:spPr/>
    </dgm:pt>
    <dgm:pt modelId="{B6B29282-2556-4CB6-8E64-EF3CA92F957F}" type="pres">
      <dgm:prSet presAssocID="{09D8E6FD-4EC3-4EC1-A657-178D9F6B9129}" presName="rootText" presStyleLbl="node3" presStyleIdx="1" presStyleCnt="7" custScaleX="98691" custScaleY="120967" custLinFactX="-100000" custLinFactNeighborX="-136414" custLinFactNeighborY="-21921">
        <dgm:presLayoutVars>
          <dgm:chPref val="3"/>
        </dgm:presLayoutVars>
      </dgm:prSet>
      <dgm:spPr/>
      <dgm:t>
        <a:bodyPr/>
        <a:lstStyle/>
        <a:p>
          <a:endParaRPr lang="et-EE"/>
        </a:p>
      </dgm:t>
    </dgm:pt>
    <dgm:pt modelId="{C6136B0B-D6EE-4F18-8542-448674593718}" type="pres">
      <dgm:prSet presAssocID="{09D8E6FD-4EC3-4EC1-A657-178D9F6B9129}" presName="rootConnector" presStyleLbl="node3" presStyleIdx="1" presStyleCnt="7"/>
      <dgm:spPr/>
      <dgm:t>
        <a:bodyPr/>
        <a:lstStyle/>
        <a:p>
          <a:endParaRPr lang="et-EE"/>
        </a:p>
      </dgm:t>
    </dgm:pt>
    <dgm:pt modelId="{A6192B92-7571-4658-8402-94B7F8C80B80}" type="pres">
      <dgm:prSet presAssocID="{09D8E6FD-4EC3-4EC1-A657-178D9F6B9129}" presName="hierChild4" presStyleCnt="0"/>
      <dgm:spPr/>
    </dgm:pt>
    <dgm:pt modelId="{A57AB3E7-22C2-4DDB-8AA0-B502F9578BCA}" type="pres">
      <dgm:prSet presAssocID="{09D8E6FD-4EC3-4EC1-A657-178D9F6B9129}" presName="hierChild5" presStyleCnt="0"/>
      <dgm:spPr/>
    </dgm:pt>
    <dgm:pt modelId="{42E7E050-95A4-4961-BF1E-4E44EEFB30BE}" type="pres">
      <dgm:prSet presAssocID="{CB3313EC-FD93-447C-89B9-F3D0DF65043F}" presName="Name37" presStyleLbl="parChTrans1D3" presStyleIdx="2" presStyleCnt="7"/>
      <dgm:spPr/>
      <dgm:t>
        <a:bodyPr/>
        <a:lstStyle/>
        <a:p>
          <a:endParaRPr lang="et-EE"/>
        </a:p>
      </dgm:t>
    </dgm:pt>
    <dgm:pt modelId="{45A24D49-22EC-4C27-A2EF-0C681BB6AF2E}" type="pres">
      <dgm:prSet presAssocID="{CA237D8A-585E-4947-B3A5-761A436A8EEA}" presName="hierRoot2" presStyleCnt="0">
        <dgm:presLayoutVars>
          <dgm:hierBranch val="init"/>
        </dgm:presLayoutVars>
      </dgm:prSet>
      <dgm:spPr/>
    </dgm:pt>
    <dgm:pt modelId="{F3975429-AFF5-4F5F-A918-B2EEB099EB45}" type="pres">
      <dgm:prSet presAssocID="{CA237D8A-585E-4947-B3A5-761A436A8EEA}" presName="rootComposite" presStyleCnt="0"/>
      <dgm:spPr/>
    </dgm:pt>
    <dgm:pt modelId="{CFE37665-E856-4F21-ADFF-166AD2666A9C}" type="pres">
      <dgm:prSet presAssocID="{CA237D8A-585E-4947-B3A5-761A436A8EEA}" presName="rootText" presStyleLbl="node3" presStyleIdx="2" presStyleCnt="7" custLinFactX="-100000" custLinFactNeighborX="-136414" custLinFactNeighborY="-21922">
        <dgm:presLayoutVars>
          <dgm:chPref val="3"/>
        </dgm:presLayoutVars>
      </dgm:prSet>
      <dgm:spPr/>
      <dgm:t>
        <a:bodyPr/>
        <a:lstStyle/>
        <a:p>
          <a:endParaRPr lang="et-EE"/>
        </a:p>
      </dgm:t>
    </dgm:pt>
    <dgm:pt modelId="{6E27940C-7D88-4D2E-B10C-2BE0F39FE150}" type="pres">
      <dgm:prSet presAssocID="{CA237D8A-585E-4947-B3A5-761A436A8EEA}" presName="rootConnector" presStyleLbl="node3" presStyleIdx="2" presStyleCnt="7"/>
      <dgm:spPr/>
      <dgm:t>
        <a:bodyPr/>
        <a:lstStyle/>
        <a:p>
          <a:endParaRPr lang="et-EE"/>
        </a:p>
      </dgm:t>
    </dgm:pt>
    <dgm:pt modelId="{47284888-C59D-445E-A560-22F8F9E871B2}" type="pres">
      <dgm:prSet presAssocID="{CA237D8A-585E-4947-B3A5-761A436A8EEA}" presName="hierChild4" presStyleCnt="0"/>
      <dgm:spPr/>
    </dgm:pt>
    <dgm:pt modelId="{30523F01-0738-4F2E-BFB8-CB9F60247F12}" type="pres">
      <dgm:prSet presAssocID="{CA237D8A-585E-4947-B3A5-761A436A8EEA}" presName="hierChild5" presStyleCnt="0"/>
      <dgm:spPr/>
    </dgm:pt>
    <dgm:pt modelId="{9A3768E1-A415-44D6-8E67-4F25905F853D}" type="pres">
      <dgm:prSet presAssocID="{0E9ABE94-33DC-46D1-9549-D8E6001B216B}" presName="hierChild5" presStyleCnt="0"/>
      <dgm:spPr/>
    </dgm:pt>
    <dgm:pt modelId="{D7F7431E-99C0-4147-AAF9-4E313BAB0637}" type="pres">
      <dgm:prSet presAssocID="{CA60308C-5A24-4404-90BD-00F55AC711D7}" presName="Name37" presStyleLbl="parChTrans1D2" presStyleIdx="3" presStyleCnt="5"/>
      <dgm:spPr/>
      <dgm:t>
        <a:bodyPr/>
        <a:lstStyle/>
        <a:p>
          <a:endParaRPr lang="et-EE"/>
        </a:p>
      </dgm:t>
    </dgm:pt>
    <dgm:pt modelId="{2420AC54-144D-431C-84FD-1BE833511F3A}" type="pres">
      <dgm:prSet presAssocID="{A1369C02-4CBD-477F-BEC3-3FAE9B2613E2}" presName="hierRoot2" presStyleCnt="0">
        <dgm:presLayoutVars>
          <dgm:hierBranch val="init"/>
        </dgm:presLayoutVars>
      </dgm:prSet>
      <dgm:spPr/>
    </dgm:pt>
    <dgm:pt modelId="{9F29FDFC-7246-45BD-A864-AF520335FE38}" type="pres">
      <dgm:prSet presAssocID="{A1369C02-4CBD-477F-BEC3-3FAE9B2613E2}" presName="rootComposite" presStyleCnt="0"/>
      <dgm:spPr/>
    </dgm:pt>
    <dgm:pt modelId="{6E9DFFEC-D5B9-49A1-85C5-CFD17A38CFE8}" type="pres">
      <dgm:prSet presAssocID="{A1369C02-4CBD-477F-BEC3-3FAE9B2613E2}" presName="rootText" presStyleLbl="node2" presStyleIdx="3" presStyleCnt="5" custLinFactX="-100000" custLinFactNeighborX="-136414" custLinFactNeighborY="-21921">
        <dgm:presLayoutVars>
          <dgm:chPref val="3"/>
        </dgm:presLayoutVars>
      </dgm:prSet>
      <dgm:spPr/>
      <dgm:t>
        <a:bodyPr/>
        <a:lstStyle/>
        <a:p>
          <a:endParaRPr lang="et-EE"/>
        </a:p>
      </dgm:t>
    </dgm:pt>
    <dgm:pt modelId="{624840C0-F84F-4BD1-95CA-CB402832DB96}" type="pres">
      <dgm:prSet presAssocID="{A1369C02-4CBD-477F-BEC3-3FAE9B2613E2}" presName="rootConnector" presStyleLbl="node2" presStyleIdx="3" presStyleCnt="5"/>
      <dgm:spPr/>
      <dgm:t>
        <a:bodyPr/>
        <a:lstStyle/>
        <a:p>
          <a:endParaRPr lang="et-EE"/>
        </a:p>
      </dgm:t>
    </dgm:pt>
    <dgm:pt modelId="{416389A2-06F8-4F3C-A1CA-DE87ED5B9C0E}" type="pres">
      <dgm:prSet presAssocID="{A1369C02-4CBD-477F-BEC3-3FAE9B2613E2}" presName="hierChild4" presStyleCnt="0"/>
      <dgm:spPr/>
    </dgm:pt>
    <dgm:pt modelId="{BF142025-C34C-42ED-8CF3-64139DD3C557}" type="pres">
      <dgm:prSet presAssocID="{73A508B9-8826-41F3-B6F9-D24CBB83BEDC}" presName="Name37" presStyleLbl="parChTrans1D3" presStyleIdx="3" presStyleCnt="7"/>
      <dgm:spPr/>
      <dgm:t>
        <a:bodyPr/>
        <a:lstStyle/>
        <a:p>
          <a:endParaRPr lang="et-EE"/>
        </a:p>
      </dgm:t>
    </dgm:pt>
    <dgm:pt modelId="{D80DA6A5-DEDA-47B8-9B84-CF6593847E9D}" type="pres">
      <dgm:prSet presAssocID="{CAF7375E-394F-4A6A-B7C5-A2FA647726F6}" presName="hierRoot2" presStyleCnt="0">
        <dgm:presLayoutVars>
          <dgm:hierBranch val="init"/>
        </dgm:presLayoutVars>
      </dgm:prSet>
      <dgm:spPr/>
    </dgm:pt>
    <dgm:pt modelId="{5FCB5A53-B35F-4D18-B06D-9CBEBD644FB5}" type="pres">
      <dgm:prSet presAssocID="{CAF7375E-394F-4A6A-B7C5-A2FA647726F6}" presName="rootComposite" presStyleCnt="0"/>
      <dgm:spPr/>
    </dgm:pt>
    <dgm:pt modelId="{93063C6F-F58D-48BC-A1FB-83807B07AB07}" type="pres">
      <dgm:prSet presAssocID="{CAF7375E-394F-4A6A-B7C5-A2FA647726F6}" presName="rootText" presStyleLbl="node3" presStyleIdx="3" presStyleCnt="7" custLinFactX="-100000" custLinFactNeighborX="-136414" custLinFactNeighborY="-21921">
        <dgm:presLayoutVars>
          <dgm:chPref val="3"/>
        </dgm:presLayoutVars>
      </dgm:prSet>
      <dgm:spPr/>
      <dgm:t>
        <a:bodyPr/>
        <a:lstStyle/>
        <a:p>
          <a:endParaRPr lang="et-EE"/>
        </a:p>
      </dgm:t>
    </dgm:pt>
    <dgm:pt modelId="{5DC1AC1D-DB54-4E14-8F3D-CBB38BF08AC4}" type="pres">
      <dgm:prSet presAssocID="{CAF7375E-394F-4A6A-B7C5-A2FA647726F6}" presName="rootConnector" presStyleLbl="node3" presStyleIdx="3" presStyleCnt="7"/>
      <dgm:spPr/>
      <dgm:t>
        <a:bodyPr/>
        <a:lstStyle/>
        <a:p>
          <a:endParaRPr lang="et-EE"/>
        </a:p>
      </dgm:t>
    </dgm:pt>
    <dgm:pt modelId="{0D3B8C31-BD06-4F20-8EF2-0DA8B02446B6}" type="pres">
      <dgm:prSet presAssocID="{CAF7375E-394F-4A6A-B7C5-A2FA647726F6}" presName="hierChild4" presStyleCnt="0"/>
      <dgm:spPr/>
    </dgm:pt>
    <dgm:pt modelId="{DB43C704-B2B2-4244-B0DE-1CD680D85364}" type="pres">
      <dgm:prSet presAssocID="{CAF7375E-394F-4A6A-B7C5-A2FA647726F6}" presName="hierChild5" presStyleCnt="0"/>
      <dgm:spPr/>
    </dgm:pt>
    <dgm:pt modelId="{83800521-65CC-4A96-93C6-9CE57D343976}" type="pres">
      <dgm:prSet presAssocID="{9C779DD7-755A-4356-9018-D62B2A8EBC35}" presName="Name37" presStyleLbl="parChTrans1D3" presStyleIdx="4" presStyleCnt="7"/>
      <dgm:spPr/>
      <dgm:t>
        <a:bodyPr/>
        <a:lstStyle/>
        <a:p>
          <a:endParaRPr lang="et-EE"/>
        </a:p>
      </dgm:t>
    </dgm:pt>
    <dgm:pt modelId="{41E52266-2E51-416F-808E-78C4FF7A672F}" type="pres">
      <dgm:prSet presAssocID="{3C870794-DD65-4C6B-A6BF-B39FD0195CA1}" presName="hierRoot2" presStyleCnt="0">
        <dgm:presLayoutVars>
          <dgm:hierBranch val="init"/>
        </dgm:presLayoutVars>
      </dgm:prSet>
      <dgm:spPr/>
    </dgm:pt>
    <dgm:pt modelId="{C24F467A-9B7F-4727-81C3-3FEA4E2936AC}" type="pres">
      <dgm:prSet presAssocID="{3C870794-DD65-4C6B-A6BF-B39FD0195CA1}" presName="rootComposite" presStyleCnt="0"/>
      <dgm:spPr/>
    </dgm:pt>
    <dgm:pt modelId="{327CF5F6-ADDC-47E4-AE26-21669AE0294B}" type="pres">
      <dgm:prSet presAssocID="{3C870794-DD65-4C6B-A6BF-B39FD0195CA1}" presName="rootText" presStyleLbl="node3" presStyleIdx="4" presStyleCnt="7" custLinFactX="-100000" custLinFactNeighborX="-136414" custLinFactNeighborY="-21921">
        <dgm:presLayoutVars>
          <dgm:chPref val="3"/>
        </dgm:presLayoutVars>
      </dgm:prSet>
      <dgm:spPr/>
      <dgm:t>
        <a:bodyPr/>
        <a:lstStyle/>
        <a:p>
          <a:endParaRPr lang="et-EE"/>
        </a:p>
      </dgm:t>
    </dgm:pt>
    <dgm:pt modelId="{56DA1EBD-7356-4E1C-B9A5-D5217EE2E30E}" type="pres">
      <dgm:prSet presAssocID="{3C870794-DD65-4C6B-A6BF-B39FD0195CA1}" presName="rootConnector" presStyleLbl="node3" presStyleIdx="4" presStyleCnt="7"/>
      <dgm:spPr/>
      <dgm:t>
        <a:bodyPr/>
        <a:lstStyle/>
        <a:p>
          <a:endParaRPr lang="et-EE"/>
        </a:p>
      </dgm:t>
    </dgm:pt>
    <dgm:pt modelId="{EFD627E3-CD89-43E4-AF91-B10002DD29C8}" type="pres">
      <dgm:prSet presAssocID="{3C870794-DD65-4C6B-A6BF-B39FD0195CA1}" presName="hierChild4" presStyleCnt="0"/>
      <dgm:spPr/>
    </dgm:pt>
    <dgm:pt modelId="{C092651D-C9B9-40AC-88EE-DDFA62DE5C0E}" type="pres">
      <dgm:prSet presAssocID="{3C870794-DD65-4C6B-A6BF-B39FD0195CA1}" presName="hierChild5" presStyleCnt="0"/>
      <dgm:spPr/>
    </dgm:pt>
    <dgm:pt modelId="{55D9B63B-6C1D-4619-8C82-64102B1374B0}" type="pres">
      <dgm:prSet presAssocID="{A1369C02-4CBD-477F-BEC3-3FAE9B2613E2}" presName="hierChild5" presStyleCnt="0"/>
      <dgm:spPr/>
    </dgm:pt>
    <dgm:pt modelId="{83A43322-DAC4-43E7-9933-40B547C1A159}" type="pres">
      <dgm:prSet presAssocID="{589DEEFE-8633-4983-BAA0-21BE8BF2F3BE}" presName="Name37" presStyleLbl="parChTrans1D2" presStyleIdx="4" presStyleCnt="5"/>
      <dgm:spPr/>
      <dgm:t>
        <a:bodyPr/>
        <a:lstStyle/>
        <a:p>
          <a:endParaRPr lang="et-EE"/>
        </a:p>
      </dgm:t>
    </dgm:pt>
    <dgm:pt modelId="{4728CB19-3A09-4220-9204-6CD7CF7A444A}" type="pres">
      <dgm:prSet presAssocID="{4E3A5CAD-F601-4F19-8E61-6C4B48323439}" presName="hierRoot2" presStyleCnt="0">
        <dgm:presLayoutVars>
          <dgm:hierBranch val="init"/>
        </dgm:presLayoutVars>
      </dgm:prSet>
      <dgm:spPr/>
    </dgm:pt>
    <dgm:pt modelId="{B4C87360-19AC-4A36-B763-35BCF054E559}" type="pres">
      <dgm:prSet presAssocID="{4E3A5CAD-F601-4F19-8E61-6C4B48323439}" presName="rootComposite" presStyleCnt="0"/>
      <dgm:spPr/>
    </dgm:pt>
    <dgm:pt modelId="{9C118363-9351-4A9A-A947-48301DC475AA}" type="pres">
      <dgm:prSet presAssocID="{4E3A5CAD-F601-4F19-8E61-6C4B48323439}" presName="rootText" presStyleLbl="node2" presStyleIdx="4" presStyleCnt="5" custScaleX="116161" custScaleY="99376" custLinFactX="-100000" custLinFactNeighborX="-136414" custLinFactNeighborY="-21921">
        <dgm:presLayoutVars>
          <dgm:chPref val="3"/>
        </dgm:presLayoutVars>
      </dgm:prSet>
      <dgm:spPr/>
      <dgm:t>
        <a:bodyPr/>
        <a:lstStyle/>
        <a:p>
          <a:endParaRPr lang="et-EE"/>
        </a:p>
      </dgm:t>
    </dgm:pt>
    <dgm:pt modelId="{5BDED8C2-F950-424A-BDA6-93867013297C}" type="pres">
      <dgm:prSet presAssocID="{4E3A5CAD-F601-4F19-8E61-6C4B48323439}" presName="rootConnector" presStyleLbl="node2" presStyleIdx="4" presStyleCnt="5"/>
      <dgm:spPr/>
      <dgm:t>
        <a:bodyPr/>
        <a:lstStyle/>
        <a:p>
          <a:endParaRPr lang="et-EE"/>
        </a:p>
      </dgm:t>
    </dgm:pt>
    <dgm:pt modelId="{BDBAC827-406B-47C7-BF4A-AA7DFD474892}" type="pres">
      <dgm:prSet presAssocID="{4E3A5CAD-F601-4F19-8E61-6C4B48323439}" presName="hierChild4" presStyleCnt="0"/>
      <dgm:spPr/>
    </dgm:pt>
    <dgm:pt modelId="{D59B173A-1859-4B0C-AB13-DC7F84169661}" type="pres">
      <dgm:prSet presAssocID="{E8A281DB-E673-4863-B42C-238DC6FBABEF}" presName="Name37" presStyleLbl="parChTrans1D3" presStyleIdx="5" presStyleCnt="7"/>
      <dgm:spPr/>
      <dgm:t>
        <a:bodyPr/>
        <a:lstStyle/>
        <a:p>
          <a:endParaRPr lang="et-EE"/>
        </a:p>
      </dgm:t>
    </dgm:pt>
    <dgm:pt modelId="{C3C73940-FE89-46C2-87D6-098A0DFFC340}" type="pres">
      <dgm:prSet presAssocID="{9CF23E05-00AA-4110-9DFE-6425AA69B690}" presName="hierRoot2" presStyleCnt="0">
        <dgm:presLayoutVars>
          <dgm:hierBranch val="init"/>
        </dgm:presLayoutVars>
      </dgm:prSet>
      <dgm:spPr/>
    </dgm:pt>
    <dgm:pt modelId="{EE239BFF-6AFA-4CD2-AB6F-5EFC41DB1689}" type="pres">
      <dgm:prSet presAssocID="{9CF23E05-00AA-4110-9DFE-6425AA69B690}" presName="rootComposite" presStyleCnt="0"/>
      <dgm:spPr/>
    </dgm:pt>
    <dgm:pt modelId="{335E1875-E279-4B6B-B114-CBAECC33F948}" type="pres">
      <dgm:prSet presAssocID="{9CF23E05-00AA-4110-9DFE-6425AA69B690}" presName="rootText" presStyleLbl="node3" presStyleIdx="5" presStyleCnt="7" custLinFactX="-100000" custLinFactNeighborX="-136414" custLinFactNeighborY="-21921">
        <dgm:presLayoutVars>
          <dgm:chPref val="3"/>
        </dgm:presLayoutVars>
      </dgm:prSet>
      <dgm:spPr/>
      <dgm:t>
        <a:bodyPr/>
        <a:lstStyle/>
        <a:p>
          <a:endParaRPr lang="et-EE"/>
        </a:p>
      </dgm:t>
    </dgm:pt>
    <dgm:pt modelId="{4A4BAF04-DE9E-4AB3-BCB8-F6D0410EFB18}" type="pres">
      <dgm:prSet presAssocID="{9CF23E05-00AA-4110-9DFE-6425AA69B690}" presName="rootConnector" presStyleLbl="node3" presStyleIdx="5" presStyleCnt="7"/>
      <dgm:spPr/>
      <dgm:t>
        <a:bodyPr/>
        <a:lstStyle/>
        <a:p>
          <a:endParaRPr lang="et-EE"/>
        </a:p>
      </dgm:t>
    </dgm:pt>
    <dgm:pt modelId="{70E4DBD4-76FD-45A0-AFE1-412F63D4111E}" type="pres">
      <dgm:prSet presAssocID="{9CF23E05-00AA-4110-9DFE-6425AA69B690}" presName="hierChild4" presStyleCnt="0"/>
      <dgm:spPr/>
    </dgm:pt>
    <dgm:pt modelId="{C944DE93-FB5B-4D2C-A319-98E73CC9D8D3}" type="pres">
      <dgm:prSet presAssocID="{9CF23E05-00AA-4110-9DFE-6425AA69B690}" presName="hierChild5" presStyleCnt="0"/>
      <dgm:spPr/>
    </dgm:pt>
    <dgm:pt modelId="{2C7652BD-45D4-48B1-9AA9-C0230097D06A}" type="pres">
      <dgm:prSet presAssocID="{15B9CF71-AB98-4D96-9ABE-155B267AA791}" presName="Name37" presStyleLbl="parChTrans1D3" presStyleIdx="6" presStyleCnt="7"/>
      <dgm:spPr/>
      <dgm:t>
        <a:bodyPr/>
        <a:lstStyle/>
        <a:p>
          <a:endParaRPr lang="et-EE"/>
        </a:p>
      </dgm:t>
    </dgm:pt>
    <dgm:pt modelId="{7520EF85-A3F8-49E4-AFFD-3E04EEA7BADC}" type="pres">
      <dgm:prSet presAssocID="{7BAE4E7F-C28D-4525-887A-D6B17F4054A2}" presName="hierRoot2" presStyleCnt="0">
        <dgm:presLayoutVars>
          <dgm:hierBranch val="init"/>
        </dgm:presLayoutVars>
      </dgm:prSet>
      <dgm:spPr/>
    </dgm:pt>
    <dgm:pt modelId="{B4577DDD-0B18-4327-8C1C-886F354EE161}" type="pres">
      <dgm:prSet presAssocID="{7BAE4E7F-C28D-4525-887A-D6B17F4054A2}" presName="rootComposite" presStyleCnt="0"/>
      <dgm:spPr/>
    </dgm:pt>
    <dgm:pt modelId="{85B66C5C-AF7A-41AE-A394-A961556BC82E}" type="pres">
      <dgm:prSet presAssocID="{7BAE4E7F-C28D-4525-887A-D6B17F4054A2}" presName="rootText" presStyleLbl="node3" presStyleIdx="6" presStyleCnt="7" custLinFactX="-100000" custLinFactNeighborX="-136414" custLinFactNeighborY="-21921">
        <dgm:presLayoutVars>
          <dgm:chPref val="3"/>
        </dgm:presLayoutVars>
      </dgm:prSet>
      <dgm:spPr/>
      <dgm:t>
        <a:bodyPr/>
        <a:lstStyle/>
        <a:p>
          <a:endParaRPr lang="et-EE"/>
        </a:p>
      </dgm:t>
    </dgm:pt>
    <dgm:pt modelId="{88668223-3079-4E05-9537-DF942135C769}" type="pres">
      <dgm:prSet presAssocID="{7BAE4E7F-C28D-4525-887A-D6B17F4054A2}" presName="rootConnector" presStyleLbl="node3" presStyleIdx="6" presStyleCnt="7"/>
      <dgm:spPr/>
      <dgm:t>
        <a:bodyPr/>
        <a:lstStyle/>
        <a:p>
          <a:endParaRPr lang="et-EE"/>
        </a:p>
      </dgm:t>
    </dgm:pt>
    <dgm:pt modelId="{89885A4D-3C9E-480E-A0D1-884D1C9DCE01}" type="pres">
      <dgm:prSet presAssocID="{7BAE4E7F-C28D-4525-887A-D6B17F4054A2}" presName="hierChild4" presStyleCnt="0"/>
      <dgm:spPr/>
    </dgm:pt>
    <dgm:pt modelId="{669EBE41-9919-4A34-A0D6-DE82A2D1048D}" type="pres">
      <dgm:prSet presAssocID="{7BAE4E7F-C28D-4525-887A-D6B17F4054A2}" presName="hierChild5" presStyleCnt="0"/>
      <dgm:spPr/>
    </dgm:pt>
    <dgm:pt modelId="{86F380A7-C856-43AF-91C4-AC764216A5E4}" type="pres">
      <dgm:prSet presAssocID="{4E3A5CAD-F601-4F19-8E61-6C4B48323439}" presName="hierChild5" presStyleCnt="0"/>
      <dgm:spPr/>
    </dgm:pt>
    <dgm:pt modelId="{798AA0A0-7546-4EE4-82AC-C5398730663D}" type="pres">
      <dgm:prSet presAssocID="{CDCD57B7-ED6D-4F1C-B1A6-1EFA4D8804C2}" presName="hierChild3" presStyleCnt="0"/>
      <dgm:spPr/>
    </dgm:pt>
  </dgm:ptLst>
  <dgm:cxnLst>
    <dgm:cxn modelId="{716066C5-99BE-469F-B410-FDE499D41001}" srcId="{0E9ABE94-33DC-46D1-9549-D8E6001B216B}" destId="{B3213A48-2693-4FFD-A191-80BBD3298004}" srcOrd="0" destOrd="0" parTransId="{9FC31D05-4946-454C-BDED-045F8755BA6F}" sibTransId="{E779174E-1E38-4164-A14C-AB538EE905A2}"/>
    <dgm:cxn modelId="{06FE6048-CAFE-4CD0-B970-A194BB6EF419}" type="presOf" srcId="{9C779DD7-755A-4356-9018-D62B2A8EBC35}" destId="{83800521-65CC-4A96-93C6-9CE57D343976}" srcOrd="0" destOrd="0" presId="urn:microsoft.com/office/officeart/2005/8/layout/orgChart1"/>
    <dgm:cxn modelId="{0757CE25-ECFB-4D56-BEAE-16C7A78F12BA}" type="presOf" srcId="{3C870794-DD65-4C6B-A6BF-B39FD0195CA1}" destId="{56DA1EBD-7356-4E1C-B9A5-D5217EE2E30E}" srcOrd="1" destOrd="0" presId="urn:microsoft.com/office/officeart/2005/8/layout/orgChart1"/>
    <dgm:cxn modelId="{13372D63-AEA8-4A1D-A3CE-ABC1BB2AC877}" type="presOf" srcId="{1D10DBC4-7F89-4A29-A0F4-BABE9281FAB7}" destId="{99072499-98B1-40DA-B48C-35207CD16001}" srcOrd="1" destOrd="0" presId="urn:microsoft.com/office/officeart/2005/8/layout/orgChart1"/>
    <dgm:cxn modelId="{B2FDCBBA-511D-4081-9A73-E04428EB06EE}" type="presOf" srcId="{4E3A5CAD-F601-4F19-8E61-6C4B48323439}" destId="{9C118363-9351-4A9A-A947-48301DC475AA}" srcOrd="0" destOrd="0" presId="urn:microsoft.com/office/officeart/2005/8/layout/orgChart1"/>
    <dgm:cxn modelId="{3B22ED19-6B6E-4C3E-986D-E81864BE1E74}" type="presOf" srcId="{CB3313EC-FD93-447C-89B9-F3D0DF65043F}" destId="{42E7E050-95A4-4961-BF1E-4E44EEFB30BE}" srcOrd="0" destOrd="0" presId="urn:microsoft.com/office/officeart/2005/8/layout/orgChart1"/>
    <dgm:cxn modelId="{676B05A5-4662-413A-A2ED-3CAF7ACCE405}" type="presOf" srcId="{09D8E6FD-4EC3-4EC1-A657-178D9F6B9129}" destId="{C6136B0B-D6EE-4F18-8542-448674593718}" srcOrd="1" destOrd="0" presId="urn:microsoft.com/office/officeart/2005/8/layout/orgChart1"/>
    <dgm:cxn modelId="{EDBC53A3-B770-4A82-8C50-1F56E1320F19}" srcId="{4E3A5CAD-F601-4F19-8E61-6C4B48323439}" destId="{9CF23E05-00AA-4110-9DFE-6425AA69B690}" srcOrd="0" destOrd="0" parTransId="{E8A281DB-E673-4863-B42C-238DC6FBABEF}" sibTransId="{E50E20CA-7AC4-4464-8D75-0449E48E8B48}"/>
    <dgm:cxn modelId="{C2577EA4-572B-401F-8355-9B80A0367A08}" srcId="{B8B27158-116F-4DFD-A86A-D593519F3D64}" destId="{5D493023-999B-4B45-8631-53FF8EC6B5D0}" srcOrd="1" destOrd="0" parTransId="{4BF07CC7-627A-4C81-92A7-B7753520550E}" sibTransId="{E6BC5560-E78A-4B30-810A-9EED6C707866}"/>
    <dgm:cxn modelId="{9D7AFC0D-7373-4147-9B50-DAD14775D188}" srcId="{A1369C02-4CBD-477F-BEC3-3FAE9B2613E2}" destId="{3C870794-DD65-4C6B-A6BF-B39FD0195CA1}" srcOrd="1" destOrd="0" parTransId="{9C779DD7-755A-4356-9018-D62B2A8EBC35}" sibTransId="{2E7E8DCE-66EE-4454-8056-FCC6CBFF58A2}"/>
    <dgm:cxn modelId="{ADE6591E-ACFA-4CEE-AB29-3CD6EBEA5500}" srcId="{CDCD57B7-ED6D-4F1C-B1A6-1EFA4D8804C2}" destId="{A1369C02-4CBD-477F-BEC3-3FAE9B2613E2}" srcOrd="1" destOrd="0" parTransId="{CA60308C-5A24-4404-90BD-00F55AC711D7}" sibTransId="{97A291AA-4E57-42C2-A37A-32C6607456ED}"/>
    <dgm:cxn modelId="{2AAB3581-4B3C-421A-87E7-C6E01D35D0BF}" type="presOf" srcId="{0E9ABE94-33DC-46D1-9549-D8E6001B216B}" destId="{F9B87371-086C-478E-A620-32ACAEAF88C0}" srcOrd="0" destOrd="0" presId="urn:microsoft.com/office/officeart/2005/8/layout/orgChart1"/>
    <dgm:cxn modelId="{4EE4D237-EC9C-4D7D-A4E3-FA620D15A6AC}" srcId="{CDCD57B7-ED6D-4F1C-B1A6-1EFA4D8804C2}" destId="{0E9ABE94-33DC-46D1-9549-D8E6001B216B}" srcOrd="0" destOrd="0" parTransId="{859350D8-437A-4833-9C93-E715015E5EE0}" sibTransId="{BCDDA53B-D2F7-47BA-9D1B-0037B6156C91}"/>
    <dgm:cxn modelId="{AFAF065B-A0EF-4DAE-84B7-ACED076195D4}" srcId="{CDCD57B7-ED6D-4F1C-B1A6-1EFA4D8804C2}" destId="{4E3A5CAD-F601-4F19-8E61-6C4B48323439}" srcOrd="2" destOrd="0" parTransId="{589DEEFE-8633-4983-BAA0-21BE8BF2F3BE}" sibTransId="{C524F217-6D09-4547-A5B2-9485F80259C4}"/>
    <dgm:cxn modelId="{8DBCDB25-85EB-43EB-80BE-74AB576CE6DF}" type="presOf" srcId="{15B9CF71-AB98-4D96-9ABE-155B267AA791}" destId="{2C7652BD-45D4-48B1-9AA9-C0230097D06A}" srcOrd="0" destOrd="0" presId="urn:microsoft.com/office/officeart/2005/8/layout/orgChart1"/>
    <dgm:cxn modelId="{426DD873-EFC5-41AD-8131-52EA6BFD9006}" type="presOf" srcId="{5D493023-999B-4B45-8631-53FF8EC6B5D0}" destId="{40C1C365-DBD6-406D-9007-077A98267B94}" srcOrd="0" destOrd="0" presId="urn:microsoft.com/office/officeart/2005/8/layout/orgChart1"/>
    <dgm:cxn modelId="{A7402867-C4CB-4DE8-986D-06D83739D6F6}" type="presOf" srcId="{B8B27158-116F-4DFD-A86A-D593519F3D64}" destId="{2485F005-E11D-4FB6-9439-3506781FB42B}" srcOrd="1" destOrd="0" presId="urn:microsoft.com/office/officeart/2005/8/layout/orgChart1"/>
    <dgm:cxn modelId="{080AFF5A-5DA3-4FBE-BFFF-4F85C291F786}" type="presOf" srcId="{09D8E6FD-4EC3-4EC1-A657-178D9F6B9129}" destId="{B6B29282-2556-4CB6-8E64-EF3CA92F957F}" srcOrd="0" destOrd="0" presId="urn:microsoft.com/office/officeart/2005/8/layout/orgChart1"/>
    <dgm:cxn modelId="{357CD2F2-E924-46EC-BD54-83184774EE40}" type="presOf" srcId="{4BF07CC7-627A-4C81-92A7-B7753520550E}" destId="{516D0C7D-8BCF-4AED-9811-290BE7B24C60}" srcOrd="0" destOrd="0" presId="urn:microsoft.com/office/officeart/2005/8/layout/orgChart1"/>
    <dgm:cxn modelId="{AA0EA025-A482-487D-BAB6-B0EE3021E043}" srcId="{A1369C02-4CBD-477F-BEC3-3FAE9B2613E2}" destId="{CAF7375E-394F-4A6A-B7C5-A2FA647726F6}" srcOrd="0" destOrd="0" parTransId="{73A508B9-8826-41F3-B6F9-D24CBB83BEDC}" sibTransId="{690F8C1B-786C-4DF9-8439-871974E9A312}"/>
    <dgm:cxn modelId="{50ACDC84-A6D6-49E8-B274-7943EC0455E0}" srcId="{DC88C7AB-F707-419B-8A11-434A2230933D}" destId="{CDCD57B7-ED6D-4F1C-B1A6-1EFA4D8804C2}" srcOrd="1" destOrd="0" parTransId="{AFA52834-0CE8-4DB2-95E6-E1BAD657970D}" sibTransId="{8F48D926-53CA-4E3A-9FDB-C7706C1806E0}"/>
    <dgm:cxn modelId="{CEDD921B-829D-405F-86B6-201ED97719BE}" srcId="{B8B27158-116F-4DFD-A86A-D593519F3D64}" destId="{1D10DBC4-7F89-4A29-A0F4-BABE9281FAB7}" srcOrd="0" destOrd="0" parTransId="{EEFB06EF-ADDB-4F1C-9689-1A23A5C79588}" sibTransId="{906A2F9E-7E79-4DD2-A03F-3F58AC3C879B}"/>
    <dgm:cxn modelId="{BFDA60F0-F56E-4469-9824-A5520B13A4A2}" type="presOf" srcId="{9CF23E05-00AA-4110-9DFE-6425AA69B690}" destId="{335E1875-E279-4B6B-B114-CBAECC33F948}" srcOrd="0" destOrd="0" presId="urn:microsoft.com/office/officeart/2005/8/layout/orgChart1"/>
    <dgm:cxn modelId="{B8BBB76F-F089-46C9-9EB1-D8D4520EAB29}" srcId="{0E9ABE94-33DC-46D1-9549-D8E6001B216B}" destId="{09D8E6FD-4EC3-4EC1-A657-178D9F6B9129}" srcOrd="1" destOrd="0" parTransId="{4A7F4F9C-7FA2-40EE-9D3F-77FB46E0F346}" sibTransId="{BD1FE388-0E71-4E0B-A146-AFDF1B639DF4}"/>
    <dgm:cxn modelId="{FC9CDA68-D016-4CD7-9975-AE8027CCCC03}" type="presOf" srcId="{CAF7375E-394F-4A6A-B7C5-A2FA647726F6}" destId="{93063C6F-F58D-48BC-A1FB-83807B07AB07}" srcOrd="0" destOrd="0" presId="urn:microsoft.com/office/officeart/2005/8/layout/orgChart1"/>
    <dgm:cxn modelId="{19FD97B4-4ED0-47BA-8DCA-F52112AEB568}" srcId="{0E9ABE94-33DC-46D1-9549-D8E6001B216B}" destId="{CA237D8A-585E-4947-B3A5-761A436A8EEA}" srcOrd="2" destOrd="0" parTransId="{CB3313EC-FD93-447C-89B9-F3D0DF65043F}" sibTransId="{CC4247CE-6C8B-40A0-A773-849D4AE44A7E}"/>
    <dgm:cxn modelId="{94FC0DB8-C0E9-4859-9D22-5395409E47CE}" type="presOf" srcId="{DC88C7AB-F707-419B-8A11-434A2230933D}" destId="{37E8A205-DBEF-4F55-BE11-F283E699D61D}" srcOrd="0" destOrd="0" presId="urn:microsoft.com/office/officeart/2005/8/layout/orgChart1"/>
    <dgm:cxn modelId="{5FCCA391-5EAD-4341-A1C0-F929F2658881}" type="presOf" srcId="{0E9ABE94-33DC-46D1-9549-D8E6001B216B}" destId="{E940F03C-26F0-48CF-9543-173A2178FB36}" srcOrd="1" destOrd="0" presId="urn:microsoft.com/office/officeart/2005/8/layout/orgChart1"/>
    <dgm:cxn modelId="{CBFCBC50-52A3-4B4D-9E3F-45BACB1CBFFB}" type="presOf" srcId="{7BAE4E7F-C28D-4525-887A-D6B17F4054A2}" destId="{88668223-3079-4E05-9537-DF942135C769}" srcOrd="1" destOrd="0" presId="urn:microsoft.com/office/officeart/2005/8/layout/orgChart1"/>
    <dgm:cxn modelId="{A6F505ED-2118-4F56-A6C2-5CCB77AD4CD0}" type="presOf" srcId="{7BAE4E7F-C28D-4525-887A-D6B17F4054A2}" destId="{85B66C5C-AF7A-41AE-A394-A961556BC82E}" srcOrd="0" destOrd="0" presId="urn:microsoft.com/office/officeart/2005/8/layout/orgChart1"/>
    <dgm:cxn modelId="{EB64E1C4-5320-4416-A6FB-26D2330906B6}" type="presOf" srcId="{CAF7375E-394F-4A6A-B7C5-A2FA647726F6}" destId="{5DC1AC1D-DB54-4E14-8F3D-CBB38BF08AC4}" srcOrd="1" destOrd="0" presId="urn:microsoft.com/office/officeart/2005/8/layout/orgChart1"/>
    <dgm:cxn modelId="{4F9E1A2D-E73D-4E38-8079-0763C21F2E20}" srcId="{4E3A5CAD-F601-4F19-8E61-6C4B48323439}" destId="{7BAE4E7F-C28D-4525-887A-D6B17F4054A2}" srcOrd="1" destOrd="0" parTransId="{15B9CF71-AB98-4D96-9ABE-155B267AA791}" sibTransId="{88485B5F-F3C5-4122-A2F8-1DC4A5634D77}"/>
    <dgm:cxn modelId="{42DF9EC4-BD09-409E-9647-56545D5C5273}" type="presOf" srcId="{859350D8-437A-4833-9C93-E715015E5EE0}" destId="{4F39FB87-E954-4168-AFA0-C7B200EE7E4F}" srcOrd="0" destOrd="0" presId="urn:microsoft.com/office/officeart/2005/8/layout/orgChart1"/>
    <dgm:cxn modelId="{4D1595A0-39B5-4B06-9933-C4DF113FC06D}" type="presOf" srcId="{73A508B9-8826-41F3-B6F9-D24CBB83BEDC}" destId="{BF142025-C34C-42ED-8CF3-64139DD3C557}" srcOrd="0" destOrd="0" presId="urn:microsoft.com/office/officeart/2005/8/layout/orgChart1"/>
    <dgm:cxn modelId="{D1ED5C15-5A37-48A4-9165-A625F8C95B11}" type="presOf" srcId="{CA60308C-5A24-4404-90BD-00F55AC711D7}" destId="{D7F7431E-99C0-4147-AAF9-4E313BAB0637}" srcOrd="0" destOrd="0" presId="urn:microsoft.com/office/officeart/2005/8/layout/orgChart1"/>
    <dgm:cxn modelId="{9CF62F70-BAF8-4C64-AA3E-0D9D33524ED7}" srcId="{DC88C7AB-F707-419B-8A11-434A2230933D}" destId="{B8B27158-116F-4DFD-A86A-D593519F3D64}" srcOrd="0" destOrd="0" parTransId="{8AF6B268-A313-4542-A03F-EE63273106D1}" sibTransId="{FC91158F-9BD8-493D-BA5C-64BFFFDEB693}"/>
    <dgm:cxn modelId="{F87AA83C-35AF-4209-A9B5-0735CBDB1487}" type="presOf" srcId="{CDCD57B7-ED6D-4F1C-B1A6-1EFA4D8804C2}" destId="{ED54B31F-65FE-47C4-9FAE-5F9507AB95C3}" srcOrd="0" destOrd="0" presId="urn:microsoft.com/office/officeart/2005/8/layout/orgChart1"/>
    <dgm:cxn modelId="{7F533F07-82E5-4577-9BC8-23C2BBD3E572}" type="presOf" srcId="{B8B27158-116F-4DFD-A86A-D593519F3D64}" destId="{FC8E971C-D575-4A19-8CD9-22419C2247B9}" srcOrd="0" destOrd="0" presId="urn:microsoft.com/office/officeart/2005/8/layout/orgChart1"/>
    <dgm:cxn modelId="{671999C5-9D60-4231-8D56-529B0196DCA1}" type="presOf" srcId="{A1369C02-4CBD-477F-BEC3-3FAE9B2613E2}" destId="{6E9DFFEC-D5B9-49A1-85C5-CFD17A38CFE8}" srcOrd="0" destOrd="0" presId="urn:microsoft.com/office/officeart/2005/8/layout/orgChart1"/>
    <dgm:cxn modelId="{B9981077-4C22-48B2-AA83-B6AFE509D451}" type="presOf" srcId="{E8A281DB-E673-4863-B42C-238DC6FBABEF}" destId="{D59B173A-1859-4B0C-AB13-DC7F84169661}" srcOrd="0" destOrd="0" presId="urn:microsoft.com/office/officeart/2005/8/layout/orgChart1"/>
    <dgm:cxn modelId="{1F7BC77B-1F53-496A-AB7B-645269FE0701}" type="presOf" srcId="{B3213A48-2693-4FFD-A191-80BBD3298004}" destId="{8DB1CC5A-A483-49A6-8E14-8CF1323CB8F2}" srcOrd="1" destOrd="0" presId="urn:microsoft.com/office/officeart/2005/8/layout/orgChart1"/>
    <dgm:cxn modelId="{5047D5E3-D85A-4DCE-A913-270DE90CEE58}" type="presOf" srcId="{4E3A5CAD-F601-4F19-8E61-6C4B48323439}" destId="{5BDED8C2-F950-424A-BDA6-93867013297C}" srcOrd="1" destOrd="0" presId="urn:microsoft.com/office/officeart/2005/8/layout/orgChart1"/>
    <dgm:cxn modelId="{977652BF-EA00-4F52-A557-60B8B4E67220}" type="presOf" srcId="{4A7F4F9C-7FA2-40EE-9D3F-77FB46E0F346}" destId="{7F40344C-6162-4A88-8578-235CF3CAA5C0}" srcOrd="0" destOrd="0" presId="urn:microsoft.com/office/officeart/2005/8/layout/orgChart1"/>
    <dgm:cxn modelId="{E7201FB7-4617-4898-A204-616A970AFB79}" type="presOf" srcId="{A1369C02-4CBD-477F-BEC3-3FAE9B2613E2}" destId="{624840C0-F84F-4BD1-95CA-CB402832DB96}" srcOrd="1" destOrd="0" presId="urn:microsoft.com/office/officeart/2005/8/layout/orgChart1"/>
    <dgm:cxn modelId="{1D2C6AB5-44D9-4875-AFE5-B6A7A4350097}" type="presOf" srcId="{B3213A48-2693-4FFD-A191-80BBD3298004}" destId="{D4F63E67-43DC-4DEC-9306-C410CFC6ED9B}" srcOrd="0" destOrd="0" presId="urn:microsoft.com/office/officeart/2005/8/layout/orgChart1"/>
    <dgm:cxn modelId="{4A71678B-0483-48E0-B57F-5B3033A79B02}" type="presOf" srcId="{5D493023-999B-4B45-8631-53FF8EC6B5D0}" destId="{B9BFCC37-5676-4BF4-9E88-8C7B3C404422}" srcOrd="1" destOrd="0" presId="urn:microsoft.com/office/officeart/2005/8/layout/orgChart1"/>
    <dgm:cxn modelId="{D3ED13F8-6BCD-4441-B8F7-E7A5A86023F6}" type="presOf" srcId="{9FC31D05-4946-454C-BDED-045F8755BA6F}" destId="{AE379464-28DB-437A-A923-B1C298E0885A}" srcOrd="0" destOrd="0" presId="urn:microsoft.com/office/officeart/2005/8/layout/orgChart1"/>
    <dgm:cxn modelId="{2ABB45D7-FC96-41F3-9CAD-B93F20F2E881}" type="presOf" srcId="{CA237D8A-585E-4947-B3A5-761A436A8EEA}" destId="{6E27940C-7D88-4D2E-B10C-2BE0F39FE150}" srcOrd="1" destOrd="0" presId="urn:microsoft.com/office/officeart/2005/8/layout/orgChart1"/>
    <dgm:cxn modelId="{0F9E51D7-E694-4DDD-A2D0-B4AD1D21119D}" type="presOf" srcId="{3C870794-DD65-4C6B-A6BF-B39FD0195CA1}" destId="{327CF5F6-ADDC-47E4-AE26-21669AE0294B}" srcOrd="0" destOrd="0" presId="urn:microsoft.com/office/officeart/2005/8/layout/orgChart1"/>
    <dgm:cxn modelId="{DFD791FE-AF3F-4360-96C9-0B3979AD78E3}" type="presOf" srcId="{589DEEFE-8633-4983-BAA0-21BE8BF2F3BE}" destId="{83A43322-DAC4-43E7-9933-40B547C1A159}" srcOrd="0" destOrd="0" presId="urn:microsoft.com/office/officeart/2005/8/layout/orgChart1"/>
    <dgm:cxn modelId="{7267C38B-8453-4EEF-9BD4-5D07ADE111F7}" type="presOf" srcId="{1D10DBC4-7F89-4A29-A0F4-BABE9281FAB7}" destId="{689D60D1-E989-4B60-BF18-A2887A3D99F8}" srcOrd="0" destOrd="0" presId="urn:microsoft.com/office/officeart/2005/8/layout/orgChart1"/>
    <dgm:cxn modelId="{0EA269C0-9910-4479-822A-0F8CCDF51D6D}" type="presOf" srcId="{EEFB06EF-ADDB-4F1C-9689-1A23A5C79588}" destId="{E5C91B7D-575D-426C-9E35-46835D61A535}" srcOrd="0" destOrd="0" presId="urn:microsoft.com/office/officeart/2005/8/layout/orgChart1"/>
    <dgm:cxn modelId="{CA1E0617-81F7-405B-BDE1-CFC14FEB1B7D}" type="presOf" srcId="{CA237D8A-585E-4947-B3A5-761A436A8EEA}" destId="{CFE37665-E856-4F21-ADFF-166AD2666A9C}" srcOrd="0" destOrd="0" presId="urn:microsoft.com/office/officeart/2005/8/layout/orgChart1"/>
    <dgm:cxn modelId="{E7DAF43B-06D0-4F59-91E6-39434D1AFA28}" type="presOf" srcId="{CDCD57B7-ED6D-4F1C-B1A6-1EFA4D8804C2}" destId="{8517351C-63FA-431A-903E-DC55CCF91DC1}" srcOrd="1" destOrd="0" presId="urn:microsoft.com/office/officeart/2005/8/layout/orgChart1"/>
    <dgm:cxn modelId="{08A68EB9-DB01-4206-9E1E-2EBF4CAD4F4F}" type="presOf" srcId="{9CF23E05-00AA-4110-9DFE-6425AA69B690}" destId="{4A4BAF04-DE9E-4AB3-BCB8-F6D0410EFB18}" srcOrd="1" destOrd="0" presId="urn:microsoft.com/office/officeart/2005/8/layout/orgChart1"/>
    <dgm:cxn modelId="{1B33F823-A840-4161-8B58-55A42778EE83}" type="presParOf" srcId="{37E8A205-DBEF-4F55-BE11-F283E699D61D}" destId="{2B797ED5-0570-47DA-8DCA-20AC7B4B8D30}" srcOrd="0" destOrd="0" presId="urn:microsoft.com/office/officeart/2005/8/layout/orgChart1"/>
    <dgm:cxn modelId="{3EACF2B7-A7C3-48C3-B3DC-CD70193EB036}" type="presParOf" srcId="{2B797ED5-0570-47DA-8DCA-20AC7B4B8D30}" destId="{FCFDD44E-B0D5-43C8-BAA6-F99B69F30F1A}" srcOrd="0" destOrd="0" presId="urn:microsoft.com/office/officeart/2005/8/layout/orgChart1"/>
    <dgm:cxn modelId="{34C7EBD1-6192-4EF6-9013-4E93CF4DFF8F}" type="presParOf" srcId="{FCFDD44E-B0D5-43C8-BAA6-F99B69F30F1A}" destId="{FC8E971C-D575-4A19-8CD9-22419C2247B9}" srcOrd="0" destOrd="0" presId="urn:microsoft.com/office/officeart/2005/8/layout/orgChart1"/>
    <dgm:cxn modelId="{90B72601-D8B1-44D5-B3D9-3EFB0B4E62DF}" type="presParOf" srcId="{FCFDD44E-B0D5-43C8-BAA6-F99B69F30F1A}" destId="{2485F005-E11D-4FB6-9439-3506781FB42B}" srcOrd="1" destOrd="0" presId="urn:microsoft.com/office/officeart/2005/8/layout/orgChart1"/>
    <dgm:cxn modelId="{D8310722-BEB7-4D2C-98CC-C9077389A8BC}" type="presParOf" srcId="{2B797ED5-0570-47DA-8DCA-20AC7B4B8D30}" destId="{6A471ECF-1C03-4757-A754-DFE3CBB7FA6B}" srcOrd="1" destOrd="0" presId="urn:microsoft.com/office/officeart/2005/8/layout/orgChart1"/>
    <dgm:cxn modelId="{800CC991-93EC-4557-8AC3-01DF14268DBD}" type="presParOf" srcId="{6A471ECF-1C03-4757-A754-DFE3CBB7FA6B}" destId="{E5C91B7D-575D-426C-9E35-46835D61A535}" srcOrd="0" destOrd="0" presId="urn:microsoft.com/office/officeart/2005/8/layout/orgChart1"/>
    <dgm:cxn modelId="{E9287FD5-219F-4C37-B97C-B0309700CDA8}" type="presParOf" srcId="{6A471ECF-1C03-4757-A754-DFE3CBB7FA6B}" destId="{FC05763B-5406-4B33-89A7-46F125D0ED6A}" srcOrd="1" destOrd="0" presId="urn:microsoft.com/office/officeart/2005/8/layout/orgChart1"/>
    <dgm:cxn modelId="{ACE6FBED-5EB9-44BE-AD07-2B6B53E12A28}" type="presParOf" srcId="{FC05763B-5406-4B33-89A7-46F125D0ED6A}" destId="{AC59E9F2-C385-4515-8182-30FFD8F25431}" srcOrd="0" destOrd="0" presId="urn:microsoft.com/office/officeart/2005/8/layout/orgChart1"/>
    <dgm:cxn modelId="{FB8A0A58-CB9D-42E1-96DB-7EAE28D59D0E}" type="presParOf" srcId="{AC59E9F2-C385-4515-8182-30FFD8F25431}" destId="{689D60D1-E989-4B60-BF18-A2887A3D99F8}" srcOrd="0" destOrd="0" presId="urn:microsoft.com/office/officeart/2005/8/layout/orgChart1"/>
    <dgm:cxn modelId="{1C3EDEE5-8A47-47BB-96D3-3612A7FF1F38}" type="presParOf" srcId="{AC59E9F2-C385-4515-8182-30FFD8F25431}" destId="{99072499-98B1-40DA-B48C-35207CD16001}" srcOrd="1" destOrd="0" presId="urn:microsoft.com/office/officeart/2005/8/layout/orgChart1"/>
    <dgm:cxn modelId="{7A2FE4D8-A2A1-4018-8269-67CDDB3514AB}" type="presParOf" srcId="{FC05763B-5406-4B33-89A7-46F125D0ED6A}" destId="{CE9FEEAD-C50B-4AC5-B374-C4C7E5924883}" srcOrd="1" destOrd="0" presId="urn:microsoft.com/office/officeart/2005/8/layout/orgChart1"/>
    <dgm:cxn modelId="{14D276C3-133A-41BC-AA86-ACEFF277ED03}" type="presParOf" srcId="{FC05763B-5406-4B33-89A7-46F125D0ED6A}" destId="{CAEB0366-C651-425A-AC57-8B05BC7439AE}" srcOrd="2" destOrd="0" presId="urn:microsoft.com/office/officeart/2005/8/layout/orgChart1"/>
    <dgm:cxn modelId="{33FA006A-3398-41B3-ACDD-1BCB1AA9D2FB}" type="presParOf" srcId="{6A471ECF-1C03-4757-A754-DFE3CBB7FA6B}" destId="{516D0C7D-8BCF-4AED-9811-290BE7B24C60}" srcOrd="2" destOrd="0" presId="urn:microsoft.com/office/officeart/2005/8/layout/orgChart1"/>
    <dgm:cxn modelId="{57F0F140-4685-405D-8E23-168F5D3D29FF}" type="presParOf" srcId="{6A471ECF-1C03-4757-A754-DFE3CBB7FA6B}" destId="{B1DC3CEF-841C-4A7E-8292-989CB8D4D53D}" srcOrd="3" destOrd="0" presId="urn:microsoft.com/office/officeart/2005/8/layout/orgChart1"/>
    <dgm:cxn modelId="{4DC1F4E6-27BA-477D-90E5-75EBFA5ADF32}" type="presParOf" srcId="{B1DC3CEF-841C-4A7E-8292-989CB8D4D53D}" destId="{D0D6B13B-9423-425A-8EA2-13A398805485}" srcOrd="0" destOrd="0" presId="urn:microsoft.com/office/officeart/2005/8/layout/orgChart1"/>
    <dgm:cxn modelId="{87433525-52F9-41A1-904A-F7FA010BE393}" type="presParOf" srcId="{D0D6B13B-9423-425A-8EA2-13A398805485}" destId="{40C1C365-DBD6-406D-9007-077A98267B94}" srcOrd="0" destOrd="0" presId="urn:microsoft.com/office/officeart/2005/8/layout/orgChart1"/>
    <dgm:cxn modelId="{B3B8D5F4-C739-47D0-A51F-62934F6F912C}" type="presParOf" srcId="{D0D6B13B-9423-425A-8EA2-13A398805485}" destId="{B9BFCC37-5676-4BF4-9E88-8C7B3C404422}" srcOrd="1" destOrd="0" presId="urn:microsoft.com/office/officeart/2005/8/layout/orgChart1"/>
    <dgm:cxn modelId="{09FC32DA-E1A1-49AE-B2F4-F539968491B1}" type="presParOf" srcId="{B1DC3CEF-841C-4A7E-8292-989CB8D4D53D}" destId="{C79334EC-E675-4CD4-8E7A-4F1D2F161E2B}" srcOrd="1" destOrd="0" presId="urn:microsoft.com/office/officeart/2005/8/layout/orgChart1"/>
    <dgm:cxn modelId="{95024554-80D8-4F11-9B0B-477E52FCFC2E}" type="presParOf" srcId="{B1DC3CEF-841C-4A7E-8292-989CB8D4D53D}" destId="{328CA2D0-546F-4E7C-95CA-71A2DE1F3736}" srcOrd="2" destOrd="0" presId="urn:microsoft.com/office/officeart/2005/8/layout/orgChart1"/>
    <dgm:cxn modelId="{5B9BB4EC-8D29-41CF-B23E-8BB566ADF79F}" type="presParOf" srcId="{2B797ED5-0570-47DA-8DCA-20AC7B4B8D30}" destId="{D6D611AB-AC72-4338-995F-581A013D65FF}" srcOrd="2" destOrd="0" presId="urn:microsoft.com/office/officeart/2005/8/layout/orgChart1"/>
    <dgm:cxn modelId="{1D257DC4-F013-48C0-AD2B-C18A3AA43D4E}" type="presParOf" srcId="{37E8A205-DBEF-4F55-BE11-F283E699D61D}" destId="{FB650E88-6730-45D8-8665-66F71824FB82}" srcOrd="1" destOrd="0" presId="urn:microsoft.com/office/officeart/2005/8/layout/orgChart1"/>
    <dgm:cxn modelId="{DAF0CD26-5AFD-48C6-874C-6E74EB4E8FD9}" type="presParOf" srcId="{FB650E88-6730-45D8-8665-66F71824FB82}" destId="{E1E3A22F-0E45-46D1-9EA4-1CEBA8E27A84}" srcOrd="0" destOrd="0" presId="urn:microsoft.com/office/officeart/2005/8/layout/orgChart1"/>
    <dgm:cxn modelId="{F1E8BD4B-7CD7-46AD-B64D-B5FB8E5D9915}" type="presParOf" srcId="{E1E3A22F-0E45-46D1-9EA4-1CEBA8E27A84}" destId="{ED54B31F-65FE-47C4-9FAE-5F9507AB95C3}" srcOrd="0" destOrd="0" presId="urn:microsoft.com/office/officeart/2005/8/layout/orgChart1"/>
    <dgm:cxn modelId="{2FC35304-AFDD-474E-92E1-7593B82F88A7}" type="presParOf" srcId="{E1E3A22F-0E45-46D1-9EA4-1CEBA8E27A84}" destId="{8517351C-63FA-431A-903E-DC55CCF91DC1}" srcOrd="1" destOrd="0" presId="urn:microsoft.com/office/officeart/2005/8/layout/orgChart1"/>
    <dgm:cxn modelId="{67FA8402-5BEB-424D-9CDF-B67C4F6C4B34}" type="presParOf" srcId="{FB650E88-6730-45D8-8665-66F71824FB82}" destId="{9BDC74A2-2DB0-4740-A0F7-FC002B2D68CE}" srcOrd="1" destOrd="0" presId="urn:microsoft.com/office/officeart/2005/8/layout/orgChart1"/>
    <dgm:cxn modelId="{F7F5FF7F-9BDC-451C-819D-2BC8C6F7E01A}" type="presParOf" srcId="{9BDC74A2-2DB0-4740-A0F7-FC002B2D68CE}" destId="{4F39FB87-E954-4168-AFA0-C7B200EE7E4F}" srcOrd="0" destOrd="0" presId="urn:microsoft.com/office/officeart/2005/8/layout/orgChart1"/>
    <dgm:cxn modelId="{31703ACC-E108-4FF6-8B6A-40E7C5EEA700}" type="presParOf" srcId="{9BDC74A2-2DB0-4740-A0F7-FC002B2D68CE}" destId="{D9741CA3-BB07-4680-91B4-D1BFD75D41DC}" srcOrd="1" destOrd="0" presId="urn:microsoft.com/office/officeart/2005/8/layout/orgChart1"/>
    <dgm:cxn modelId="{B8276030-3D61-4D0B-94A6-ABB7E4A72574}" type="presParOf" srcId="{D9741CA3-BB07-4680-91B4-D1BFD75D41DC}" destId="{E66CCCCB-14B8-4FE4-8E41-C3039621D884}" srcOrd="0" destOrd="0" presId="urn:microsoft.com/office/officeart/2005/8/layout/orgChart1"/>
    <dgm:cxn modelId="{93786858-D1A1-40C5-801B-44267EFB227A}" type="presParOf" srcId="{E66CCCCB-14B8-4FE4-8E41-C3039621D884}" destId="{F9B87371-086C-478E-A620-32ACAEAF88C0}" srcOrd="0" destOrd="0" presId="urn:microsoft.com/office/officeart/2005/8/layout/orgChart1"/>
    <dgm:cxn modelId="{11870E04-89CC-42B2-8A85-4C59A2C38011}" type="presParOf" srcId="{E66CCCCB-14B8-4FE4-8E41-C3039621D884}" destId="{E940F03C-26F0-48CF-9543-173A2178FB36}" srcOrd="1" destOrd="0" presId="urn:microsoft.com/office/officeart/2005/8/layout/orgChart1"/>
    <dgm:cxn modelId="{5E798726-C5A2-4E1D-B390-DF7E6A8C6758}" type="presParOf" srcId="{D9741CA3-BB07-4680-91B4-D1BFD75D41DC}" destId="{489BCE9D-383B-42F9-97F0-F93DCAFBD16B}" srcOrd="1" destOrd="0" presId="urn:microsoft.com/office/officeart/2005/8/layout/orgChart1"/>
    <dgm:cxn modelId="{00634CE2-4F3B-4182-8712-ADDA02A6116F}" type="presParOf" srcId="{489BCE9D-383B-42F9-97F0-F93DCAFBD16B}" destId="{AE379464-28DB-437A-A923-B1C298E0885A}" srcOrd="0" destOrd="0" presId="urn:microsoft.com/office/officeart/2005/8/layout/orgChart1"/>
    <dgm:cxn modelId="{235E59E5-94BA-415F-9A1C-6D89F96173CE}" type="presParOf" srcId="{489BCE9D-383B-42F9-97F0-F93DCAFBD16B}" destId="{729C3E9B-14E5-48A7-9B5D-278FEC807A16}" srcOrd="1" destOrd="0" presId="urn:microsoft.com/office/officeart/2005/8/layout/orgChart1"/>
    <dgm:cxn modelId="{902141ED-1175-4B63-BF08-ECB5961802CD}" type="presParOf" srcId="{729C3E9B-14E5-48A7-9B5D-278FEC807A16}" destId="{F80FA14A-CF03-4832-80E8-93C38CBAC3D3}" srcOrd="0" destOrd="0" presId="urn:microsoft.com/office/officeart/2005/8/layout/orgChart1"/>
    <dgm:cxn modelId="{32B9F8DA-2A3F-41FB-9FF9-1B0FECF2DA4F}" type="presParOf" srcId="{F80FA14A-CF03-4832-80E8-93C38CBAC3D3}" destId="{D4F63E67-43DC-4DEC-9306-C410CFC6ED9B}" srcOrd="0" destOrd="0" presId="urn:microsoft.com/office/officeart/2005/8/layout/orgChart1"/>
    <dgm:cxn modelId="{FDFBCC39-D63D-4BEC-9B81-041E58CE82B4}" type="presParOf" srcId="{F80FA14A-CF03-4832-80E8-93C38CBAC3D3}" destId="{8DB1CC5A-A483-49A6-8E14-8CF1323CB8F2}" srcOrd="1" destOrd="0" presId="urn:microsoft.com/office/officeart/2005/8/layout/orgChart1"/>
    <dgm:cxn modelId="{97364813-2F8D-4913-BFFD-84B07DF44A54}" type="presParOf" srcId="{729C3E9B-14E5-48A7-9B5D-278FEC807A16}" destId="{8A07C7F8-513C-4D0B-A9B8-74B83AFA60A9}" srcOrd="1" destOrd="0" presId="urn:microsoft.com/office/officeart/2005/8/layout/orgChart1"/>
    <dgm:cxn modelId="{450AFF82-D8DC-42F0-99C4-640496561CC2}" type="presParOf" srcId="{729C3E9B-14E5-48A7-9B5D-278FEC807A16}" destId="{31F0CAFC-EB2B-4AE1-8B87-205BE7DC2E93}" srcOrd="2" destOrd="0" presId="urn:microsoft.com/office/officeart/2005/8/layout/orgChart1"/>
    <dgm:cxn modelId="{91D8DA0B-6B07-431F-9BA6-42D6019533DB}" type="presParOf" srcId="{489BCE9D-383B-42F9-97F0-F93DCAFBD16B}" destId="{7F40344C-6162-4A88-8578-235CF3CAA5C0}" srcOrd="2" destOrd="0" presId="urn:microsoft.com/office/officeart/2005/8/layout/orgChart1"/>
    <dgm:cxn modelId="{ABB8FE57-B759-44F6-9BE9-552457F03F2E}" type="presParOf" srcId="{489BCE9D-383B-42F9-97F0-F93DCAFBD16B}" destId="{21F7A94D-F43D-40F8-B1E5-CAA1D0B1525C}" srcOrd="3" destOrd="0" presId="urn:microsoft.com/office/officeart/2005/8/layout/orgChart1"/>
    <dgm:cxn modelId="{9853D5A1-E35D-426B-918F-9333F095E64B}" type="presParOf" srcId="{21F7A94D-F43D-40F8-B1E5-CAA1D0B1525C}" destId="{28DEC8B3-B33F-4AB1-A5F0-7872FB7A31B1}" srcOrd="0" destOrd="0" presId="urn:microsoft.com/office/officeart/2005/8/layout/orgChart1"/>
    <dgm:cxn modelId="{0B977AA9-6F0C-4812-BD47-21C96728CC16}" type="presParOf" srcId="{28DEC8B3-B33F-4AB1-A5F0-7872FB7A31B1}" destId="{B6B29282-2556-4CB6-8E64-EF3CA92F957F}" srcOrd="0" destOrd="0" presId="urn:microsoft.com/office/officeart/2005/8/layout/orgChart1"/>
    <dgm:cxn modelId="{BE14BA76-3C8F-4D96-939A-F52890306C5D}" type="presParOf" srcId="{28DEC8B3-B33F-4AB1-A5F0-7872FB7A31B1}" destId="{C6136B0B-D6EE-4F18-8542-448674593718}" srcOrd="1" destOrd="0" presId="urn:microsoft.com/office/officeart/2005/8/layout/orgChart1"/>
    <dgm:cxn modelId="{F4F13A50-BA16-4063-876B-BC5E3AB22C15}" type="presParOf" srcId="{21F7A94D-F43D-40F8-B1E5-CAA1D0B1525C}" destId="{A6192B92-7571-4658-8402-94B7F8C80B80}" srcOrd="1" destOrd="0" presId="urn:microsoft.com/office/officeart/2005/8/layout/orgChart1"/>
    <dgm:cxn modelId="{C60A1C65-D56C-4ECB-94DF-A100CFA02C44}" type="presParOf" srcId="{21F7A94D-F43D-40F8-B1E5-CAA1D0B1525C}" destId="{A57AB3E7-22C2-4DDB-8AA0-B502F9578BCA}" srcOrd="2" destOrd="0" presId="urn:microsoft.com/office/officeart/2005/8/layout/orgChart1"/>
    <dgm:cxn modelId="{7020D20C-4234-48A2-A19E-CCBDE4DE974E}" type="presParOf" srcId="{489BCE9D-383B-42F9-97F0-F93DCAFBD16B}" destId="{42E7E050-95A4-4961-BF1E-4E44EEFB30BE}" srcOrd="4" destOrd="0" presId="urn:microsoft.com/office/officeart/2005/8/layout/orgChart1"/>
    <dgm:cxn modelId="{98CB5C9C-9C92-45BE-AD26-4831F4C55F58}" type="presParOf" srcId="{489BCE9D-383B-42F9-97F0-F93DCAFBD16B}" destId="{45A24D49-22EC-4C27-A2EF-0C681BB6AF2E}" srcOrd="5" destOrd="0" presId="urn:microsoft.com/office/officeart/2005/8/layout/orgChart1"/>
    <dgm:cxn modelId="{CE08A9C9-D32E-4146-B1CC-3CD4480298B9}" type="presParOf" srcId="{45A24D49-22EC-4C27-A2EF-0C681BB6AF2E}" destId="{F3975429-AFF5-4F5F-A918-B2EEB099EB45}" srcOrd="0" destOrd="0" presId="urn:microsoft.com/office/officeart/2005/8/layout/orgChart1"/>
    <dgm:cxn modelId="{546834BC-8A1E-4FE0-BF20-BA9AAE352E70}" type="presParOf" srcId="{F3975429-AFF5-4F5F-A918-B2EEB099EB45}" destId="{CFE37665-E856-4F21-ADFF-166AD2666A9C}" srcOrd="0" destOrd="0" presId="urn:microsoft.com/office/officeart/2005/8/layout/orgChart1"/>
    <dgm:cxn modelId="{659586DB-9726-4521-B008-29D6EB97041B}" type="presParOf" srcId="{F3975429-AFF5-4F5F-A918-B2EEB099EB45}" destId="{6E27940C-7D88-4D2E-B10C-2BE0F39FE150}" srcOrd="1" destOrd="0" presId="urn:microsoft.com/office/officeart/2005/8/layout/orgChart1"/>
    <dgm:cxn modelId="{3E335622-539D-4848-9F51-FF12C27D8064}" type="presParOf" srcId="{45A24D49-22EC-4C27-A2EF-0C681BB6AF2E}" destId="{47284888-C59D-445E-A560-22F8F9E871B2}" srcOrd="1" destOrd="0" presId="urn:microsoft.com/office/officeart/2005/8/layout/orgChart1"/>
    <dgm:cxn modelId="{E4419A55-82B5-4EC4-9181-0351E54BA0DF}" type="presParOf" srcId="{45A24D49-22EC-4C27-A2EF-0C681BB6AF2E}" destId="{30523F01-0738-4F2E-BFB8-CB9F60247F12}" srcOrd="2" destOrd="0" presId="urn:microsoft.com/office/officeart/2005/8/layout/orgChart1"/>
    <dgm:cxn modelId="{17BF9E06-B7E7-44F7-9F09-57781BC76CA8}" type="presParOf" srcId="{D9741CA3-BB07-4680-91B4-D1BFD75D41DC}" destId="{9A3768E1-A415-44D6-8E67-4F25905F853D}" srcOrd="2" destOrd="0" presId="urn:microsoft.com/office/officeart/2005/8/layout/orgChart1"/>
    <dgm:cxn modelId="{5B065902-B84C-41BF-84F5-642E5047FC7B}" type="presParOf" srcId="{9BDC74A2-2DB0-4740-A0F7-FC002B2D68CE}" destId="{D7F7431E-99C0-4147-AAF9-4E313BAB0637}" srcOrd="2" destOrd="0" presId="urn:microsoft.com/office/officeart/2005/8/layout/orgChart1"/>
    <dgm:cxn modelId="{3D4F00B9-D787-4347-96A8-4ED14752EB2F}" type="presParOf" srcId="{9BDC74A2-2DB0-4740-A0F7-FC002B2D68CE}" destId="{2420AC54-144D-431C-84FD-1BE833511F3A}" srcOrd="3" destOrd="0" presId="urn:microsoft.com/office/officeart/2005/8/layout/orgChart1"/>
    <dgm:cxn modelId="{F3ECCDC4-28FE-4FC5-9F4E-ABE13D76A2EB}" type="presParOf" srcId="{2420AC54-144D-431C-84FD-1BE833511F3A}" destId="{9F29FDFC-7246-45BD-A864-AF520335FE38}" srcOrd="0" destOrd="0" presId="urn:microsoft.com/office/officeart/2005/8/layout/orgChart1"/>
    <dgm:cxn modelId="{31602F9A-1820-4A5A-BBC3-3B39257A7649}" type="presParOf" srcId="{9F29FDFC-7246-45BD-A864-AF520335FE38}" destId="{6E9DFFEC-D5B9-49A1-85C5-CFD17A38CFE8}" srcOrd="0" destOrd="0" presId="urn:microsoft.com/office/officeart/2005/8/layout/orgChart1"/>
    <dgm:cxn modelId="{FDF9FB3B-DFCC-4412-8CCC-ED85B8D1F200}" type="presParOf" srcId="{9F29FDFC-7246-45BD-A864-AF520335FE38}" destId="{624840C0-F84F-4BD1-95CA-CB402832DB96}" srcOrd="1" destOrd="0" presId="urn:microsoft.com/office/officeart/2005/8/layout/orgChart1"/>
    <dgm:cxn modelId="{49767E07-43E1-4AB1-8B03-9672BDEF8B97}" type="presParOf" srcId="{2420AC54-144D-431C-84FD-1BE833511F3A}" destId="{416389A2-06F8-4F3C-A1CA-DE87ED5B9C0E}" srcOrd="1" destOrd="0" presId="urn:microsoft.com/office/officeart/2005/8/layout/orgChart1"/>
    <dgm:cxn modelId="{B4B1F9A8-228A-4A65-818E-A15AE85B942F}" type="presParOf" srcId="{416389A2-06F8-4F3C-A1CA-DE87ED5B9C0E}" destId="{BF142025-C34C-42ED-8CF3-64139DD3C557}" srcOrd="0" destOrd="0" presId="urn:microsoft.com/office/officeart/2005/8/layout/orgChart1"/>
    <dgm:cxn modelId="{DCA0C167-F8BD-4A32-B524-CC8E5DC83AD6}" type="presParOf" srcId="{416389A2-06F8-4F3C-A1CA-DE87ED5B9C0E}" destId="{D80DA6A5-DEDA-47B8-9B84-CF6593847E9D}" srcOrd="1" destOrd="0" presId="urn:microsoft.com/office/officeart/2005/8/layout/orgChart1"/>
    <dgm:cxn modelId="{91B9A090-8353-4F5F-9216-DF80AE819460}" type="presParOf" srcId="{D80DA6A5-DEDA-47B8-9B84-CF6593847E9D}" destId="{5FCB5A53-B35F-4D18-B06D-9CBEBD644FB5}" srcOrd="0" destOrd="0" presId="urn:microsoft.com/office/officeart/2005/8/layout/orgChart1"/>
    <dgm:cxn modelId="{9B302FC9-AF27-4DD3-9C36-8C70E6F7BB68}" type="presParOf" srcId="{5FCB5A53-B35F-4D18-B06D-9CBEBD644FB5}" destId="{93063C6F-F58D-48BC-A1FB-83807B07AB07}" srcOrd="0" destOrd="0" presId="urn:microsoft.com/office/officeart/2005/8/layout/orgChart1"/>
    <dgm:cxn modelId="{781D756E-10A8-4274-9B78-606FF3DF78EE}" type="presParOf" srcId="{5FCB5A53-B35F-4D18-B06D-9CBEBD644FB5}" destId="{5DC1AC1D-DB54-4E14-8F3D-CBB38BF08AC4}" srcOrd="1" destOrd="0" presId="urn:microsoft.com/office/officeart/2005/8/layout/orgChart1"/>
    <dgm:cxn modelId="{A6C44FDE-6D00-40F4-A0D1-8470E47A098E}" type="presParOf" srcId="{D80DA6A5-DEDA-47B8-9B84-CF6593847E9D}" destId="{0D3B8C31-BD06-4F20-8EF2-0DA8B02446B6}" srcOrd="1" destOrd="0" presId="urn:microsoft.com/office/officeart/2005/8/layout/orgChart1"/>
    <dgm:cxn modelId="{8D491085-6758-411B-9F5E-57D33A5EC604}" type="presParOf" srcId="{D80DA6A5-DEDA-47B8-9B84-CF6593847E9D}" destId="{DB43C704-B2B2-4244-B0DE-1CD680D85364}" srcOrd="2" destOrd="0" presId="urn:microsoft.com/office/officeart/2005/8/layout/orgChart1"/>
    <dgm:cxn modelId="{78CFF580-DEAD-4D55-8028-2286CF8EFE9F}" type="presParOf" srcId="{416389A2-06F8-4F3C-A1CA-DE87ED5B9C0E}" destId="{83800521-65CC-4A96-93C6-9CE57D343976}" srcOrd="2" destOrd="0" presId="urn:microsoft.com/office/officeart/2005/8/layout/orgChart1"/>
    <dgm:cxn modelId="{855C9FB3-A9DE-47E2-BC8E-D53719183E18}" type="presParOf" srcId="{416389A2-06F8-4F3C-A1CA-DE87ED5B9C0E}" destId="{41E52266-2E51-416F-808E-78C4FF7A672F}" srcOrd="3" destOrd="0" presId="urn:microsoft.com/office/officeart/2005/8/layout/orgChart1"/>
    <dgm:cxn modelId="{8883C214-AECE-4026-951F-F8567074A940}" type="presParOf" srcId="{41E52266-2E51-416F-808E-78C4FF7A672F}" destId="{C24F467A-9B7F-4727-81C3-3FEA4E2936AC}" srcOrd="0" destOrd="0" presId="urn:microsoft.com/office/officeart/2005/8/layout/orgChart1"/>
    <dgm:cxn modelId="{D28E03F3-330E-4E7E-B043-E2108C1A579D}" type="presParOf" srcId="{C24F467A-9B7F-4727-81C3-3FEA4E2936AC}" destId="{327CF5F6-ADDC-47E4-AE26-21669AE0294B}" srcOrd="0" destOrd="0" presId="urn:microsoft.com/office/officeart/2005/8/layout/orgChart1"/>
    <dgm:cxn modelId="{CBF2778D-5042-4007-B1E5-1DACE03EA383}" type="presParOf" srcId="{C24F467A-9B7F-4727-81C3-3FEA4E2936AC}" destId="{56DA1EBD-7356-4E1C-B9A5-D5217EE2E30E}" srcOrd="1" destOrd="0" presId="urn:microsoft.com/office/officeart/2005/8/layout/orgChart1"/>
    <dgm:cxn modelId="{C6C4A72B-2779-4817-8D2D-57B3DF4504D7}" type="presParOf" srcId="{41E52266-2E51-416F-808E-78C4FF7A672F}" destId="{EFD627E3-CD89-43E4-AF91-B10002DD29C8}" srcOrd="1" destOrd="0" presId="urn:microsoft.com/office/officeart/2005/8/layout/orgChart1"/>
    <dgm:cxn modelId="{255B1CEF-1A26-4435-92D0-D215DF4E1083}" type="presParOf" srcId="{41E52266-2E51-416F-808E-78C4FF7A672F}" destId="{C092651D-C9B9-40AC-88EE-DDFA62DE5C0E}" srcOrd="2" destOrd="0" presId="urn:microsoft.com/office/officeart/2005/8/layout/orgChart1"/>
    <dgm:cxn modelId="{8AB2EAC9-6275-4871-838B-3BEA7CF9413D}" type="presParOf" srcId="{2420AC54-144D-431C-84FD-1BE833511F3A}" destId="{55D9B63B-6C1D-4619-8C82-64102B1374B0}" srcOrd="2" destOrd="0" presId="urn:microsoft.com/office/officeart/2005/8/layout/orgChart1"/>
    <dgm:cxn modelId="{9C36B0A4-3B93-450E-A7C4-0CC8CB1CB548}" type="presParOf" srcId="{9BDC74A2-2DB0-4740-A0F7-FC002B2D68CE}" destId="{83A43322-DAC4-43E7-9933-40B547C1A159}" srcOrd="4" destOrd="0" presId="urn:microsoft.com/office/officeart/2005/8/layout/orgChart1"/>
    <dgm:cxn modelId="{225773BF-6B8B-4123-8D3F-2F9518B5B628}" type="presParOf" srcId="{9BDC74A2-2DB0-4740-A0F7-FC002B2D68CE}" destId="{4728CB19-3A09-4220-9204-6CD7CF7A444A}" srcOrd="5" destOrd="0" presId="urn:microsoft.com/office/officeart/2005/8/layout/orgChart1"/>
    <dgm:cxn modelId="{ACEA349E-44DD-44B1-ACF5-35141E16B05B}" type="presParOf" srcId="{4728CB19-3A09-4220-9204-6CD7CF7A444A}" destId="{B4C87360-19AC-4A36-B763-35BCF054E559}" srcOrd="0" destOrd="0" presId="urn:microsoft.com/office/officeart/2005/8/layout/orgChart1"/>
    <dgm:cxn modelId="{EDEBDFB8-CF34-463A-B899-ACA50FAE70C2}" type="presParOf" srcId="{B4C87360-19AC-4A36-B763-35BCF054E559}" destId="{9C118363-9351-4A9A-A947-48301DC475AA}" srcOrd="0" destOrd="0" presId="urn:microsoft.com/office/officeart/2005/8/layout/orgChart1"/>
    <dgm:cxn modelId="{15D47A79-B01D-419D-8A88-93C78B942A37}" type="presParOf" srcId="{B4C87360-19AC-4A36-B763-35BCF054E559}" destId="{5BDED8C2-F950-424A-BDA6-93867013297C}" srcOrd="1" destOrd="0" presId="urn:microsoft.com/office/officeart/2005/8/layout/orgChart1"/>
    <dgm:cxn modelId="{7D7AD177-2F43-4BAA-BB78-4A399CF7BDF4}" type="presParOf" srcId="{4728CB19-3A09-4220-9204-6CD7CF7A444A}" destId="{BDBAC827-406B-47C7-BF4A-AA7DFD474892}" srcOrd="1" destOrd="0" presId="urn:microsoft.com/office/officeart/2005/8/layout/orgChart1"/>
    <dgm:cxn modelId="{41635553-2C64-424A-A2F9-244D2200A588}" type="presParOf" srcId="{BDBAC827-406B-47C7-BF4A-AA7DFD474892}" destId="{D59B173A-1859-4B0C-AB13-DC7F84169661}" srcOrd="0" destOrd="0" presId="urn:microsoft.com/office/officeart/2005/8/layout/orgChart1"/>
    <dgm:cxn modelId="{37F024D7-0BC3-41FB-8798-74BC584AF26A}" type="presParOf" srcId="{BDBAC827-406B-47C7-BF4A-AA7DFD474892}" destId="{C3C73940-FE89-46C2-87D6-098A0DFFC340}" srcOrd="1" destOrd="0" presId="urn:microsoft.com/office/officeart/2005/8/layout/orgChart1"/>
    <dgm:cxn modelId="{3583996E-0CD2-4FD3-A14F-14BAB8667BC0}" type="presParOf" srcId="{C3C73940-FE89-46C2-87D6-098A0DFFC340}" destId="{EE239BFF-6AFA-4CD2-AB6F-5EFC41DB1689}" srcOrd="0" destOrd="0" presId="urn:microsoft.com/office/officeart/2005/8/layout/orgChart1"/>
    <dgm:cxn modelId="{E1CB467D-8DDC-4DF1-B944-21FDB19D263F}" type="presParOf" srcId="{EE239BFF-6AFA-4CD2-AB6F-5EFC41DB1689}" destId="{335E1875-E279-4B6B-B114-CBAECC33F948}" srcOrd="0" destOrd="0" presId="urn:microsoft.com/office/officeart/2005/8/layout/orgChart1"/>
    <dgm:cxn modelId="{EFF9E0BD-0C2C-47A9-91A5-9981920DBE6C}" type="presParOf" srcId="{EE239BFF-6AFA-4CD2-AB6F-5EFC41DB1689}" destId="{4A4BAF04-DE9E-4AB3-BCB8-F6D0410EFB18}" srcOrd="1" destOrd="0" presId="urn:microsoft.com/office/officeart/2005/8/layout/orgChart1"/>
    <dgm:cxn modelId="{D1E690E5-C498-456B-8E1B-06BE0B40C65F}" type="presParOf" srcId="{C3C73940-FE89-46C2-87D6-098A0DFFC340}" destId="{70E4DBD4-76FD-45A0-AFE1-412F63D4111E}" srcOrd="1" destOrd="0" presId="urn:microsoft.com/office/officeart/2005/8/layout/orgChart1"/>
    <dgm:cxn modelId="{20F4BCE6-B927-46BA-9FEA-BDBF42332C4C}" type="presParOf" srcId="{C3C73940-FE89-46C2-87D6-098A0DFFC340}" destId="{C944DE93-FB5B-4D2C-A319-98E73CC9D8D3}" srcOrd="2" destOrd="0" presId="urn:microsoft.com/office/officeart/2005/8/layout/orgChart1"/>
    <dgm:cxn modelId="{4D4143B1-5A0D-4CF6-984B-AA009D645790}" type="presParOf" srcId="{BDBAC827-406B-47C7-BF4A-AA7DFD474892}" destId="{2C7652BD-45D4-48B1-9AA9-C0230097D06A}" srcOrd="2" destOrd="0" presId="urn:microsoft.com/office/officeart/2005/8/layout/orgChart1"/>
    <dgm:cxn modelId="{63625A38-6461-4C3C-AB01-837B6B55FA9C}" type="presParOf" srcId="{BDBAC827-406B-47C7-BF4A-AA7DFD474892}" destId="{7520EF85-A3F8-49E4-AFFD-3E04EEA7BADC}" srcOrd="3" destOrd="0" presId="urn:microsoft.com/office/officeart/2005/8/layout/orgChart1"/>
    <dgm:cxn modelId="{3770D58C-B2DD-4891-AADF-B3C09E463F9E}" type="presParOf" srcId="{7520EF85-A3F8-49E4-AFFD-3E04EEA7BADC}" destId="{B4577DDD-0B18-4327-8C1C-886F354EE161}" srcOrd="0" destOrd="0" presId="urn:microsoft.com/office/officeart/2005/8/layout/orgChart1"/>
    <dgm:cxn modelId="{F45B6CEE-4177-414D-A6F9-BD3FD15E9DEE}" type="presParOf" srcId="{B4577DDD-0B18-4327-8C1C-886F354EE161}" destId="{85B66C5C-AF7A-41AE-A394-A961556BC82E}" srcOrd="0" destOrd="0" presId="urn:microsoft.com/office/officeart/2005/8/layout/orgChart1"/>
    <dgm:cxn modelId="{6F811978-09CE-4B4C-9BC8-06A8DC363CDB}" type="presParOf" srcId="{B4577DDD-0B18-4327-8C1C-886F354EE161}" destId="{88668223-3079-4E05-9537-DF942135C769}" srcOrd="1" destOrd="0" presId="urn:microsoft.com/office/officeart/2005/8/layout/orgChart1"/>
    <dgm:cxn modelId="{45C81A15-516D-4A82-87A9-79306A92D0FC}" type="presParOf" srcId="{7520EF85-A3F8-49E4-AFFD-3E04EEA7BADC}" destId="{89885A4D-3C9E-480E-A0D1-884D1C9DCE01}" srcOrd="1" destOrd="0" presId="urn:microsoft.com/office/officeart/2005/8/layout/orgChart1"/>
    <dgm:cxn modelId="{7E3D212A-0975-4DE2-8D02-7161ECDC0A63}" type="presParOf" srcId="{7520EF85-A3F8-49E4-AFFD-3E04EEA7BADC}" destId="{669EBE41-9919-4A34-A0D6-DE82A2D1048D}" srcOrd="2" destOrd="0" presId="urn:microsoft.com/office/officeart/2005/8/layout/orgChart1"/>
    <dgm:cxn modelId="{E989D6AD-D1B9-4461-928C-54A1F0C6DCDC}" type="presParOf" srcId="{4728CB19-3A09-4220-9204-6CD7CF7A444A}" destId="{86F380A7-C856-43AF-91C4-AC764216A5E4}" srcOrd="2" destOrd="0" presId="urn:microsoft.com/office/officeart/2005/8/layout/orgChart1"/>
    <dgm:cxn modelId="{FABCE57C-66DC-4813-A3BE-548642A3E288}" type="presParOf" srcId="{FB650E88-6730-45D8-8665-66F71824FB82}" destId="{798AA0A0-7546-4EE4-82AC-C5398730663D}" srcOrd="2" destOrd="0" presId="urn:microsoft.com/office/officeart/2005/8/layout/orgChart1"/>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516594-BF9A-4CA3-AACB-53AE813DC9A8}"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t-EE"/>
        </a:p>
      </dgm:t>
    </dgm:pt>
    <dgm:pt modelId="{D1EF37A0-4243-4506-8C3C-C8ACF6E0F015}">
      <dgm:prSet phldrT="[Text]"/>
      <dgm:spPr>
        <a:solidFill>
          <a:schemeClr val="tx2">
            <a:lumMod val="40000"/>
            <a:lumOff val="60000"/>
          </a:schemeClr>
        </a:solidFill>
      </dgm:spPr>
      <dgm:t>
        <a:bodyPr/>
        <a:lstStyle/>
        <a:p>
          <a:r>
            <a:rPr lang="et-EE" b="1" dirty="0" smtClean="0">
              <a:solidFill>
                <a:schemeClr val="tx1"/>
              </a:solidFill>
              <a:latin typeface="Georgia" pitchFamily="18" charset="0"/>
            </a:rPr>
            <a:t>Tsentraliseerida</a:t>
          </a:r>
          <a:r>
            <a:rPr lang="et-EE" dirty="0" smtClean="0">
              <a:solidFill>
                <a:schemeClr val="tx1"/>
              </a:solidFill>
              <a:latin typeface="Georgia" pitchFamily="18" charset="0"/>
            </a:rPr>
            <a:t> </a:t>
          </a:r>
          <a:endParaRPr lang="et-EE" dirty="0">
            <a:solidFill>
              <a:schemeClr val="tx1"/>
            </a:solidFill>
            <a:latin typeface="Georgia" pitchFamily="18" charset="0"/>
          </a:endParaRPr>
        </a:p>
      </dgm:t>
    </dgm:pt>
    <dgm:pt modelId="{07C7FB0B-0057-4D7D-A8F8-8DBDCB53E8A9}" type="parTrans" cxnId="{A33A6D85-8961-4EEB-BB84-80B7C15DF75F}">
      <dgm:prSet/>
      <dgm:spPr/>
      <dgm:t>
        <a:bodyPr/>
        <a:lstStyle/>
        <a:p>
          <a:endParaRPr lang="et-EE">
            <a:latin typeface="Georgia" pitchFamily="18" charset="0"/>
          </a:endParaRPr>
        </a:p>
      </dgm:t>
    </dgm:pt>
    <dgm:pt modelId="{9EBCA95F-5985-4647-9FB7-0D7B31D573A9}" type="sibTrans" cxnId="{A33A6D85-8961-4EEB-BB84-80B7C15DF75F}">
      <dgm:prSet/>
      <dgm:spPr/>
      <dgm:t>
        <a:bodyPr/>
        <a:lstStyle/>
        <a:p>
          <a:endParaRPr lang="et-EE">
            <a:latin typeface="Georgia" pitchFamily="18" charset="0"/>
          </a:endParaRPr>
        </a:p>
      </dgm:t>
    </dgm:pt>
    <dgm:pt modelId="{506BB1B7-8F8B-4981-AECC-800FB7B81BC6}">
      <dgm:prSet phldrT="[Text]"/>
      <dgm:spPr>
        <a:solidFill>
          <a:schemeClr val="tx2">
            <a:lumMod val="40000"/>
            <a:lumOff val="60000"/>
          </a:schemeClr>
        </a:solidFill>
      </dgm:spPr>
      <dgm:t>
        <a:bodyPr/>
        <a:lstStyle/>
        <a:p>
          <a:r>
            <a:rPr lang="et-EE" b="1" dirty="0" smtClean="0">
              <a:solidFill>
                <a:schemeClr val="tx1"/>
              </a:solidFill>
              <a:latin typeface="Georgia" pitchFamily="18" charset="0"/>
            </a:rPr>
            <a:t>Optimeerida</a:t>
          </a:r>
          <a:endParaRPr lang="et-EE" b="1" dirty="0">
            <a:solidFill>
              <a:schemeClr val="tx1"/>
            </a:solidFill>
            <a:latin typeface="Georgia" pitchFamily="18" charset="0"/>
          </a:endParaRPr>
        </a:p>
      </dgm:t>
    </dgm:pt>
    <dgm:pt modelId="{1FD6E46E-6366-4BFC-850D-77130F124EDD}" type="parTrans" cxnId="{EC0063F8-F6D1-4702-B834-4F0958EB2709}">
      <dgm:prSet/>
      <dgm:spPr/>
      <dgm:t>
        <a:bodyPr/>
        <a:lstStyle/>
        <a:p>
          <a:endParaRPr lang="et-EE">
            <a:latin typeface="Georgia" pitchFamily="18" charset="0"/>
          </a:endParaRPr>
        </a:p>
      </dgm:t>
    </dgm:pt>
    <dgm:pt modelId="{629D0E55-EAD8-4660-9D95-FDC52D90F05D}" type="sibTrans" cxnId="{EC0063F8-F6D1-4702-B834-4F0958EB2709}">
      <dgm:prSet/>
      <dgm:spPr/>
      <dgm:t>
        <a:bodyPr/>
        <a:lstStyle/>
        <a:p>
          <a:endParaRPr lang="et-EE">
            <a:latin typeface="Georgia" pitchFamily="18" charset="0"/>
          </a:endParaRPr>
        </a:p>
      </dgm:t>
    </dgm:pt>
    <dgm:pt modelId="{C9EB352C-6EE8-4079-BAAD-9632E403555F}">
      <dgm:prSet phldrT="[Text]"/>
      <dgm:spPr>
        <a:solidFill>
          <a:schemeClr val="tx2">
            <a:lumMod val="40000"/>
            <a:lumOff val="60000"/>
          </a:schemeClr>
        </a:solidFill>
      </dgm:spPr>
      <dgm:t>
        <a:bodyPr/>
        <a:lstStyle/>
        <a:p>
          <a:r>
            <a:rPr lang="et-EE" b="1" dirty="0" smtClean="0">
              <a:solidFill>
                <a:schemeClr val="tx1"/>
              </a:solidFill>
              <a:latin typeface="Georgia" pitchFamily="18" charset="0"/>
            </a:rPr>
            <a:t>Investeerida</a:t>
          </a:r>
          <a:endParaRPr lang="et-EE" b="1" dirty="0">
            <a:solidFill>
              <a:schemeClr val="tx1"/>
            </a:solidFill>
            <a:latin typeface="Georgia" pitchFamily="18" charset="0"/>
          </a:endParaRPr>
        </a:p>
      </dgm:t>
    </dgm:pt>
    <dgm:pt modelId="{8C93BC19-6B39-44AA-9C9F-84783A6097A0}" type="parTrans" cxnId="{BB7A29D7-F676-42B0-9F08-31E0B69050E4}">
      <dgm:prSet/>
      <dgm:spPr/>
      <dgm:t>
        <a:bodyPr/>
        <a:lstStyle/>
        <a:p>
          <a:endParaRPr lang="et-EE">
            <a:latin typeface="Georgia" pitchFamily="18" charset="0"/>
          </a:endParaRPr>
        </a:p>
      </dgm:t>
    </dgm:pt>
    <dgm:pt modelId="{85A0C7A2-ADCE-4E5D-8B44-91670C3C4639}" type="sibTrans" cxnId="{BB7A29D7-F676-42B0-9F08-31E0B69050E4}">
      <dgm:prSet/>
      <dgm:spPr/>
      <dgm:t>
        <a:bodyPr/>
        <a:lstStyle/>
        <a:p>
          <a:endParaRPr lang="et-EE">
            <a:latin typeface="Georgia" pitchFamily="18" charset="0"/>
          </a:endParaRPr>
        </a:p>
      </dgm:t>
    </dgm:pt>
    <dgm:pt modelId="{3AED3B23-EA79-4079-999E-945FCE1BEB44}">
      <dgm:prSet/>
      <dgm:spPr>
        <a:solidFill>
          <a:schemeClr val="tx2">
            <a:lumMod val="40000"/>
            <a:lumOff val="60000"/>
          </a:schemeClr>
        </a:solidFill>
      </dgm:spPr>
      <dgm:t>
        <a:bodyPr/>
        <a:lstStyle/>
        <a:p>
          <a:r>
            <a:rPr lang="et-EE" dirty="0" smtClean="0">
              <a:solidFill>
                <a:schemeClr val="tx1"/>
              </a:solidFill>
              <a:latin typeface="Georgia" pitchFamily="18" charset="0"/>
            </a:rPr>
            <a:t>täpsustada riigi vajadused (arengukavad)</a:t>
          </a:r>
          <a:endParaRPr lang="et-EE" dirty="0">
            <a:solidFill>
              <a:schemeClr val="tx1"/>
            </a:solidFill>
            <a:latin typeface="Georgia" pitchFamily="18" charset="0"/>
          </a:endParaRPr>
        </a:p>
      </dgm:t>
    </dgm:pt>
    <dgm:pt modelId="{5BDF60E2-594E-495A-938D-FC8B5F316428}" type="parTrans" cxnId="{4007D13E-F7C6-4B26-A67F-F2CB08AF58C0}">
      <dgm:prSet/>
      <dgm:spPr/>
      <dgm:t>
        <a:bodyPr/>
        <a:lstStyle/>
        <a:p>
          <a:endParaRPr lang="et-EE">
            <a:latin typeface="Georgia" pitchFamily="18" charset="0"/>
          </a:endParaRPr>
        </a:p>
      </dgm:t>
    </dgm:pt>
    <dgm:pt modelId="{62610645-12F5-400F-99E8-44E84728B2D8}" type="sibTrans" cxnId="{4007D13E-F7C6-4B26-A67F-F2CB08AF58C0}">
      <dgm:prSet/>
      <dgm:spPr/>
      <dgm:t>
        <a:bodyPr/>
        <a:lstStyle/>
        <a:p>
          <a:endParaRPr lang="et-EE">
            <a:latin typeface="Georgia" pitchFamily="18" charset="0"/>
          </a:endParaRPr>
        </a:p>
      </dgm:t>
    </dgm:pt>
    <dgm:pt modelId="{F6D54294-428E-4557-9F0C-ECCF1AB5AA18}">
      <dgm:prSet/>
      <dgm:spPr>
        <a:solidFill>
          <a:schemeClr val="tx2">
            <a:lumMod val="40000"/>
            <a:lumOff val="60000"/>
          </a:schemeClr>
        </a:solidFill>
      </dgm:spPr>
      <dgm:t>
        <a:bodyPr/>
        <a:lstStyle/>
        <a:p>
          <a:r>
            <a:rPr lang="et-EE" dirty="0" smtClean="0">
              <a:solidFill>
                <a:schemeClr val="tx1"/>
              </a:solidFill>
              <a:latin typeface="Georgia" pitchFamily="18" charset="0"/>
            </a:rPr>
            <a:t>täpsustada võimalused (RKAS)</a:t>
          </a:r>
          <a:endParaRPr lang="et-EE" dirty="0">
            <a:solidFill>
              <a:schemeClr val="tx1"/>
            </a:solidFill>
            <a:latin typeface="Georgia" pitchFamily="18" charset="0"/>
          </a:endParaRPr>
        </a:p>
      </dgm:t>
    </dgm:pt>
    <dgm:pt modelId="{C7D6AF21-B7D6-460E-A61B-D68C13BC270C}" type="parTrans" cxnId="{030217A8-65E6-48A4-A89C-9BA9AF72A6D6}">
      <dgm:prSet/>
      <dgm:spPr/>
      <dgm:t>
        <a:bodyPr/>
        <a:lstStyle/>
        <a:p>
          <a:endParaRPr lang="et-EE">
            <a:latin typeface="Georgia" pitchFamily="18" charset="0"/>
          </a:endParaRPr>
        </a:p>
      </dgm:t>
    </dgm:pt>
    <dgm:pt modelId="{B9C6E957-3748-45D1-B967-C9960632C312}" type="sibTrans" cxnId="{030217A8-65E6-48A4-A89C-9BA9AF72A6D6}">
      <dgm:prSet/>
      <dgm:spPr/>
      <dgm:t>
        <a:bodyPr/>
        <a:lstStyle/>
        <a:p>
          <a:endParaRPr lang="et-EE">
            <a:latin typeface="Georgia" pitchFamily="18" charset="0"/>
          </a:endParaRPr>
        </a:p>
      </dgm:t>
    </dgm:pt>
    <dgm:pt modelId="{489CBE6D-251C-4DB1-83A9-0A527D2CD35F}">
      <dgm:prSet/>
      <dgm:spPr>
        <a:solidFill>
          <a:schemeClr val="tx2">
            <a:lumMod val="40000"/>
            <a:lumOff val="60000"/>
          </a:schemeClr>
        </a:solidFill>
      </dgm:spPr>
      <dgm:t>
        <a:bodyPr/>
        <a:lstStyle/>
        <a:p>
          <a:r>
            <a:rPr lang="et-EE" dirty="0" smtClean="0">
              <a:solidFill>
                <a:schemeClr val="tx1"/>
              </a:solidFill>
              <a:latin typeface="Georgia" pitchFamily="18" charset="0"/>
            </a:rPr>
            <a:t>sõlmida üürilepingud kokkulepitud kulude ja kvaliteedi tagamiseks</a:t>
          </a:r>
          <a:endParaRPr lang="et-EE" dirty="0">
            <a:solidFill>
              <a:schemeClr val="tx1"/>
            </a:solidFill>
            <a:latin typeface="Georgia" pitchFamily="18" charset="0"/>
          </a:endParaRPr>
        </a:p>
      </dgm:t>
    </dgm:pt>
    <dgm:pt modelId="{C464DAB9-3CB4-41A6-8F37-ED0D92B3A962}" type="parTrans" cxnId="{5A1B9230-4BDA-44A4-9FE6-C785A350B568}">
      <dgm:prSet/>
      <dgm:spPr/>
      <dgm:t>
        <a:bodyPr/>
        <a:lstStyle/>
        <a:p>
          <a:endParaRPr lang="et-EE">
            <a:latin typeface="Georgia" pitchFamily="18" charset="0"/>
          </a:endParaRPr>
        </a:p>
      </dgm:t>
    </dgm:pt>
    <dgm:pt modelId="{ED05D4F7-F1C8-4CC7-AE2B-6441C006F550}" type="sibTrans" cxnId="{5A1B9230-4BDA-44A4-9FE6-C785A350B568}">
      <dgm:prSet/>
      <dgm:spPr/>
      <dgm:t>
        <a:bodyPr/>
        <a:lstStyle/>
        <a:p>
          <a:endParaRPr lang="et-EE">
            <a:latin typeface="Georgia" pitchFamily="18" charset="0"/>
          </a:endParaRPr>
        </a:p>
      </dgm:t>
    </dgm:pt>
    <dgm:pt modelId="{604495B2-36D6-4045-AED1-4F305956BE3F}">
      <dgm:prSet/>
      <dgm:spPr>
        <a:solidFill>
          <a:schemeClr val="tx2">
            <a:lumMod val="40000"/>
            <a:lumOff val="60000"/>
          </a:schemeClr>
        </a:solidFill>
      </dgm:spPr>
      <dgm:t>
        <a:bodyPr/>
        <a:lstStyle/>
        <a:p>
          <a:r>
            <a:rPr lang="et-EE" dirty="0" smtClean="0">
              <a:solidFill>
                <a:schemeClr val="tx1"/>
              </a:solidFill>
              <a:latin typeface="Georgia" pitchFamily="18" charset="0"/>
            </a:rPr>
            <a:t>ülevaade portfellist</a:t>
          </a:r>
          <a:endParaRPr lang="et-EE" dirty="0">
            <a:solidFill>
              <a:schemeClr val="tx1"/>
            </a:solidFill>
            <a:latin typeface="Georgia" pitchFamily="18" charset="0"/>
          </a:endParaRPr>
        </a:p>
      </dgm:t>
    </dgm:pt>
    <dgm:pt modelId="{F73CAFA9-6AE5-40A2-BE46-8358DF9D3F7F}" type="parTrans" cxnId="{D24FE525-7BC5-48F0-A168-F1CA24E51958}">
      <dgm:prSet/>
      <dgm:spPr/>
      <dgm:t>
        <a:bodyPr/>
        <a:lstStyle/>
        <a:p>
          <a:endParaRPr lang="et-EE">
            <a:latin typeface="Georgia" pitchFamily="18" charset="0"/>
          </a:endParaRPr>
        </a:p>
      </dgm:t>
    </dgm:pt>
    <dgm:pt modelId="{AAD64C11-B803-4BFF-A80D-272085546A66}" type="sibTrans" cxnId="{D24FE525-7BC5-48F0-A168-F1CA24E51958}">
      <dgm:prSet/>
      <dgm:spPr/>
      <dgm:t>
        <a:bodyPr/>
        <a:lstStyle/>
        <a:p>
          <a:endParaRPr lang="et-EE">
            <a:latin typeface="Georgia" pitchFamily="18" charset="0"/>
          </a:endParaRPr>
        </a:p>
      </dgm:t>
    </dgm:pt>
    <dgm:pt modelId="{758C7705-D8EC-4BBE-8505-85E15AB2569F}">
      <dgm:prSet/>
      <dgm:spPr>
        <a:solidFill>
          <a:schemeClr val="tx2">
            <a:lumMod val="40000"/>
            <a:lumOff val="60000"/>
          </a:schemeClr>
        </a:solidFill>
      </dgm:spPr>
      <dgm:t>
        <a:bodyPr/>
        <a:lstStyle/>
        <a:p>
          <a:r>
            <a:rPr lang="et-EE" dirty="0" smtClean="0">
              <a:solidFill>
                <a:schemeClr val="tx1"/>
              </a:solidFill>
              <a:latin typeface="Georgia" pitchFamily="18" charset="0"/>
            </a:rPr>
            <a:t>efektiivsem haldamine </a:t>
          </a:r>
          <a:endParaRPr lang="et-EE" dirty="0">
            <a:solidFill>
              <a:schemeClr val="tx1"/>
            </a:solidFill>
            <a:latin typeface="Georgia" pitchFamily="18" charset="0"/>
          </a:endParaRPr>
        </a:p>
      </dgm:t>
    </dgm:pt>
    <dgm:pt modelId="{A2357643-C652-451B-91F4-52D062AFDF17}" type="parTrans" cxnId="{67860C9F-32E1-436B-970E-F52C1C1C0B77}">
      <dgm:prSet/>
      <dgm:spPr/>
      <dgm:t>
        <a:bodyPr/>
        <a:lstStyle/>
        <a:p>
          <a:endParaRPr lang="et-EE">
            <a:latin typeface="Georgia" pitchFamily="18" charset="0"/>
          </a:endParaRPr>
        </a:p>
      </dgm:t>
    </dgm:pt>
    <dgm:pt modelId="{479663FF-A580-40BC-88A2-EC387AB0B322}" type="sibTrans" cxnId="{67860C9F-32E1-436B-970E-F52C1C1C0B77}">
      <dgm:prSet/>
      <dgm:spPr/>
      <dgm:t>
        <a:bodyPr/>
        <a:lstStyle/>
        <a:p>
          <a:endParaRPr lang="et-EE">
            <a:latin typeface="Georgia" pitchFamily="18" charset="0"/>
          </a:endParaRPr>
        </a:p>
      </dgm:t>
    </dgm:pt>
    <dgm:pt modelId="{6CFF5788-CE21-45C7-B02B-369D11CBF44B}">
      <dgm:prSet/>
      <dgm:spPr>
        <a:solidFill>
          <a:schemeClr val="tx2">
            <a:lumMod val="40000"/>
            <a:lumOff val="60000"/>
          </a:schemeClr>
        </a:solidFill>
      </dgm:spPr>
      <dgm:t>
        <a:bodyPr/>
        <a:lstStyle/>
        <a:p>
          <a:r>
            <a:rPr lang="et-EE" dirty="0" smtClean="0">
              <a:solidFill>
                <a:schemeClr val="tx1"/>
              </a:solidFill>
              <a:latin typeface="Georgia" pitchFamily="18" charset="0"/>
            </a:rPr>
            <a:t>mittevajalikud realiseerida</a:t>
          </a:r>
          <a:endParaRPr lang="et-EE" dirty="0">
            <a:solidFill>
              <a:schemeClr val="tx1"/>
            </a:solidFill>
            <a:latin typeface="Georgia" pitchFamily="18" charset="0"/>
          </a:endParaRPr>
        </a:p>
      </dgm:t>
    </dgm:pt>
    <dgm:pt modelId="{F6CE2A6F-D9E0-4D7B-9920-741AFB888368}" type="parTrans" cxnId="{E2ED3670-4FBA-4CD4-92AE-8B4DEBC3758D}">
      <dgm:prSet/>
      <dgm:spPr/>
      <dgm:t>
        <a:bodyPr/>
        <a:lstStyle/>
        <a:p>
          <a:endParaRPr lang="et-EE">
            <a:latin typeface="Georgia" pitchFamily="18" charset="0"/>
          </a:endParaRPr>
        </a:p>
      </dgm:t>
    </dgm:pt>
    <dgm:pt modelId="{32E3114B-C183-4286-BF80-5366F6C15AB2}" type="sibTrans" cxnId="{E2ED3670-4FBA-4CD4-92AE-8B4DEBC3758D}">
      <dgm:prSet/>
      <dgm:spPr/>
      <dgm:t>
        <a:bodyPr/>
        <a:lstStyle/>
        <a:p>
          <a:endParaRPr lang="et-EE">
            <a:latin typeface="Georgia" pitchFamily="18" charset="0"/>
          </a:endParaRPr>
        </a:p>
      </dgm:t>
    </dgm:pt>
    <dgm:pt modelId="{8EAB719A-850E-4A30-AE40-E00DFD24AB75}">
      <dgm:prSet/>
      <dgm:spPr>
        <a:solidFill>
          <a:schemeClr val="tx2">
            <a:lumMod val="40000"/>
            <a:lumOff val="60000"/>
          </a:schemeClr>
        </a:solidFill>
      </dgm:spPr>
      <dgm:t>
        <a:bodyPr/>
        <a:lstStyle/>
        <a:p>
          <a:r>
            <a:rPr lang="et-EE" dirty="0" smtClean="0">
              <a:solidFill>
                <a:schemeClr val="tx1"/>
              </a:solidFill>
              <a:latin typeface="Georgia" pitchFamily="18" charset="0"/>
            </a:rPr>
            <a:t>professionaalsed tehingud  </a:t>
          </a:r>
          <a:endParaRPr lang="et-EE" dirty="0">
            <a:solidFill>
              <a:schemeClr val="tx1"/>
            </a:solidFill>
            <a:latin typeface="Georgia" pitchFamily="18" charset="0"/>
          </a:endParaRPr>
        </a:p>
      </dgm:t>
    </dgm:pt>
    <dgm:pt modelId="{94E9F404-BB4A-4B8C-B19A-F97C8F305D57}" type="sibTrans" cxnId="{B5DE69CD-E8AC-4F99-A318-255C9461EAA2}">
      <dgm:prSet/>
      <dgm:spPr/>
      <dgm:t>
        <a:bodyPr/>
        <a:lstStyle/>
        <a:p>
          <a:endParaRPr lang="et-EE">
            <a:latin typeface="Georgia" pitchFamily="18" charset="0"/>
          </a:endParaRPr>
        </a:p>
      </dgm:t>
    </dgm:pt>
    <dgm:pt modelId="{5478C2E4-DD8A-48A6-A4F6-7B6054F4C2A9}" type="parTrans" cxnId="{B5DE69CD-E8AC-4F99-A318-255C9461EAA2}">
      <dgm:prSet/>
      <dgm:spPr/>
      <dgm:t>
        <a:bodyPr/>
        <a:lstStyle/>
        <a:p>
          <a:endParaRPr lang="et-EE">
            <a:latin typeface="Georgia" pitchFamily="18" charset="0"/>
          </a:endParaRPr>
        </a:p>
      </dgm:t>
    </dgm:pt>
    <dgm:pt modelId="{BBBE3B4E-14F4-4C4B-AD8D-41ED333DC67E}" type="pres">
      <dgm:prSet presAssocID="{79516594-BF9A-4CA3-AACB-53AE813DC9A8}" presName="Name0" presStyleCnt="0">
        <dgm:presLayoutVars>
          <dgm:dir/>
          <dgm:resizeHandles val="exact"/>
        </dgm:presLayoutVars>
      </dgm:prSet>
      <dgm:spPr/>
      <dgm:t>
        <a:bodyPr/>
        <a:lstStyle/>
        <a:p>
          <a:endParaRPr lang="et-EE"/>
        </a:p>
      </dgm:t>
    </dgm:pt>
    <dgm:pt modelId="{C5808536-B112-42EB-9D1F-E0C94B743735}" type="pres">
      <dgm:prSet presAssocID="{D1EF37A0-4243-4506-8C3C-C8ACF6E0F015}" presName="node" presStyleLbl="node1" presStyleIdx="0" presStyleCnt="3">
        <dgm:presLayoutVars>
          <dgm:bulletEnabled val="1"/>
        </dgm:presLayoutVars>
      </dgm:prSet>
      <dgm:spPr/>
      <dgm:t>
        <a:bodyPr/>
        <a:lstStyle/>
        <a:p>
          <a:endParaRPr lang="et-EE"/>
        </a:p>
      </dgm:t>
    </dgm:pt>
    <dgm:pt modelId="{395BACAD-5780-4D47-83BF-570B81E4920B}" type="pres">
      <dgm:prSet presAssocID="{9EBCA95F-5985-4647-9FB7-0D7B31D573A9}" presName="sibTrans" presStyleCnt="0"/>
      <dgm:spPr/>
    </dgm:pt>
    <dgm:pt modelId="{2164C7B1-7061-4E96-AACD-5930EE767480}" type="pres">
      <dgm:prSet presAssocID="{506BB1B7-8F8B-4981-AECC-800FB7B81BC6}" presName="node" presStyleLbl="node1" presStyleIdx="1" presStyleCnt="3">
        <dgm:presLayoutVars>
          <dgm:bulletEnabled val="1"/>
        </dgm:presLayoutVars>
      </dgm:prSet>
      <dgm:spPr/>
      <dgm:t>
        <a:bodyPr/>
        <a:lstStyle/>
        <a:p>
          <a:endParaRPr lang="et-EE"/>
        </a:p>
      </dgm:t>
    </dgm:pt>
    <dgm:pt modelId="{DB8FB991-C75D-4A21-A2A8-FC2C7E3CA481}" type="pres">
      <dgm:prSet presAssocID="{629D0E55-EAD8-4660-9D95-FDC52D90F05D}" presName="sibTrans" presStyleCnt="0"/>
      <dgm:spPr/>
    </dgm:pt>
    <dgm:pt modelId="{161FE1DF-BEAE-4534-949D-10B637A47D98}" type="pres">
      <dgm:prSet presAssocID="{C9EB352C-6EE8-4079-BAAD-9632E403555F}" presName="node" presStyleLbl="node1" presStyleIdx="2" presStyleCnt="3">
        <dgm:presLayoutVars>
          <dgm:bulletEnabled val="1"/>
        </dgm:presLayoutVars>
      </dgm:prSet>
      <dgm:spPr/>
      <dgm:t>
        <a:bodyPr/>
        <a:lstStyle/>
        <a:p>
          <a:endParaRPr lang="et-EE"/>
        </a:p>
      </dgm:t>
    </dgm:pt>
  </dgm:ptLst>
  <dgm:cxnLst>
    <dgm:cxn modelId="{18F2A745-9264-4B94-88C3-19C255680BE0}" type="presOf" srcId="{3AED3B23-EA79-4079-999E-945FCE1BEB44}" destId="{2164C7B1-7061-4E96-AACD-5930EE767480}" srcOrd="0" destOrd="1" presId="urn:microsoft.com/office/officeart/2005/8/layout/hList6"/>
    <dgm:cxn modelId="{B315F15A-7651-4643-9154-BB869253DC38}" type="presOf" srcId="{6CFF5788-CE21-45C7-B02B-369D11CBF44B}" destId="{161FE1DF-BEAE-4534-949D-10B637A47D98}" srcOrd="0" destOrd="2" presId="urn:microsoft.com/office/officeart/2005/8/layout/hList6"/>
    <dgm:cxn modelId="{04F97239-CE07-4A84-B608-9418A5C3E16D}" type="presOf" srcId="{758C7705-D8EC-4BBE-8505-85E15AB2569F}" destId="{C5808536-B112-42EB-9D1F-E0C94B743735}" srcOrd="0" destOrd="2" presId="urn:microsoft.com/office/officeart/2005/8/layout/hList6"/>
    <dgm:cxn modelId="{8B4EB01E-F8C5-4421-B5EC-241814A1BD2E}" type="presOf" srcId="{489CBE6D-251C-4DB1-83A9-0A527D2CD35F}" destId="{161FE1DF-BEAE-4534-949D-10B637A47D98}" srcOrd="0" destOrd="1" presId="urn:microsoft.com/office/officeart/2005/8/layout/hList6"/>
    <dgm:cxn modelId="{E2ED3670-4FBA-4CD4-92AE-8B4DEBC3758D}" srcId="{C9EB352C-6EE8-4079-BAAD-9632E403555F}" destId="{6CFF5788-CE21-45C7-B02B-369D11CBF44B}" srcOrd="1" destOrd="0" parTransId="{F6CE2A6F-D9E0-4D7B-9920-741AFB888368}" sibTransId="{32E3114B-C183-4286-BF80-5366F6C15AB2}"/>
    <dgm:cxn modelId="{34C2F390-AF1B-463E-8679-B6AB40CC5F01}" type="presOf" srcId="{79516594-BF9A-4CA3-AACB-53AE813DC9A8}" destId="{BBBE3B4E-14F4-4C4B-AD8D-41ED333DC67E}" srcOrd="0" destOrd="0" presId="urn:microsoft.com/office/officeart/2005/8/layout/hList6"/>
    <dgm:cxn modelId="{EC0063F8-F6D1-4702-B834-4F0958EB2709}" srcId="{79516594-BF9A-4CA3-AACB-53AE813DC9A8}" destId="{506BB1B7-8F8B-4981-AECC-800FB7B81BC6}" srcOrd="1" destOrd="0" parTransId="{1FD6E46E-6366-4BFC-850D-77130F124EDD}" sibTransId="{629D0E55-EAD8-4660-9D95-FDC52D90F05D}"/>
    <dgm:cxn modelId="{F7B42713-BB16-4545-90A2-A6A04E27776A}" type="presOf" srcId="{D1EF37A0-4243-4506-8C3C-C8ACF6E0F015}" destId="{C5808536-B112-42EB-9D1F-E0C94B743735}" srcOrd="0" destOrd="0" presId="urn:microsoft.com/office/officeart/2005/8/layout/hList6"/>
    <dgm:cxn modelId="{D24FE525-7BC5-48F0-A168-F1CA24E51958}" srcId="{D1EF37A0-4243-4506-8C3C-C8ACF6E0F015}" destId="{604495B2-36D6-4045-AED1-4F305956BE3F}" srcOrd="2" destOrd="0" parTransId="{F73CAFA9-6AE5-40A2-BE46-8358DF9D3F7F}" sibTransId="{AAD64C11-B803-4BFF-A80D-272085546A66}"/>
    <dgm:cxn modelId="{E73BC538-61EF-4D57-B634-7AB4C453CADA}" type="presOf" srcId="{8EAB719A-850E-4A30-AE40-E00DFD24AB75}" destId="{C5808536-B112-42EB-9D1F-E0C94B743735}" srcOrd="0" destOrd="1" presId="urn:microsoft.com/office/officeart/2005/8/layout/hList6"/>
    <dgm:cxn modelId="{870D613A-CE49-4FD4-83E3-EB960020AF50}" type="presOf" srcId="{506BB1B7-8F8B-4981-AECC-800FB7B81BC6}" destId="{2164C7B1-7061-4E96-AACD-5930EE767480}" srcOrd="0" destOrd="0" presId="urn:microsoft.com/office/officeart/2005/8/layout/hList6"/>
    <dgm:cxn modelId="{4007D13E-F7C6-4B26-A67F-F2CB08AF58C0}" srcId="{506BB1B7-8F8B-4981-AECC-800FB7B81BC6}" destId="{3AED3B23-EA79-4079-999E-945FCE1BEB44}" srcOrd="0" destOrd="0" parTransId="{5BDF60E2-594E-495A-938D-FC8B5F316428}" sibTransId="{62610645-12F5-400F-99E8-44E84728B2D8}"/>
    <dgm:cxn modelId="{B5DE69CD-E8AC-4F99-A318-255C9461EAA2}" srcId="{D1EF37A0-4243-4506-8C3C-C8ACF6E0F015}" destId="{8EAB719A-850E-4A30-AE40-E00DFD24AB75}" srcOrd="0" destOrd="0" parTransId="{5478C2E4-DD8A-48A6-A4F6-7B6054F4C2A9}" sibTransId="{94E9F404-BB4A-4B8C-B19A-F97C8F305D57}"/>
    <dgm:cxn modelId="{5A1B9230-4BDA-44A4-9FE6-C785A350B568}" srcId="{C9EB352C-6EE8-4079-BAAD-9632E403555F}" destId="{489CBE6D-251C-4DB1-83A9-0A527D2CD35F}" srcOrd="0" destOrd="0" parTransId="{C464DAB9-3CB4-41A6-8F37-ED0D92B3A962}" sibTransId="{ED05D4F7-F1C8-4CC7-AE2B-6441C006F550}"/>
    <dgm:cxn modelId="{47EF6A34-DFD1-40E8-80B3-7330A07D3CEE}" type="presOf" srcId="{604495B2-36D6-4045-AED1-4F305956BE3F}" destId="{C5808536-B112-42EB-9D1F-E0C94B743735}" srcOrd="0" destOrd="3" presId="urn:microsoft.com/office/officeart/2005/8/layout/hList6"/>
    <dgm:cxn modelId="{030217A8-65E6-48A4-A89C-9BA9AF72A6D6}" srcId="{506BB1B7-8F8B-4981-AECC-800FB7B81BC6}" destId="{F6D54294-428E-4557-9F0C-ECCF1AB5AA18}" srcOrd="1" destOrd="0" parTransId="{C7D6AF21-B7D6-460E-A61B-D68C13BC270C}" sibTransId="{B9C6E957-3748-45D1-B967-C9960632C312}"/>
    <dgm:cxn modelId="{BB7A29D7-F676-42B0-9F08-31E0B69050E4}" srcId="{79516594-BF9A-4CA3-AACB-53AE813DC9A8}" destId="{C9EB352C-6EE8-4079-BAAD-9632E403555F}" srcOrd="2" destOrd="0" parTransId="{8C93BC19-6B39-44AA-9C9F-84783A6097A0}" sibTransId="{85A0C7A2-ADCE-4E5D-8B44-91670C3C4639}"/>
    <dgm:cxn modelId="{67860C9F-32E1-436B-970E-F52C1C1C0B77}" srcId="{D1EF37A0-4243-4506-8C3C-C8ACF6E0F015}" destId="{758C7705-D8EC-4BBE-8505-85E15AB2569F}" srcOrd="1" destOrd="0" parTransId="{A2357643-C652-451B-91F4-52D062AFDF17}" sibTransId="{479663FF-A580-40BC-88A2-EC387AB0B322}"/>
    <dgm:cxn modelId="{AB85D2E2-AE74-432B-ACFB-8FA183E48E3E}" type="presOf" srcId="{C9EB352C-6EE8-4079-BAAD-9632E403555F}" destId="{161FE1DF-BEAE-4534-949D-10B637A47D98}" srcOrd="0" destOrd="0" presId="urn:microsoft.com/office/officeart/2005/8/layout/hList6"/>
    <dgm:cxn modelId="{A33A6D85-8961-4EEB-BB84-80B7C15DF75F}" srcId="{79516594-BF9A-4CA3-AACB-53AE813DC9A8}" destId="{D1EF37A0-4243-4506-8C3C-C8ACF6E0F015}" srcOrd="0" destOrd="0" parTransId="{07C7FB0B-0057-4D7D-A8F8-8DBDCB53E8A9}" sibTransId="{9EBCA95F-5985-4647-9FB7-0D7B31D573A9}"/>
    <dgm:cxn modelId="{8532AB11-E1FA-43DF-8A38-4D091DC46999}" type="presOf" srcId="{F6D54294-428E-4557-9F0C-ECCF1AB5AA18}" destId="{2164C7B1-7061-4E96-AACD-5930EE767480}" srcOrd="0" destOrd="2" presId="urn:microsoft.com/office/officeart/2005/8/layout/hList6"/>
    <dgm:cxn modelId="{212833A9-9CFD-45FA-B09F-CEB8F5DE4AEF}" type="presParOf" srcId="{BBBE3B4E-14F4-4C4B-AD8D-41ED333DC67E}" destId="{C5808536-B112-42EB-9D1F-E0C94B743735}" srcOrd="0" destOrd="0" presId="urn:microsoft.com/office/officeart/2005/8/layout/hList6"/>
    <dgm:cxn modelId="{83F50ABA-6BB1-4400-B86A-C48D3873A5A3}" type="presParOf" srcId="{BBBE3B4E-14F4-4C4B-AD8D-41ED333DC67E}" destId="{395BACAD-5780-4D47-83BF-570B81E4920B}" srcOrd="1" destOrd="0" presId="urn:microsoft.com/office/officeart/2005/8/layout/hList6"/>
    <dgm:cxn modelId="{829FDFFD-1E3E-4EF9-AD94-9A5BE1BE9E16}" type="presParOf" srcId="{BBBE3B4E-14F4-4C4B-AD8D-41ED333DC67E}" destId="{2164C7B1-7061-4E96-AACD-5930EE767480}" srcOrd="2" destOrd="0" presId="urn:microsoft.com/office/officeart/2005/8/layout/hList6"/>
    <dgm:cxn modelId="{9089CBDE-66EA-4F75-ACE5-2B473C5E038E}" type="presParOf" srcId="{BBBE3B4E-14F4-4C4B-AD8D-41ED333DC67E}" destId="{DB8FB991-C75D-4A21-A2A8-FC2C7E3CA481}" srcOrd="3" destOrd="0" presId="urn:microsoft.com/office/officeart/2005/8/layout/hList6"/>
    <dgm:cxn modelId="{8798CFCF-050E-41E3-8436-56E5D1922F49}" type="presParOf" srcId="{BBBE3B4E-14F4-4C4B-AD8D-41ED333DC67E}" destId="{161FE1DF-BEAE-4534-949D-10B637A47D98}" srcOrd="4" destOrd="0" presId="urn:microsoft.com/office/officeart/2005/8/layout/hList6"/>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B6DFCA-495A-4474-B95D-FD78A0BAB2A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t-EE"/>
        </a:p>
      </dgm:t>
    </dgm:pt>
    <dgm:pt modelId="{E9FCA264-9C38-4488-ADD4-165C6A503BEA}">
      <dgm:prSet phldrT="[Text]"/>
      <dgm:spPr/>
      <dgm:t>
        <a:bodyPr/>
        <a:lstStyle/>
        <a:p>
          <a:r>
            <a:rPr lang="et-EE" b="1">
              <a:latin typeface="Georgia" pitchFamily="18" charset="0"/>
            </a:rPr>
            <a:t>Mõõdikute defineerimine</a:t>
          </a:r>
        </a:p>
      </dgm:t>
    </dgm:pt>
    <dgm:pt modelId="{641D2F8F-53F3-4033-9A8F-FB40DB023BBA}" type="parTrans" cxnId="{0009B121-CA9D-4E1C-BF22-AE50BB262496}">
      <dgm:prSet/>
      <dgm:spPr/>
      <dgm:t>
        <a:bodyPr/>
        <a:lstStyle/>
        <a:p>
          <a:endParaRPr lang="et-EE">
            <a:latin typeface="Georgia" pitchFamily="18" charset="0"/>
          </a:endParaRPr>
        </a:p>
      </dgm:t>
    </dgm:pt>
    <dgm:pt modelId="{B9D17A38-C453-434B-A571-A228AB3CFDBD}" type="sibTrans" cxnId="{0009B121-CA9D-4E1C-BF22-AE50BB262496}">
      <dgm:prSet/>
      <dgm:spPr/>
      <dgm:t>
        <a:bodyPr/>
        <a:lstStyle/>
        <a:p>
          <a:endParaRPr lang="et-EE">
            <a:latin typeface="Georgia" pitchFamily="18" charset="0"/>
          </a:endParaRPr>
        </a:p>
      </dgm:t>
    </dgm:pt>
    <dgm:pt modelId="{6BAE1073-0DC8-47B5-B46A-86224F37C58E}">
      <dgm:prSet phldrT="[Text]"/>
      <dgm:spPr/>
      <dgm:t>
        <a:bodyPr/>
        <a:lstStyle/>
        <a:p>
          <a:r>
            <a:rPr lang="et-EE" b="1">
              <a:latin typeface="Georgia" pitchFamily="18" charset="0"/>
            </a:rPr>
            <a:t>Andmete kogumine</a:t>
          </a:r>
        </a:p>
      </dgm:t>
    </dgm:pt>
    <dgm:pt modelId="{CF93CC6E-A6DF-4DFB-9ACB-BAFC3AD7A9CC}" type="parTrans" cxnId="{A2A5CF85-076D-4C24-A027-123264B6C839}">
      <dgm:prSet/>
      <dgm:spPr/>
      <dgm:t>
        <a:bodyPr/>
        <a:lstStyle/>
        <a:p>
          <a:endParaRPr lang="et-EE">
            <a:latin typeface="Georgia" pitchFamily="18" charset="0"/>
          </a:endParaRPr>
        </a:p>
      </dgm:t>
    </dgm:pt>
    <dgm:pt modelId="{19397D4B-E0CA-4957-8CB2-D5773F9AD398}" type="sibTrans" cxnId="{A2A5CF85-076D-4C24-A027-123264B6C839}">
      <dgm:prSet/>
      <dgm:spPr/>
      <dgm:t>
        <a:bodyPr/>
        <a:lstStyle/>
        <a:p>
          <a:endParaRPr lang="et-EE">
            <a:latin typeface="Georgia" pitchFamily="18" charset="0"/>
          </a:endParaRPr>
        </a:p>
      </dgm:t>
    </dgm:pt>
    <dgm:pt modelId="{A3908A0C-EC52-40DB-88BF-D7CD4AF8987D}">
      <dgm:prSet phldrT="[Text]"/>
      <dgm:spPr/>
      <dgm:t>
        <a:bodyPr/>
        <a:lstStyle/>
        <a:p>
          <a:r>
            <a:rPr lang="et-EE" b="1">
              <a:latin typeface="Georgia" pitchFamily="18" charset="0"/>
            </a:rPr>
            <a:t>Andmete analüüs</a:t>
          </a:r>
        </a:p>
      </dgm:t>
    </dgm:pt>
    <dgm:pt modelId="{1C058150-DF6D-4498-A19E-AD476F6B7A7B}" type="parTrans" cxnId="{F49A6177-1CB2-4A5C-9C4F-DE438278149A}">
      <dgm:prSet/>
      <dgm:spPr/>
      <dgm:t>
        <a:bodyPr/>
        <a:lstStyle/>
        <a:p>
          <a:endParaRPr lang="et-EE">
            <a:latin typeface="Georgia" pitchFamily="18" charset="0"/>
          </a:endParaRPr>
        </a:p>
      </dgm:t>
    </dgm:pt>
    <dgm:pt modelId="{B73F127E-6260-4C64-8201-E4E8E0837ADB}" type="sibTrans" cxnId="{F49A6177-1CB2-4A5C-9C4F-DE438278149A}">
      <dgm:prSet/>
      <dgm:spPr/>
      <dgm:t>
        <a:bodyPr/>
        <a:lstStyle/>
        <a:p>
          <a:endParaRPr lang="et-EE">
            <a:latin typeface="Georgia" pitchFamily="18" charset="0"/>
          </a:endParaRPr>
        </a:p>
      </dgm:t>
    </dgm:pt>
    <dgm:pt modelId="{F37A6801-E8CD-428B-B662-83F016E70C36}">
      <dgm:prSet phldrT="[Text]"/>
      <dgm:spPr/>
      <dgm:t>
        <a:bodyPr/>
        <a:lstStyle/>
        <a:p>
          <a:r>
            <a:rPr lang="et-EE" b="1">
              <a:latin typeface="Georgia" pitchFamily="18" charset="0"/>
            </a:rPr>
            <a:t>Juhtimis-otsused</a:t>
          </a:r>
        </a:p>
      </dgm:t>
    </dgm:pt>
    <dgm:pt modelId="{A34461A8-E1C7-4A7A-A667-C4FEB5BDEFA5}" type="parTrans" cxnId="{DE8FABF1-35E9-4F83-8B63-83B005D1C08A}">
      <dgm:prSet/>
      <dgm:spPr/>
      <dgm:t>
        <a:bodyPr/>
        <a:lstStyle/>
        <a:p>
          <a:endParaRPr lang="et-EE">
            <a:latin typeface="Georgia" pitchFamily="18" charset="0"/>
          </a:endParaRPr>
        </a:p>
      </dgm:t>
    </dgm:pt>
    <dgm:pt modelId="{4F7E1A22-E876-41FE-85CB-79764E1BD42D}" type="sibTrans" cxnId="{DE8FABF1-35E9-4F83-8B63-83B005D1C08A}">
      <dgm:prSet/>
      <dgm:spPr/>
      <dgm:t>
        <a:bodyPr/>
        <a:lstStyle/>
        <a:p>
          <a:endParaRPr lang="et-EE">
            <a:latin typeface="Georgia" pitchFamily="18" charset="0"/>
          </a:endParaRPr>
        </a:p>
      </dgm:t>
    </dgm:pt>
    <dgm:pt modelId="{E98C76F8-F10B-45F9-B5C2-0E80717A183B}">
      <dgm:prSet phldrT="[Text]"/>
      <dgm:spPr/>
      <dgm:t>
        <a:bodyPr/>
        <a:lstStyle/>
        <a:p>
          <a:r>
            <a:rPr lang="et-EE" b="1">
              <a:latin typeface="Georgia" pitchFamily="18" charset="0"/>
            </a:rPr>
            <a:t>Otsuste mõju jälgimine</a:t>
          </a:r>
        </a:p>
      </dgm:t>
    </dgm:pt>
    <dgm:pt modelId="{B21B9605-AED0-4B76-950F-607358934EC9}" type="parTrans" cxnId="{118CE8F3-52DD-48DC-B6F6-1658EB08B231}">
      <dgm:prSet/>
      <dgm:spPr/>
      <dgm:t>
        <a:bodyPr/>
        <a:lstStyle/>
        <a:p>
          <a:endParaRPr lang="et-EE">
            <a:latin typeface="Georgia" pitchFamily="18" charset="0"/>
          </a:endParaRPr>
        </a:p>
      </dgm:t>
    </dgm:pt>
    <dgm:pt modelId="{DB40AC6F-332B-4694-9C23-CF37B20CA3BE}" type="sibTrans" cxnId="{118CE8F3-52DD-48DC-B6F6-1658EB08B231}">
      <dgm:prSet/>
      <dgm:spPr/>
      <dgm:t>
        <a:bodyPr/>
        <a:lstStyle/>
        <a:p>
          <a:endParaRPr lang="et-EE">
            <a:latin typeface="Georgia" pitchFamily="18" charset="0"/>
          </a:endParaRPr>
        </a:p>
      </dgm:t>
    </dgm:pt>
    <dgm:pt modelId="{4C3EFA35-1E0E-422D-B0DC-F215C5FEE962}" type="pres">
      <dgm:prSet presAssocID="{69B6DFCA-495A-4474-B95D-FD78A0BAB2A8}" presName="cycle" presStyleCnt="0">
        <dgm:presLayoutVars>
          <dgm:dir/>
          <dgm:resizeHandles val="exact"/>
        </dgm:presLayoutVars>
      </dgm:prSet>
      <dgm:spPr/>
      <dgm:t>
        <a:bodyPr/>
        <a:lstStyle/>
        <a:p>
          <a:endParaRPr lang="et-EE"/>
        </a:p>
      </dgm:t>
    </dgm:pt>
    <dgm:pt modelId="{4D8CE8AA-7583-415E-B6DC-10A937745B0E}" type="pres">
      <dgm:prSet presAssocID="{E9FCA264-9C38-4488-ADD4-165C6A503BEA}" presName="node" presStyleLbl="node1" presStyleIdx="0" presStyleCnt="5">
        <dgm:presLayoutVars>
          <dgm:bulletEnabled val="1"/>
        </dgm:presLayoutVars>
      </dgm:prSet>
      <dgm:spPr/>
      <dgm:t>
        <a:bodyPr/>
        <a:lstStyle/>
        <a:p>
          <a:endParaRPr lang="et-EE"/>
        </a:p>
      </dgm:t>
    </dgm:pt>
    <dgm:pt modelId="{7BD6961D-818C-47E6-B228-31305BF3C27C}" type="pres">
      <dgm:prSet presAssocID="{E9FCA264-9C38-4488-ADD4-165C6A503BEA}" presName="spNode" presStyleCnt="0"/>
      <dgm:spPr/>
    </dgm:pt>
    <dgm:pt modelId="{8DACA5E1-B0C9-47D0-8BA0-30CE103C6E69}" type="pres">
      <dgm:prSet presAssocID="{B9D17A38-C453-434B-A571-A228AB3CFDBD}" presName="sibTrans" presStyleLbl="sibTrans1D1" presStyleIdx="0" presStyleCnt="5"/>
      <dgm:spPr/>
      <dgm:t>
        <a:bodyPr/>
        <a:lstStyle/>
        <a:p>
          <a:endParaRPr lang="et-EE"/>
        </a:p>
      </dgm:t>
    </dgm:pt>
    <dgm:pt modelId="{0EC070D1-F282-4ED7-B3C2-15E20C540724}" type="pres">
      <dgm:prSet presAssocID="{6BAE1073-0DC8-47B5-B46A-86224F37C58E}" presName="node" presStyleLbl="node1" presStyleIdx="1" presStyleCnt="5">
        <dgm:presLayoutVars>
          <dgm:bulletEnabled val="1"/>
        </dgm:presLayoutVars>
      </dgm:prSet>
      <dgm:spPr/>
      <dgm:t>
        <a:bodyPr/>
        <a:lstStyle/>
        <a:p>
          <a:endParaRPr lang="et-EE"/>
        </a:p>
      </dgm:t>
    </dgm:pt>
    <dgm:pt modelId="{0FA2D1BB-17CE-497F-AC48-A162BC9C54AE}" type="pres">
      <dgm:prSet presAssocID="{6BAE1073-0DC8-47B5-B46A-86224F37C58E}" presName="spNode" presStyleCnt="0"/>
      <dgm:spPr/>
    </dgm:pt>
    <dgm:pt modelId="{AA208D6C-D0F8-4E29-B048-AC2BFA161B38}" type="pres">
      <dgm:prSet presAssocID="{19397D4B-E0CA-4957-8CB2-D5773F9AD398}" presName="sibTrans" presStyleLbl="sibTrans1D1" presStyleIdx="1" presStyleCnt="5"/>
      <dgm:spPr/>
      <dgm:t>
        <a:bodyPr/>
        <a:lstStyle/>
        <a:p>
          <a:endParaRPr lang="et-EE"/>
        </a:p>
      </dgm:t>
    </dgm:pt>
    <dgm:pt modelId="{97CF4AA0-FD28-4139-AE75-27A0B7486019}" type="pres">
      <dgm:prSet presAssocID="{A3908A0C-EC52-40DB-88BF-D7CD4AF8987D}" presName="node" presStyleLbl="node1" presStyleIdx="2" presStyleCnt="5">
        <dgm:presLayoutVars>
          <dgm:bulletEnabled val="1"/>
        </dgm:presLayoutVars>
      </dgm:prSet>
      <dgm:spPr/>
      <dgm:t>
        <a:bodyPr/>
        <a:lstStyle/>
        <a:p>
          <a:endParaRPr lang="et-EE"/>
        </a:p>
      </dgm:t>
    </dgm:pt>
    <dgm:pt modelId="{75EA094E-D9E7-4FF7-BBAB-E012A9B8FE9C}" type="pres">
      <dgm:prSet presAssocID="{A3908A0C-EC52-40DB-88BF-D7CD4AF8987D}" presName="spNode" presStyleCnt="0"/>
      <dgm:spPr/>
    </dgm:pt>
    <dgm:pt modelId="{DC4A9507-55E7-4FB8-8A07-6C1DD35F27D6}" type="pres">
      <dgm:prSet presAssocID="{B73F127E-6260-4C64-8201-E4E8E0837ADB}" presName="sibTrans" presStyleLbl="sibTrans1D1" presStyleIdx="2" presStyleCnt="5"/>
      <dgm:spPr/>
      <dgm:t>
        <a:bodyPr/>
        <a:lstStyle/>
        <a:p>
          <a:endParaRPr lang="et-EE"/>
        </a:p>
      </dgm:t>
    </dgm:pt>
    <dgm:pt modelId="{32AC899D-B121-46EA-A027-25D5485EE5E9}" type="pres">
      <dgm:prSet presAssocID="{F37A6801-E8CD-428B-B662-83F016E70C36}" presName="node" presStyleLbl="node1" presStyleIdx="3" presStyleCnt="5">
        <dgm:presLayoutVars>
          <dgm:bulletEnabled val="1"/>
        </dgm:presLayoutVars>
      </dgm:prSet>
      <dgm:spPr/>
      <dgm:t>
        <a:bodyPr/>
        <a:lstStyle/>
        <a:p>
          <a:endParaRPr lang="et-EE"/>
        </a:p>
      </dgm:t>
    </dgm:pt>
    <dgm:pt modelId="{F3D43D41-6403-4A00-BAE8-CB8D8643CC82}" type="pres">
      <dgm:prSet presAssocID="{F37A6801-E8CD-428B-B662-83F016E70C36}" presName="spNode" presStyleCnt="0"/>
      <dgm:spPr/>
    </dgm:pt>
    <dgm:pt modelId="{A6196DAF-10C3-46DE-A562-BA6427CDB826}" type="pres">
      <dgm:prSet presAssocID="{4F7E1A22-E876-41FE-85CB-79764E1BD42D}" presName="sibTrans" presStyleLbl="sibTrans1D1" presStyleIdx="3" presStyleCnt="5"/>
      <dgm:spPr/>
      <dgm:t>
        <a:bodyPr/>
        <a:lstStyle/>
        <a:p>
          <a:endParaRPr lang="et-EE"/>
        </a:p>
      </dgm:t>
    </dgm:pt>
    <dgm:pt modelId="{BEFFE525-B28D-4B7F-AD38-5CB2FC3CAAE1}" type="pres">
      <dgm:prSet presAssocID="{E98C76F8-F10B-45F9-B5C2-0E80717A183B}" presName="node" presStyleLbl="node1" presStyleIdx="4" presStyleCnt="5">
        <dgm:presLayoutVars>
          <dgm:bulletEnabled val="1"/>
        </dgm:presLayoutVars>
      </dgm:prSet>
      <dgm:spPr/>
      <dgm:t>
        <a:bodyPr/>
        <a:lstStyle/>
        <a:p>
          <a:endParaRPr lang="et-EE"/>
        </a:p>
      </dgm:t>
    </dgm:pt>
    <dgm:pt modelId="{72EC9C97-95FF-4780-8490-816F72AB6100}" type="pres">
      <dgm:prSet presAssocID="{E98C76F8-F10B-45F9-B5C2-0E80717A183B}" presName="spNode" presStyleCnt="0"/>
      <dgm:spPr/>
    </dgm:pt>
    <dgm:pt modelId="{1F362F13-47E7-4B93-8551-3EFFA255E320}" type="pres">
      <dgm:prSet presAssocID="{DB40AC6F-332B-4694-9C23-CF37B20CA3BE}" presName="sibTrans" presStyleLbl="sibTrans1D1" presStyleIdx="4" presStyleCnt="5"/>
      <dgm:spPr/>
      <dgm:t>
        <a:bodyPr/>
        <a:lstStyle/>
        <a:p>
          <a:endParaRPr lang="et-EE"/>
        </a:p>
      </dgm:t>
    </dgm:pt>
  </dgm:ptLst>
  <dgm:cxnLst>
    <dgm:cxn modelId="{DE8FABF1-35E9-4F83-8B63-83B005D1C08A}" srcId="{69B6DFCA-495A-4474-B95D-FD78A0BAB2A8}" destId="{F37A6801-E8CD-428B-B662-83F016E70C36}" srcOrd="3" destOrd="0" parTransId="{A34461A8-E1C7-4A7A-A667-C4FEB5BDEFA5}" sibTransId="{4F7E1A22-E876-41FE-85CB-79764E1BD42D}"/>
    <dgm:cxn modelId="{4F5A2144-7A81-4B4B-BEAE-C1223DE30C1B}" type="presOf" srcId="{DB40AC6F-332B-4694-9C23-CF37B20CA3BE}" destId="{1F362F13-47E7-4B93-8551-3EFFA255E320}" srcOrd="0" destOrd="0" presId="urn:microsoft.com/office/officeart/2005/8/layout/cycle5"/>
    <dgm:cxn modelId="{84F36584-3AC7-4A01-9D9A-3FE8708F19B0}" type="presOf" srcId="{B9D17A38-C453-434B-A571-A228AB3CFDBD}" destId="{8DACA5E1-B0C9-47D0-8BA0-30CE103C6E69}" srcOrd="0" destOrd="0" presId="urn:microsoft.com/office/officeart/2005/8/layout/cycle5"/>
    <dgm:cxn modelId="{6B03B78A-464B-4D4E-ABA8-497661543731}" type="presOf" srcId="{A3908A0C-EC52-40DB-88BF-D7CD4AF8987D}" destId="{97CF4AA0-FD28-4139-AE75-27A0B7486019}" srcOrd="0" destOrd="0" presId="urn:microsoft.com/office/officeart/2005/8/layout/cycle5"/>
    <dgm:cxn modelId="{42533BE5-CE98-485F-8F70-15FD72E05391}" type="presOf" srcId="{E98C76F8-F10B-45F9-B5C2-0E80717A183B}" destId="{BEFFE525-B28D-4B7F-AD38-5CB2FC3CAAE1}" srcOrd="0" destOrd="0" presId="urn:microsoft.com/office/officeart/2005/8/layout/cycle5"/>
    <dgm:cxn modelId="{F49A6177-1CB2-4A5C-9C4F-DE438278149A}" srcId="{69B6DFCA-495A-4474-B95D-FD78A0BAB2A8}" destId="{A3908A0C-EC52-40DB-88BF-D7CD4AF8987D}" srcOrd="2" destOrd="0" parTransId="{1C058150-DF6D-4498-A19E-AD476F6B7A7B}" sibTransId="{B73F127E-6260-4C64-8201-E4E8E0837ADB}"/>
    <dgm:cxn modelId="{A2A5CF85-076D-4C24-A027-123264B6C839}" srcId="{69B6DFCA-495A-4474-B95D-FD78A0BAB2A8}" destId="{6BAE1073-0DC8-47B5-B46A-86224F37C58E}" srcOrd="1" destOrd="0" parTransId="{CF93CC6E-A6DF-4DFB-9ACB-BAFC3AD7A9CC}" sibTransId="{19397D4B-E0CA-4957-8CB2-D5773F9AD398}"/>
    <dgm:cxn modelId="{4D6A0B59-58C0-4FBA-86F5-DF17DBA82BD9}" type="presOf" srcId="{69B6DFCA-495A-4474-B95D-FD78A0BAB2A8}" destId="{4C3EFA35-1E0E-422D-B0DC-F215C5FEE962}" srcOrd="0" destOrd="0" presId="urn:microsoft.com/office/officeart/2005/8/layout/cycle5"/>
    <dgm:cxn modelId="{3242102B-D463-4B11-8978-C44DD656AE6F}" type="presOf" srcId="{B73F127E-6260-4C64-8201-E4E8E0837ADB}" destId="{DC4A9507-55E7-4FB8-8A07-6C1DD35F27D6}" srcOrd="0" destOrd="0" presId="urn:microsoft.com/office/officeart/2005/8/layout/cycle5"/>
    <dgm:cxn modelId="{DFD026F3-7331-4DDE-A7F5-0FB976BA463F}" type="presOf" srcId="{6BAE1073-0DC8-47B5-B46A-86224F37C58E}" destId="{0EC070D1-F282-4ED7-B3C2-15E20C540724}" srcOrd="0" destOrd="0" presId="urn:microsoft.com/office/officeart/2005/8/layout/cycle5"/>
    <dgm:cxn modelId="{D64190B5-163F-4FEA-9D3E-966C66BAE23C}" type="presOf" srcId="{E9FCA264-9C38-4488-ADD4-165C6A503BEA}" destId="{4D8CE8AA-7583-415E-B6DC-10A937745B0E}" srcOrd="0" destOrd="0" presId="urn:microsoft.com/office/officeart/2005/8/layout/cycle5"/>
    <dgm:cxn modelId="{F6EB8D53-AFE8-4940-98EF-F88B2C10F124}" type="presOf" srcId="{4F7E1A22-E876-41FE-85CB-79764E1BD42D}" destId="{A6196DAF-10C3-46DE-A562-BA6427CDB826}" srcOrd="0" destOrd="0" presId="urn:microsoft.com/office/officeart/2005/8/layout/cycle5"/>
    <dgm:cxn modelId="{D8CBF8C0-175C-4FEC-A5D6-C662E841FCB0}" type="presOf" srcId="{F37A6801-E8CD-428B-B662-83F016E70C36}" destId="{32AC899D-B121-46EA-A027-25D5485EE5E9}" srcOrd="0" destOrd="0" presId="urn:microsoft.com/office/officeart/2005/8/layout/cycle5"/>
    <dgm:cxn modelId="{118CE8F3-52DD-48DC-B6F6-1658EB08B231}" srcId="{69B6DFCA-495A-4474-B95D-FD78A0BAB2A8}" destId="{E98C76F8-F10B-45F9-B5C2-0E80717A183B}" srcOrd="4" destOrd="0" parTransId="{B21B9605-AED0-4B76-950F-607358934EC9}" sibTransId="{DB40AC6F-332B-4694-9C23-CF37B20CA3BE}"/>
    <dgm:cxn modelId="{0009B121-CA9D-4E1C-BF22-AE50BB262496}" srcId="{69B6DFCA-495A-4474-B95D-FD78A0BAB2A8}" destId="{E9FCA264-9C38-4488-ADD4-165C6A503BEA}" srcOrd="0" destOrd="0" parTransId="{641D2F8F-53F3-4033-9A8F-FB40DB023BBA}" sibTransId="{B9D17A38-C453-434B-A571-A228AB3CFDBD}"/>
    <dgm:cxn modelId="{48CE1B4C-30BC-4AB2-B8F2-B56BA976469F}" type="presOf" srcId="{19397D4B-E0CA-4957-8CB2-D5773F9AD398}" destId="{AA208D6C-D0F8-4E29-B048-AC2BFA161B38}" srcOrd="0" destOrd="0" presId="urn:microsoft.com/office/officeart/2005/8/layout/cycle5"/>
    <dgm:cxn modelId="{A6E601D8-5C19-4435-9BF3-EFBA8F6ECEE2}" type="presParOf" srcId="{4C3EFA35-1E0E-422D-B0DC-F215C5FEE962}" destId="{4D8CE8AA-7583-415E-B6DC-10A937745B0E}" srcOrd="0" destOrd="0" presId="urn:microsoft.com/office/officeart/2005/8/layout/cycle5"/>
    <dgm:cxn modelId="{ADC6B7A4-D86F-4E05-8B41-05139724BB95}" type="presParOf" srcId="{4C3EFA35-1E0E-422D-B0DC-F215C5FEE962}" destId="{7BD6961D-818C-47E6-B228-31305BF3C27C}" srcOrd="1" destOrd="0" presId="urn:microsoft.com/office/officeart/2005/8/layout/cycle5"/>
    <dgm:cxn modelId="{E4A93CF0-263D-4ADD-92B8-BFC03479D934}" type="presParOf" srcId="{4C3EFA35-1E0E-422D-B0DC-F215C5FEE962}" destId="{8DACA5E1-B0C9-47D0-8BA0-30CE103C6E69}" srcOrd="2" destOrd="0" presId="urn:microsoft.com/office/officeart/2005/8/layout/cycle5"/>
    <dgm:cxn modelId="{BEF32FC4-BAC8-4350-A3E6-3B62164B374C}" type="presParOf" srcId="{4C3EFA35-1E0E-422D-B0DC-F215C5FEE962}" destId="{0EC070D1-F282-4ED7-B3C2-15E20C540724}" srcOrd="3" destOrd="0" presId="urn:microsoft.com/office/officeart/2005/8/layout/cycle5"/>
    <dgm:cxn modelId="{18AEF2C8-DFF2-4261-AD67-00E5C33C19D1}" type="presParOf" srcId="{4C3EFA35-1E0E-422D-B0DC-F215C5FEE962}" destId="{0FA2D1BB-17CE-497F-AC48-A162BC9C54AE}" srcOrd="4" destOrd="0" presId="urn:microsoft.com/office/officeart/2005/8/layout/cycle5"/>
    <dgm:cxn modelId="{C6620AE9-46D3-4AFA-B173-D660BA2E5656}" type="presParOf" srcId="{4C3EFA35-1E0E-422D-B0DC-F215C5FEE962}" destId="{AA208D6C-D0F8-4E29-B048-AC2BFA161B38}" srcOrd="5" destOrd="0" presId="urn:microsoft.com/office/officeart/2005/8/layout/cycle5"/>
    <dgm:cxn modelId="{F8901DAD-0248-480F-B0A9-60C602BFED6D}" type="presParOf" srcId="{4C3EFA35-1E0E-422D-B0DC-F215C5FEE962}" destId="{97CF4AA0-FD28-4139-AE75-27A0B7486019}" srcOrd="6" destOrd="0" presId="urn:microsoft.com/office/officeart/2005/8/layout/cycle5"/>
    <dgm:cxn modelId="{93B7F9DF-55CE-461A-9EF9-EC571E6904E1}" type="presParOf" srcId="{4C3EFA35-1E0E-422D-B0DC-F215C5FEE962}" destId="{75EA094E-D9E7-4FF7-BBAB-E012A9B8FE9C}" srcOrd="7" destOrd="0" presId="urn:microsoft.com/office/officeart/2005/8/layout/cycle5"/>
    <dgm:cxn modelId="{C717A16D-7B62-47A7-A708-0958B340CD34}" type="presParOf" srcId="{4C3EFA35-1E0E-422D-B0DC-F215C5FEE962}" destId="{DC4A9507-55E7-4FB8-8A07-6C1DD35F27D6}" srcOrd="8" destOrd="0" presId="urn:microsoft.com/office/officeart/2005/8/layout/cycle5"/>
    <dgm:cxn modelId="{45C77217-05A3-44B7-9221-82E5D16678C5}" type="presParOf" srcId="{4C3EFA35-1E0E-422D-B0DC-F215C5FEE962}" destId="{32AC899D-B121-46EA-A027-25D5485EE5E9}" srcOrd="9" destOrd="0" presId="urn:microsoft.com/office/officeart/2005/8/layout/cycle5"/>
    <dgm:cxn modelId="{44A65035-1B19-4A82-96FD-7C2E8DA4B64C}" type="presParOf" srcId="{4C3EFA35-1E0E-422D-B0DC-F215C5FEE962}" destId="{F3D43D41-6403-4A00-BAE8-CB8D8643CC82}" srcOrd="10" destOrd="0" presId="urn:microsoft.com/office/officeart/2005/8/layout/cycle5"/>
    <dgm:cxn modelId="{3D95536E-D889-41BF-AA54-9AD6527E570C}" type="presParOf" srcId="{4C3EFA35-1E0E-422D-B0DC-F215C5FEE962}" destId="{A6196DAF-10C3-46DE-A562-BA6427CDB826}" srcOrd="11" destOrd="0" presId="urn:microsoft.com/office/officeart/2005/8/layout/cycle5"/>
    <dgm:cxn modelId="{676CBE2D-1072-4BC1-8781-35D224A64C01}" type="presParOf" srcId="{4C3EFA35-1E0E-422D-B0DC-F215C5FEE962}" destId="{BEFFE525-B28D-4B7F-AD38-5CB2FC3CAAE1}" srcOrd="12" destOrd="0" presId="urn:microsoft.com/office/officeart/2005/8/layout/cycle5"/>
    <dgm:cxn modelId="{8CE7C915-F0F5-4EE6-8C31-8011DF77F498}" type="presParOf" srcId="{4C3EFA35-1E0E-422D-B0DC-F215C5FEE962}" destId="{72EC9C97-95FF-4780-8490-816F72AB6100}" srcOrd="13" destOrd="0" presId="urn:microsoft.com/office/officeart/2005/8/layout/cycle5"/>
    <dgm:cxn modelId="{3A13FB0A-2E85-442E-A13B-E82DBFF4D990}" type="presParOf" srcId="{4C3EFA35-1E0E-422D-B0DC-F215C5FEE962}" destId="{1F362F13-47E7-4B93-8551-3EFFA255E320}" srcOrd="14" destOrd="0" presId="urn:microsoft.com/office/officeart/2005/8/layout/cycle5"/>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C7652BD-45D4-48B1-9AA9-C0230097D06A}">
      <dsp:nvSpPr>
        <dsp:cNvPr id="0" name=""/>
        <dsp:cNvSpPr/>
      </dsp:nvSpPr>
      <dsp:spPr>
        <a:xfrm>
          <a:off x="2472384" y="1088279"/>
          <a:ext cx="166154" cy="1115696"/>
        </a:xfrm>
        <a:custGeom>
          <a:avLst/>
          <a:gdLst/>
          <a:ahLst/>
          <a:cxnLst/>
          <a:rect l="0" t="0" r="0" b="0"/>
          <a:pathLst>
            <a:path>
              <a:moveTo>
                <a:pt x="0" y="0"/>
              </a:moveTo>
              <a:lnTo>
                <a:pt x="0" y="1115696"/>
              </a:lnTo>
              <a:lnTo>
                <a:pt x="166154" y="1115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B173A-1859-4B0C-AB13-DC7F84169661}">
      <dsp:nvSpPr>
        <dsp:cNvPr id="0" name=""/>
        <dsp:cNvSpPr/>
      </dsp:nvSpPr>
      <dsp:spPr>
        <a:xfrm>
          <a:off x="2472384" y="1088279"/>
          <a:ext cx="166154" cy="438650"/>
        </a:xfrm>
        <a:custGeom>
          <a:avLst/>
          <a:gdLst/>
          <a:ahLst/>
          <a:cxnLst/>
          <a:rect l="0" t="0" r="0" b="0"/>
          <a:pathLst>
            <a:path>
              <a:moveTo>
                <a:pt x="0" y="0"/>
              </a:moveTo>
              <a:lnTo>
                <a:pt x="0" y="438650"/>
              </a:lnTo>
              <a:lnTo>
                <a:pt x="166154" y="438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A43322-DAC4-43E7-9933-40B547C1A159}">
      <dsp:nvSpPr>
        <dsp:cNvPr id="0" name=""/>
        <dsp:cNvSpPr/>
      </dsp:nvSpPr>
      <dsp:spPr>
        <a:xfrm>
          <a:off x="1761622" y="476793"/>
          <a:ext cx="1153840" cy="137667"/>
        </a:xfrm>
        <a:custGeom>
          <a:avLst/>
          <a:gdLst/>
          <a:ahLst/>
          <a:cxnLst/>
          <a:rect l="0" t="0" r="0" b="0"/>
          <a:pathLst>
            <a:path>
              <a:moveTo>
                <a:pt x="0" y="0"/>
              </a:moveTo>
              <a:lnTo>
                <a:pt x="0" y="37540"/>
              </a:lnTo>
              <a:lnTo>
                <a:pt x="1153840" y="37540"/>
              </a:lnTo>
              <a:lnTo>
                <a:pt x="1153840" y="137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800521-65CC-4A96-93C6-9CE57D343976}">
      <dsp:nvSpPr>
        <dsp:cNvPr id="0" name=""/>
        <dsp:cNvSpPr/>
      </dsp:nvSpPr>
      <dsp:spPr>
        <a:xfrm>
          <a:off x="1303132" y="1091254"/>
          <a:ext cx="143038" cy="1115696"/>
        </a:xfrm>
        <a:custGeom>
          <a:avLst/>
          <a:gdLst/>
          <a:ahLst/>
          <a:cxnLst/>
          <a:rect l="0" t="0" r="0" b="0"/>
          <a:pathLst>
            <a:path>
              <a:moveTo>
                <a:pt x="0" y="0"/>
              </a:moveTo>
              <a:lnTo>
                <a:pt x="0" y="1115696"/>
              </a:lnTo>
              <a:lnTo>
                <a:pt x="143038" y="11156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42025-C34C-42ED-8CF3-64139DD3C557}">
      <dsp:nvSpPr>
        <dsp:cNvPr id="0" name=""/>
        <dsp:cNvSpPr/>
      </dsp:nvSpPr>
      <dsp:spPr>
        <a:xfrm>
          <a:off x="1303132" y="1091254"/>
          <a:ext cx="143038" cy="438650"/>
        </a:xfrm>
        <a:custGeom>
          <a:avLst/>
          <a:gdLst/>
          <a:ahLst/>
          <a:cxnLst/>
          <a:rect l="0" t="0" r="0" b="0"/>
          <a:pathLst>
            <a:path>
              <a:moveTo>
                <a:pt x="0" y="0"/>
              </a:moveTo>
              <a:lnTo>
                <a:pt x="0" y="438650"/>
              </a:lnTo>
              <a:lnTo>
                <a:pt x="143038" y="43865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7431E-99C0-4147-AAF9-4E313BAB0637}">
      <dsp:nvSpPr>
        <dsp:cNvPr id="0" name=""/>
        <dsp:cNvSpPr/>
      </dsp:nvSpPr>
      <dsp:spPr>
        <a:xfrm>
          <a:off x="1638847" y="476793"/>
          <a:ext cx="91440" cy="137667"/>
        </a:xfrm>
        <a:custGeom>
          <a:avLst/>
          <a:gdLst/>
          <a:ahLst/>
          <a:cxnLst/>
          <a:rect l="0" t="0" r="0" b="0"/>
          <a:pathLst>
            <a:path>
              <a:moveTo>
                <a:pt x="122774" y="0"/>
              </a:moveTo>
              <a:lnTo>
                <a:pt x="122774" y="37540"/>
              </a:lnTo>
              <a:lnTo>
                <a:pt x="45720" y="37540"/>
              </a:lnTo>
              <a:lnTo>
                <a:pt x="45720" y="137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E7E050-95A4-4961-BF1E-4E44EEFB30BE}">
      <dsp:nvSpPr>
        <dsp:cNvPr id="0" name=""/>
        <dsp:cNvSpPr/>
      </dsp:nvSpPr>
      <dsp:spPr>
        <a:xfrm>
          <a:off x="149292" y="1091254"/>
          <a:ext cx="143038" cy="1989082"/>
        </a:xfrm>
        <a:custGeom>
          <a:avLst/>
          <a:gdLst/>
          <a:ahLst/>
          <a:cxnLst/>
          <a:rect l="0" t="0" r="0" b="0"/>
          <a:pathLst>
            <a:path>
              <a:moveTo>
                <a:pt x="0" y="0"/>
              </a:moveTo>
              <a:lnTo>
                <a:pt x="0" y="1989082"/>
              </a:lnTo>
              <a:lnTo>
                <a:pt x="143038" y="19890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40344C-6162-4A88-8578-235CF3CAA5C0}">
      <dsp:nvSpPr>
        <dsp:cNvPr id="0" name=""/>
        <dsp:cNvSpPr/>
      </dsp:nvSpPr>
      <dsp:spPr>
        <a:xfrm>
          <a:off x="149292" y="1091254"/>
          <a:ext cx="143038" cy="1262055"/>
        </a:xfrm>
        <a:custGeom>
          <a:avLst/>
          <a:gdLst/>
          <a:ahLst/>
          <a:cxnLst/>
          <a:rect l="0" t="0" r="0" b="0"/>
          <a:pathLst>
            <a:path>
              <a:moveTo>
                <a:pt x="0" y="0"/>
              </a:moveTo>
              <a:lnTo>
                <a:pt x="0" y="1262055"/>
              </a:lnTo>
              <a:lnTo>
                <a:pt x="143038" y="12620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379464-28DB-437A-A923-B1C298E0885A}">
      <dsp:nvSpPr>
        <dsp:cNvPr id="0" name=""/>
        <dsp:cNvSpPr/>
      </dsp:nvSpPr>
      <dsp:spPr>
        <a:xfrm>
          <a:off x="149292" y="1091254"/>
          <a:ext cx="143038" cy="486837"/>
        </a:xfrm>
        <a:custGeom>
          <a:avLst/>
          <a:gdLst/>
          <a:ahLst/>
          <a:cxnLst/>
          <a:rect l="0" t="0" r="0" b="0"/>
          <a:pathLst>
            <a:path>
              <a:moveTo>
                <a:pt x="0" y="0"/>
              </a:moveTo>
              <a:lnTo>
                <a:pt x="0" y="486837"/>
              </a:lnTo>
              <a:lnTo>
                <a:pt x="143038" y="48683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39FB87-E954-4168-AFA0-C7B200EE7E4F}">
      <dsp:nvSpPr>
        <dsp:cNvPr id="0" name=""/>
        <dsp:cNvSpPr/>
      </dsp:nvSpPr>
      <dsp:spPr>
        <a:xfrm>
          <a:off x="530727" y="476793"/>
          <a:ext cx="1230895" cy="137667"/>
        </a:xfrm>
        <a:custGeom>
          <a:avLst/>
          <a:gdLst/>
          <a:ahLst/>
          <a:cxnLst/>
          <a:rect l="0" t="0" r="0" b="0"/>
          <a:pathLst>
            <a:path>
              <a:moveTo>
                <a:pt x="1230895" y="0"/>
              </a:moveTo>
              <a:lnTo>
                <a:pt x="1230895" y="37540"/>
              </a:lnTo>
              <a:lnTo>
                <a:pt x="0" y="37540"/>
              </a:lnTo>
              <a:lnTo>
                <a:pt x="0" y="1376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6D0C7D-8BCF-4AED-9811-290BE7B24C60}">
      <dsp:nvSpPr>
        <dsp:cNvPr id="0" name=""/>
        <dsp:cNvSpPr/>
      </dsp:nvSpPr>
      <dsp:spPr>
        <a:xfrm>
          <a:off x="4134823" y="476793"/>
          <a:ext cx="613046" cy="1517641"/>
        </a:xfrm>
        <a:custGeom>
          <a:avLst/>
          <a:gdLst/>
          <a:ahLst/>
          <a:cxnLst/>
          <a:rect l="0" t="0" r="0" b="0"/>
          <a:pathLst>
            <a:path>
              <a:moveTo>
                <a:pt x="0" y="0"/>
              </a:moveTo>
              <a:lnTo>
                <a:pt x="0" y="1417515"/>
              </a:lnTo>
              <a:lnTo>
                <a:pt x="613046" y="1417515"/>
              </a:lnTo>
              <a:lnTo>
                <a:pt x="613046" y="15176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C91B7D-575D-426C-9E35-46835D61A535}">
      <dsp:nvSpPr>
        <dsp:cNvPr id="0" name=""/>
        <dsp:cNvSpPr/>
      </dsp:nvSpPr>
      <dsp:spPr>
        <a:xfrm>
          <a:off x="4134823" y="476793"/>
          <a:ext cx="586379" cy="818652"/>
        </a:xfrm>
        <a:custGeom>
          <a:avLst/>
          <a:gdLst/>
          <a:ahLst/>
          <a:cxnLst/>
          <a:rect l="0" t="0" r="0" b="0"/>
          <a:pathLst>
            <a:path>
              <a:moveTo>
                <a:pt x="0" y="0"/>
              </a:moveTo>
              <a:lnTo>
                <a:pt x="0" y="718526"/>
              </a:lnTo>
              <a:lnTo>
                <a:pt x="586379" y="718526"/>
              </a:lnTo>
              <a:lnTo>
                <a:pt x="586379" y="818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8E971C-D575-4A19-8CD9-22419C2247B9}">
      <dsp:nvSpPr>
        <dsp:cNvPr id="0" name=""/>
        <dsp:cNvSpPr/>
      </dsp:nvSpPr>
      <dsp:spPr>
        <a:xfrm>
          <a:off x="3658030" y="0"/>
          <a:ext cx="953587" cy="476793"/>
        </a:xfrm>
        <a:prstGeom prst="rect">
          <a:avLst/>
        </a:prstGeom>
        <a:solidFill>
          <a:schemeClr val="tx2">
            <a:lumMod val="40000"/>
            <a:lumOff val="60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dirty="0">
              <a:solidFill>
                <a:schemeClr val="tx1"/>
              </a:solidFill>
              <a:latin typeface="Georgia" pitchFamily="18" charset="0"/>
            </a:rPr>
            <a:t>Muu avalik sektor</a:t>
          </a:r>
        </a:p>
      </dsp:txBody>
      <dsp:txXfrm>
        <a:off x="3658030" y="0"/>
        <a:ext cx="953587" cy="476793"/>
      </dsp:txXfrm>
    </dsp:sp>
    <dsp:sp modelId="{689D60D1-E989-4B60-BF18-A2887A3D99F8}">
      <dsp:nvSpPr>
        <dsp:cNvPr id="0" name=""/>
        <dsp:cNvSpPr/>
      </dsp:nvSpPr>
      <dsp:spPr>
        <a:xfrm>
          <a:off x="4246570" y="1295446"/>
          <a:ext cx="949267" cy="544278"/>
        </a:xfrm>
        <a:prstGeom prst="rect">
          <a:avLst/>
        </a:prstGeom>
        <a:solidFill>
          <a:schemeClr val="bg1">
            <a:lumMod val="7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smtClean="0">
              <a:solidFill>
                <a:schemeClr val="tx1"/>
              </a:solidFill>
              <a:latin typeface="Georgia" pitchFamily="18" charset="0"/>
            </a:rPr>
            <a:t>Enamik SA, MTÜ, ÄÜ </a:t>
          </a:r>
        </a:p>
        <a:p>
          <a:pPr lvl="0" algn="ctr" defTabSz="488950">
            <a:lnSpc>
              <a:spcPct val="90000"/>
            </a:lnSpc>
            <a:spcBef>
              <a:spcPct val="0"/>
            </a:spcBef>
            <a:spcAft>
              <a:spcPct val="35000"/>
            </a:spcAft>
          </a:pPr>
          <a:r>
            <a:rPr lang="et-EE" sz="1100" b="1" kern="1200" dirty="0" smtClean="0">
              <a:solidFill>
                <a:schemeClr val="tx1"/>
              </a:solidFill>
              <a:latin typeface="Georgia" pitchFamily="18" charset="0"/>
            </a:rPr>
            <a:t>(sh RMK)</a:t>
          </a:r>
          <a:endParaRPr lang="et-EE" sz="1100" b="1" kern="1200" dirty="0">
            <a:solidFill>
              <a:schemeClr val="tx1"/>
            </a:solidFill>
            <a:latin typeface="Georgia" pitchFamily="18" charset="0"/>
          </a:endParaRPr>
        </a:p>
      </dsp:txBody>
      <dsp:txXfrm>
        <a:off x="4246570" y="1295446"/>
        <a:ext cx="949267" cy="544278"/>
      </dsp:txXfrm>
    </dsp:sp>
    <dsp:sp modelId="{40C1C365-DBD6-406D-9007-077A98267B94}">
      <dsp:nvSpPr>
        <dsp:cNvPr id="0" name=""/>
        <dsp:cNvSpPr/>
      </dsp:nvSpPr>
      <dsp:spPr>
        <a:xfrm>
          <a:off x="4271077" y="1994435"/>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smtClean="0">
              <a:solidFill>
                <a:schemeClr val="tx1"/>
              </a:solidFill>
              <a:latin typeface="Georgia" pitchFamily="18" charset="0"/>
            </a:rPr>
            <a:t>AÕJI</a:t>
          </a:r>
          <a:endParaRPr lang="et-EE" sz="1100" kern="1200" dirty="0">
            <a:solidFill>
              <a:schemeClr val="tx1"/>
            </a:solidFill>
            <a:latin typeface="Georgia" pitchFamily="18" charset="0"/>
          </a:endParaRPr>
        </a:p>
      </dsp:txBody>
      <dsp:txXfrm>
        <a:off x="4271077" y="1994435"/>
        <a:ext cx="953587" cy="476793"/>
      </dsp:txXfrm>
    </dsp:sp>
    <dsp:sp modelId="{ED54B31F-65FE-47C4-9FAE-5F9507AB95C3}">
      <dsp:nvSpPr>
        <dsp:cNvPr id="0" name=""/>
        <dsp:cNvSpPr/>
      </dsp:nvSpPr>
      <dsp:spPr>
        <a:xfrm>
          <a:off x="1284828" y="0"/>
          <a:ext cx="953587" cy="476793"/>
        </a:xfrm>
        <a:prstGeom prst="rect">
          <a:avLst/>
        </a:prstGeom>
        <a:solidFill>
          <a:schemeClr val="tx2">
            <a:lumMod val="40000"/>
            <a:lumOff val="60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t-EE" sz="1400" kern="1200" dirty="0">
              <a:solidFill>
                <a:schemeClr val="tx1"/>
              </a:solidFill>
              <a:latin typeface="Georgia" pitchFamily="18" charset="0"/>
            </a:rPr>
            <a:t>Valitsus-sektor</a:t>
          </a:r>
        </a:p>
      </dsp:txBody>
      <dsp:txXfrm>
        <a:off x="1284828" y="0"/>
        <a:ext cx="953587" cy="476793"/>
      </dsp:txXfrm>
    </dsp:sp>
    <dsp:sp modelId="{F9B87371-086C-478E-A620-32ACAEAF88C0}">
      <dsp:nvSpPr>
        <dsp:cNvPr id="0" name=""/>
        <dsp:cNvSpPr/>
      </dsp:nvSpPr>
      <dsp:spPr>
        <a:xfrm>
          <a:off x="53933" y="614461"/>
          <a:ext cx="953587" cy="476793"/>
        </a:xfrm>
        <a:prstGeom prst="rect">
          <a:avLst/>
        </a:prstGeom>
        <a:solidFill>
          <a:schemeClr val="tx2">
            <a:lumMod val="40000"/>
            <a:lumOff val="6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Keskvalitsus</a:t>
          </a:r>
        </a:p>
      </dsp:txBody>
      <dsp:txXfrm>
        <a:off x="53933" y="614461"/>
        <a:ext cx="953587" cy="476793"/>
      </dsp:txXfrm>
    </dsp:sp>
    <dsp:sp modelId="{D4F63E67-43DC-4DEC-9306-C410CFC6ED9B}">
      <dsp:nvSpPr>
        <dsp:cNvPr id="0" name=""/>
        <dsp:cNvSpPr/>
      </dsp:nvSpPr>
      <dsp:spPr>
        <a:xfrm>
          <a:off x="292330" y="1291507"/>
          <a:ext cx="941104" cy="573167"/>
        </a:xfrm>
        <a:prstGeom prst="rect">
          <a:avLst/>
        </a:prstGeom>
        <a:solidFill>
          <a:schemeClr val="tx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b="1" kern="1200" dirty="0" smtClean="0">
              <a:latin typeface="Georgia" pitchFamily="18" charset="0"/>
            </a:rPr>
            <a:t>Riigiasutused (r</a:t>
          </a:r>
          <a:r>
            <a:rPr lang="et-EE" sz="1000" kern="1200" dirty="0" smtClean="0">
              <a:latin typeface="Georgia" pitchFamily="18" charset="0"/>
            </a:rPr>
            <a:t>iigieelarvelised asutused)</a:t>
          </a:r>
          <a:endParaRPr lang="et-EE" sz="1000" kern="1200" dirty="0">
            <a:latin typeface="Georgia" pitchFamily="18" charset="0"/>
          </a:endParaRPr>
        </a:p>
      </dsp:txBody>
      <dsp:txXfrm>
        <a:off x="292330" y="1291507"/>
        <a:ext cx="941104" cy="573167"/>
      </dsp:txXfrm>
    </dsp:sp>
    <dsp:sp modelId="{B6B29282-2556-4CB6-8E64-EF3CA92F957F}">
      <dsp:nvSpPr>
        <dsp:cNvPr id="0" name=""/>
        <dsp:cNvSpPr/>
      </dsp:nvSpPr>
      <dsp:spPr>
        <a:xfrm>
          <a:off x="292330" y="2064929"/>
          <a:ext cx="941104" cy="576762"/>
        </a:xfrm>
        <a:prstGeom prst="rect">
          <a:avLst/>
        </a:prstGeom>
        <a:solidFill>
          <a:schemeClr val="bg1">
            <a:lumMod val="7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t-EE" sz="1050" kern="1200" dirty="0" smtClean="0">
              <a:solidFill>
                <a:schemeClr val="tx1"/>
              </a:solidFill>
              <a:latin typeface="Georgia" pitchFamily="18" charset="0"/>
            </a:rPr>
            <a:t>Riigi SA, </a:t>
          </a:r>
        </a:p>
        <a:p>
          <a:pPr lvl="0" algn="ctr" defTabSz="466725">
            <a:lnSpc>
              <a:spcPct val="90000"/>
            </a:lnSpc>
            <a:spcBef>
              <a:spcPct val="0"/>
            </a:spcBef>
            <a:spcAft>
              <a:spcPct val="35000"/>
            </a:spcAft>
          </a:pPr>
          <a:r>
            <a:rPr lang="et-EE" sz="1050" kern="1200" dirty="0" smtClean="0">
              <a:solidFill>
                <a:schemeClr val="tx1"/>
              </a:solidFill>
              <a:latin typeface="Georgia" pitchFamily="18" charset="0"/>
            </a:rPr>
            <a:t>MTÜ, ÄÜ</a:t>
          </a:r>
          <a:r>
            <a:rPr lang="et-EE" sz="1050" b="1" kern="1200" dirty="0" smtClean="0">
              <a:solidFill>
                <a:schemeClr val="tx1"/>
              </a:solidFill>
              <a:latin typeface="Georgia" pitchFamily="18" charset="0"/>
            </a:rPr>
            <a:t> </a:t>
          </a:r>
        </a:p>
        <a:p>
          <a:pPr lvl="0" algn="ctr" defTabSz="466725">
            <a:lnSpc>
              <a:spcPct val="90000"/>
            </a:lnSpc>
            <a:spcBef>
              <a:spcPct val="0"/>
            </a:spcBef>
            <a:spcAft>
              <a:spcPct val="35000"/>
            </a:spcAft>
          </a:pPr>
          <a:r>
            <a:rPr lang="et-EE" sz="1050" b="1" kern="1200" dirty="0" smtClean="0">
              <a:solidFill>
                <a:schemeClr val="tx1"/>
              </a:solidFill>
              <a:latin typeface="Georgia" pitchFamily="18" charset="0"/>
            </a:rPr>
            <a:t>(sh RKAS)</a:t>
          </a:r>
          <a:endParaRPr lang="et-EE" sz="1050" b="1" kern="1200" dirty="0">
            <a:solidFill>
              <a:schemeClr val="tx1"/>
            </a:solidFill>
            <a:latin typeface="Georgia" pitchFamily="18" charset="0"/>
          </a:endParaRPr>
        </a:p>
      </dsp:txBody>
      <dsp:txXfrm>
        <a:off x="292330" y="2064929"/>
        <a:ext cx="941104" cy="576762"/>
      </dsp:txXfrm>
    </dsp:sp>
    <dsp:sp modelId="{CFE37665-E856-4F21-ADFF-166AD2666A9C}">
      <dsp:nvSpPr>
        <dsp:cNvPr id="0" name=""/>
        <dsp:cNvSpPr/>
      </dsp:nvSpPr>
      <dsp:spPr>
        <a:xfrm>
          <a:off x="292330" y="2841940"/>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dirty="0" smtClean="0">
              <a:solidFill>
                <a:schemeClr val="tx1"/>
              </a:solidFill>
              <a:latin typeface="Georgia" pitchFamily="18" charset="0"/>
            </a:rPr>
            <a:t>AÕJI</a:t>
          </a:r>
          <a:endParaRPr lang="et-EE" sz="1000" kern="1200" dirty="0">
            <a:solidFill>
              <a:schemeClr val="tx1"/>
            </a:solidFill>
            <a:latin typeface="Georgia" pitchFamily="18" charset="0"/>
          </a:endParaRPr>
        </a:p>
      </dsp:txBody>
      <dsp:txXfrm>
        <a:off x="292330" y="2841940"/>
        <a:ext cx="953587" cy="476793"/>
      </dsp:txXfrm>
    </dsp:sp>
    <dsp:sp modelId="{6E9DFFEC-D5B9-49A1-85C5-CFD17A38CFE8}">
      <dsp:nvSpPr>
        <dsp:cNvPr id="0" name=""/>
        <dsp:cNvSpPr/>
      </dsp:nvSpPr>
      <dsp:spPr>
        <a:xfrm>
          <a:off x="1207773" y="614461"/>
          <a:ext cx="953587" cy="476793"/>
        </a:xfrm>
        <a:prstGeom prst="rect">
          <a:avLst/>
        </a:prstGeom>
        <a:solidFill>
          <a:schemeClr val="tx2">
            <a:lumMod val="40000"/>
            <a:lumOff val="6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KOV</a:t>
          </a:r>
        </a:p>
      </dsp:txBody>
      <dsp:txXfrm>
        <a:off x="1207773" y="614461"/>
        <a:ext cx="953587" cy="476793"/>
      </dsp:txXfrm>
    </dsp:sp>
    <dsp:sp modelId="{93063C6F-F58D-48BC-A1FB-83807B07AB07}">
      <dsp:nvSpPr>
        <dsp:cNvPr id="0" name=""/>
        <dsp:cNvSpPr/>
      </dsp:nvSpPr>
      <dsp:spPr>
        <a:xfrm>
          <a:off x="1446170" y="1291507"/>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Linna- ja vallaasutused</a:t>
          </a:r>
        </a:p>
      </dsp:txBody>
      <dsp:txXfrm>
        <a:off x="1446170" y="1291507"/>
        <a:ext cx="953587" cy="476793"/>
      </dsp:txXfrm>
    </dsp:sp>
    <dsp:sp modelId="{327CF5F6-ADDC-47E4-AE26-21669AE0294B}">
      <dsp:nvSpPr>
        <dsp:cNvPr id="0" name=""/>
        <dsp:cNvSpPr/>
      </dsp:nvSpPr>
      <dsp:spPr>
        <a:xfrm>
          <a:off x="1446170" y="1968554"/>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KOV-ide </a:t>
          </a:r>
          <a:r>
            <a:rPr lang="et-EE" sz="1100" kern="1200" dirty="0" smtClean="0">
              <a:solidFill>
                <a:schemeClr val="tx1"/>
              </a:solidFill>
              <a:latin typeface="Georgia" pitchFamily="18" charset="0"/>
            </a:rPr>
            <a:t>SA,  </a:t>
          </a:r>
        </a:p>
        <a:p>
          <a:pPr lvl="0" algn="ctr" defTabSz="488950">
            <a:lnSpc>
              <a:spcPct val="90000"/>
            </a:lnSpc>
            <a:spcBef>
              <a:spcPct val="0"/>
            </a:spcBef>
            <a:spcAft>
              <a:spcPct val="35000"/>
            </a:spcAft>
          </a:pPr>
          <a:r>
            <a:rPr lang="et-EE" sz="1100" kern="1200" dirty="0" smtClean="0">
              <a:solidFill>
                <a:schemeClr val="tx1"/>
              </a:solidFill>
              <a:latin typeface="Georgia" pitchFamily="18" charset="0"/>
            </a:rPr>
            <a:t>MTÜ,  ÄÜ</a:t>
          </a:r>
          <a:endParaRPr lang="et-EE" sz="1100" kern="1200" dirty="0">
            <a:solidFill>
              <a:schemeClr val="tx1"/>
            </a:solidFill>
            <a:latin typeface="Georgia" pitchFamily="18" charset="0"/>
          </a:endParaRPr>
        </a:p>
      </dsp:txBody>
      <dsp:txXfrm>
        <a:off x="1446170" y="1968554"/>
        <a:ext cx="953587" cy="476793"/>
      </dsp:txXfrm>
    </dsp:sp>
    <dsp:sp modelId="{9C118363-9351-4A9A-A947-48301DC475AA}">
      <dsp:nvSpPr>
        <dsp:cNvPr id="0" name=""/>
        <dsp:cNvSpPr/>
      </dsp:nvSpPr>
      <dsp:spPr>
        <a:xfrm>
          <a:off x="2361614" y="614461"/>
          <a:ext cx="1107696" cy="473818"/>
        </a:xfrm>
        <a:prstGeom prst="rect">
          <a:avLst/>
        </a:prstGeom>
        <a:solidFill>
          <a:schemeClr val="tx2">
            <a:lumMod val="40000"/>
            <a:lumOff val="6000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t-EE" sz="1000" kern="1200" dirty="0" smtClean="0">
              <a:solidFill>
                <a:schemeClr val="tx1"/>
              </a:solidFill>
              <a:latin typeface="Georgia" pitchFamily="18" charset="0"/>
            </a:rPr>
            <a:t>Sotsiaalkindlustus-fondid</a:t>
          </a:r>
          <a:endParaRPr lang="et-EE" sz="1000" kern="1200" dirty="0">
            <a:solidFill>
              <a:schemeClr val="tx1"/>
            </a:solidFill>
            <a:latin typeface="Georgia" pitchFamily="18" charset="0"/>
          </a:endParaRPr>
        </a:p>
      </dsp:txBody>
      <dsp:txXfrm>
        <a:off x="2361614" y="614461"/>
        <a:ext cx="1107696" cy="473818"/>
      </dsp:txXfrm>
    </dsp:sp>
    <dsp:sp modelId="{335E1875-E279-4B6B-B114-CBAECC33F948}">
      <dsp:nvSpPr>
        <dsp:cNvPr id="0" name=""/>
        <dsp:cNvSpPr/>
      </dsp:nvSpPr>
      <dsp:spPr>
        <a:xfrm>
          <a:off x="2638538" y="1288532"/>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Haigekassa</a:t>
          </a:r>
        </a:p>
      </dsp:txBody>
      <dsp:txXfrm>
        <a:off x="2638538" y="1288532"/>
        <a:ext cx="953587" cy="476793"/>
      </dsp:txXfrm>
    </dsp:sp>
    <dsp:sp modelId="{85B66C5C-AF7A-41AE-A394-A961556BC82E}">
      <dsp:nvSpPr>
        <dsp:cNvPr id="0" name=""/>
        <dsp:cNvSpPr/>
      </dsp:nvSpPr>
      <dsp:spPr>
        <a:xfrm>
          <a:off x="2638538" y="1965579"/>
          <a:ext cx="953587" cy="476793"/>
        </a:xfrm>
        <a:prstGeom prst="rect">
          <a:avLst/>
        </a:prstGeom>
        <a:solidFill>
          <a:schemeClr val="bg1">
            <a:lumMod val="9500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t-EE" sz="1100" kern="1200" dirty="0">
              <a:solidFill>
                <a:schemeClr val="tx1"/>
              </a:solidFill>
              <a:latin typeface="Georgia" pitchFamily="18" charset="0"/>
            </a:rPr>
            <a:t>Töötukassa</a:t>
          </a:r>
        </a:p>
      </dsp:txBody>
      <dsp:txXfrm>
        <a:off x="2638538" y="1965579"/>
        <a:ext cx="953587" cy="47679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D8CE8AA-7583-415E-B6DC-10A937745B0E}">
      <dsp:nvSpPr>
        <dsp:cNvPr id="0" name=""/>
        <dsp:cNvSpPr/>
      </dsp:nvSpPr>
      <dsp:spPr>
        <a:xfrm>
          <a:off x="1000813" y="83746"/>
          <a:ext cx="809986" cy="5264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b="1" kern="1200">
              <a:latin typeface="Georgia" pitchFamily="18" charset="0"/>
            </a:rPr>
            <a:t>Mõõdikute defineerimine</a:t>
          </a:r>
        </a:p>
      </dsp:txBody>
      <dsp:txXfrm>
        <a:off x="1000813" y="83746"/>
        <a:ext cx="809986" cy="526491"/>
      </dsp:txXfrm>
    </dsp:sp>
    <dsp:sp modelId="{8DACA5E1-B0C9-47D0-8BA0-30CE103C6E69}">
      <dsp:nvSpPr>
        <dsp:cNvPr id="0" name=""/>
        <dsp:cNvSpPr/>
      </dsp:nvSpPr>
      <dsp:spPr>
        <a:xfrm>
          <a:off x="353834" y="346991"/>
          <a:ext cx="2103945" cy="2103945"/>
        </a:xfrm>
        <a:custGeom>
          <a:avLst/>
          <a:gdLst/>
          <a:ahLst/>
          <a:cxnLst/>
          <a:rect l="0" t="0" r="0" b="0"/>
          <a:pathLst>
            <a:path>
              <a:moveTo>
                <a:pt x="1565501" y="133857"/>
              </a:moveTo>
              <a:arcTo wR="1051972" hR="1051972" stAng="17953173" swAng="12119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EC070D1-F282-4ED7-B3C2-15E20C540724}">
      <dsp:nvSpPr>
        <dsp:cNvPr id="0" name=""/>
        <dsp:cNvSpPr/>
      </dsp:nvSpPr>
      <dsp:spPr>
        <a:xfrm>
          <a:off x="2001299" y="810641"/>
          <a:ext cx="809986" cy="5264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b="1" kern="1200">
              <a:latin typeface="Georgia" pitchFamily="18" charset="0"/>
            </a:rPr>
            <a:t>Andmete kogumine</a:t>
          </a:r>
        </a:p>
      </dsp:txBody>
      <dsp:txXfrm>
        <a:off x="2001299" y="810641"/>
        <a:ext cx="809986" cy="526491"/>
      </dsp:txXfrm>
    </dsp:sp>
    <dsp:sp modelId="{AA208D6C-D0F8-4E29-B048-AC2BFA161B38}">
      <dsp:nvSpPr>
        <dsp:cNvPr id="0" name=""/>
        <dsp:cNvSpPr/>
      </dsp:nvSpPr>
      <dsp:spPr>
        <a:xfrm>
          <a:off x="353834" y="346991"/>
          <a:ext cx="2103945" cy="2103945"/>
        </a:xfrm>
        <a:custGeom>
          <a:avLst/>
          <a:gdLst/>
          <a:ahLst/>
          <a:cxnLst/>
          <a:rect l="0" t="0" r="0" b="0"/>
          <a:pathLst>
            <a:path>
              <a:moveTo>
                <a:pt x="2101425" y="1124751"/>
              </a:moveTo>
              <a:arcTo wR="1051972" hR="1051972" stAng="21838025" swAng="13600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7CF4AA0-FD28-4139-AE75-27A0B7486019}">
      <dsp:nvSpPr>
        <dsp:cNvPr id="0" name=""/>
        <dsp:cNvSpPr/>
      </dsp:nvSpPr>
      <dsp:spPr>
        <a:xfrm>
          <a:off x="1619147" y="1986782"/>
          <a:ext cx="809986" cy="5264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b="1" kern="1200">
              <a:latin typeface="Georgia" pitchFamily="18" charset="0"/>
            </a:rPr>
            <a:t>Andmete analüüs</a:t>
          </a:r>
        </a:p>
      </dsp:txBody>
      <dsp:txXfrm>
        <a:off x="1619147" y="1986782"/>
        <a:ext cx="809986" cy="526491"/>
      </dsp:txXfrm>
    </dsp:sp>
    <dsp:sp modelId="{DC4A9507-55E7-4FB8-8A07-6C1DD35F27D6}">
      <dsp:nvSpPr>
        <dsp:cNvPr id="0" name=""/>
        <dsp:cNvSpPr/>
      </dsp:nvSpPr>
      <dsp:spPr>
        <a:xfrm>
          <a:off x="353834" y="346991"/>
          <a:ext cx="2103945" cy="2103945"/>
        </a:xfrm>
        <a:custGeom>
          <a:avLst/>
          <a:gdLst/>
          <a:ahLst/>
          <a:cxnLst/>
          <a:rect l="0" t="0" r="0" b="0"/>
          <a:pathLst>
            <a:path>
              <a:moveTo>
                <a:pt x="1181140" y="2095985"/>
              </a:moveTo>
              <a:arcTo wR="1051972" hR="1051972" stAng="4976824" swAng="84635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2AC899D-B121-46EA-A027-25D5485EE5E9}">
      <dsp:nvSpPr>
        <dsp:cNvPr id="0" name=""/>
        <dsp:cNvSpPr/>
      </dsp:nvSpPr>
      <dsp:spPr>
        <a:xfrm>
          <a:off x="382479" y="1986782"/>
          <a:ext cx="809986" cy="5264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b="1" kern="1200">
              <a:latin typeface="Georgia" pitchFamily="18" charset="0"/>
            </a:rPr>
            <a:t>Juhtimis-otsused</a:t>
          </a:r>
        </a:p>
      </dsp:txBody>
      <dsp:txXfrm>
        <a:off x="382479" y="1986782"/>
        <a:ext cx="809986" cy="526491"/>
      </dsp:txXfrm>
    </dsp:sp>
    <dsp:sp modelId="{A6196DAF-10C3-46DE-A562-BA6427CDB826}">
      <dsp:nvSpPr>
        <dsp:cNvPr id="0" name=""/>
        <dsp:cNvSpPr/>
      </dsp:nvSpPr>
      <dsp:spPr>
        <a:xfrm>
          <a:off x="353834" y="346991"/>
          <a:ext cx="2103945" cy="2103945"/>
        </a:xfrm>
        <a:custGeom>
          <a:avLst/>
          <a:gdLst/>
          <a:ahLst/>
          <a:cxnLst/>
          <a:rect l="0" t="0" r="0" b="0"/>
          <a:pathLst>
            <a:path>
              <a:moveTo>
                <a:pt x="111631" y="1523570"/>
              </a:moveTo>
              <a:arcTo wR="1051972" hR="1051972" stAng="9201927" swAng="136004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EFFE525-B28D-4B7F-AD38-5CB2FC3CAAE1}">
      <dsp:nvSpPr>
        <dsp:cNvPr id="0" name=""/>
        <dsp:cNvSpPr/>
      </dsp:nvSpPr>
      <dsp:spPr>
        <a:xfrm>
          <a:off x="328" y="810641"/>
          <a:ext cx="809986" cy="52649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t-EE" sz="700" b="1" kern="1200">
              <a:latin typeface="Georgia" pitchFamily="18" charset="0"/>
            </a:rPr>
            <a:t>Otsuste mõju jälgimine</a:t>
          </a:r>
        </a:p>
      </dsp:txBody>
      <dsp:txXfrm>
        <a:off x="328" y="810641"/>
        <a:ext cx="809986" cy="526491"/>
      </dsp:txXfrm>
    </dsp:sp>
    <dsp:sp modelId="{1F362F13-47E7-4B93-8551-3EFFA255E320}">
      <dsp:nvSpPr>
        <dsp:cNvPr id="0" name=""/>
        <dsp:cNvSpPr/>
      </dsp:nvSpPr>
      <dsp:spPr>
        <a:xfrm>
          <a:off x="353834" y="346991"/>
          <a:ext cx="2103945" cy="2103945"/>
        </a:xfrm>
        <a:custGeom>
          <a:avLst/>
          <a:gdLst/>
          <a:ahLst/>
          <a:cxnLst/>
          <a:rect l="0" t="0" r="0" b="0"/>
          <a:pathLst>
            <a:path>
              <a:moveTo>
                <a:pt x="253015" y="367638"/>
              </a:moveTo>
              <a:arcTo wR="1051972" hR="1051972" stAng="13234872" swAng="121195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0.32384</cdr:x>
      <cdr:y>0</cdr:y>
    </cdr:from>
    <cdr:to>
      <cdr:x>1</cdr:x>
      <cdr:y>0.11112</cdr:y>
    </cdr:to>
    <cdr:sp macro="" textlink="">
      <cdr:nvSpPr>
        <cdr:cNvPr id="2" name="TextBox 1"/>
        <cdr:cNvSpPr txBox="1"/>
      </cdr:nvSpPr>
      <cdr:spPr>
        <a:xfrm xmlns:a="http://schemas.openxmlformats.org/drawingml/2006/main">
          <a:off x="1067845" y="0"/>
          <a:ext cx="2218804" cy="2516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t-EE" sz="1000"/>
            <a:t>Kogu riigi portfell 2 186 287 m²</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158A8C-FAFF-4703-963C-6FA4A78FD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52294</Words>
  <Characters>303306</Characters>
  <Application>Microsoft Office Word</Application>
  <DocSecurity>0</DocSecurity>
  <Lines>2527</Lines>
  <Paragraphs>709</Paragraphs>
  <ScaleCrop>false</ScaleCrop>
  <HeadingPairs>
    <vt:vector size="2" baseType="variant">
      <vt:variant>
        <vt:lpstr>Title</vt:lpstr>
      </vt:variant>
      <vt:variant>
        <vt:i4>1</vt:i4>
      </vt:variant>
    </vt:vector>
  </HeadingPairs>
  <TitlesOfParts>
    <vt:vector size="1" baseType="lpstr">
      <vt:lpstr/>
    </vt:vector>
  </TitlesOfParts>
  <Company>Rahandusministeerium</Company>
  <LinksUpToDate>false</LinksUpToDate>
  <CharactersWithSpaces>354891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helen.allik</dc:creator>
  <cp:lastModifiedBy>kristina.haavala</cp:lastModifiedBy>
  <cp:revision>2</cp:revision>
  <cp:lastPrinted>2015-10-27T13:48:00Z</cp:lastPrinted>
  <dcterms:created xsi:type="dcterms:W3CDTF">2015-12-15T14:19:00Z</dcterms:created>
  <dcterms:modified xsi:type="dcterms:W3CDTF">2015-12-15T14:19:00Z</dcterms:modified>
</cp:coreProperties>
</file>